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line="480" w:lineRule="exact"/>
        <w:ind w:left="0" w:leftChars="0" w:firstLine="0" w:firstLineChars="0"/>
        <w:rPr>
          <w:rFonts w:hint="eastAsia" w:ascii="宋体" w:hAnsi="宋体" w:eastAsia="宋体" w:cs="宋体"/>
          <w:bCs/>
          <w:w w:val="100"/>
          <w:sz w:val="24"/>
          <w:szCs w:val="24"/>
        </w:rPr>
      </w:pPr>
      <w:r>
        <w:rPr>
          <w:rFonts w:hint="eastAsia" w:ascii="宋体" w:hAnsi="宋体" w:eastAsia="宋体" w:cs="宋体"/>
          <w:bCs/>
          <w:w w:val="100"/>
          <w:sz w:val="24"/>
          <w:szCs w:val="24"/>
        </w:rPr>
        <w:t>附件1：</w:t>
      </w:r>
    </w:p>
    <w:p>
      <w:pPr>
        <w:spacing w:after="163" w:line="480" w:lineRule="exact"/>
        <w:ind w:left="0" w:leftChars="0" w:firstLine="0" w:firstLineChars="0"/>
        <w:jc w:val="center"/>
        <w:rPr>
          <w:rFonts w:hint="eastAsia" w:ascii="黑体" w:hAnsi="黑体" w:eastAsia="黑体" w:cs="黑体"/>
          <w:b/>
          <w:bCs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w w:val="100"/>
          <w:sz w:val="32"/>
          <w:szCs w:val="32"/>
        </w:rPr>
        <w:t>江西旅游商贸职业学院《2019届毕业生就业质量年度报告》</w:t>
      </w:r>
    </w:p>
    <w:p>
      <w:pPr>
        <w:spacing w:after="163" w:line="480" w:lineRule="exact"/>
        <w:ind w:firstLine="574"/>
        <w:jc w:val="center"/>
        <w:rPr>
          <w:rFonts w:hint="eastAsia" w:ascii="黑体" w:hAnsi="黑体" w:eastAsia="黑体" w:cs="黑体"/>
          <w:b/>
          <w:bCs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w w:val="100"/>
          <w:sz w:val="32"/>
          <w:szCs w:val="32"/>
        </w:rPr>
        <w:t>编撰服务项目采购要求</w:t>
      </w:r>
    </w:p>
    <w:p>
      <w:pPr>
        <w:spacing w:after="163" w:line="480" w:lineRule="exact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、项目内容基本框架：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学校概况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报告说明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总体结论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第一章 毕业生就业基本情况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毕业生的规模和结构</w:t>
      </w:r>
    </w:p>
    <w:p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毕业生总体规模</w:t>
      </w:r>
    </w:p>
    <w:p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毕业生院系结构</w:t>
      </w:r>
    </w:p>
    <w:p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毕业生专业结构</w:t>
      </w:r>
    </w:p>
    <w:p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毕业生生源结构</w:t>
      </w:r>
    </w:p>
    <w:p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毕业生民族结构</w:t>
      </w:r>
    </w:p>
    <w:p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毕业生困难生类别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节  毕业生初次就业率及毕业生去向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1.2.1  毕业生总体就业率及毕业生去向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firstLine="240" w:firstLineChars="1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  </w:t>
      </w:r>
      <w:r>
        <w:rPr>
          <w:rFonts w:hint="eastAsia" w:ascii="宋体" w:hAnsi="宋体" w:eastAsia="宋体" w:cs="宋体"/>
          <w:sz w:val="24"/>
          <w:szCs w:val="24"/>
        </w:rPr>
        <w:t>各学院/专业毕业生就业率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firstLine="240" w:firstLineChars="1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1.2.3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不同特征群体就业率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firstLine="240" w:firstLineChars="1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1.2.4  毕业生未就业情况分析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第3节  毕业生的就业单位情况分析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1.3.1  已就业毕业生的就业地区分布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1.3.2  已就业毕业生的就业行业分布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1.3.3  已就业毕业生的就业单位性质分布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1.3.4  已就业毕业生的就业职位分布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1.3.5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省内六大重点优势产业就业分布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第4节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国内升学情况分析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.1  国内升学人数及比例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.2  国内升学原因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1.4.3  国内升学专业一致性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节  出国（境）情况分析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1.5.1  出国（境）人数及比例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1.5.2. 留学原因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1.5.3  留学专业一致性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创业情况分析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.1  创业人数及比例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1.6.2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创业的原因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创业的行业分析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创业企业类型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创业资金来源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1.6.6  创业中遇到的困难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第二章 就创业工作举措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与特点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1节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就业政策供给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就业政策支持体系建设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毕业生基层就业引导措施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2.1.3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困难毕业生就业帮扶措施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就业服务供给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2.2.1  促进就业的特色和经验做法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2.2.2  促进就业的指导服务举措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第3节  创业举措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2.3.1  创新创业指导服务体系建设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第三章 毕业生就业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质量相关分析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1节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就业待遇与保障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毕业生总体</w:t>
      </w:r>
      <w:bookmarkStart w:id="0" w:name="_Hlk1537269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月均收入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毕业生主要就业地区的月均收入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3.1.3  毕业生主要就业行业的月均收入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3.1.4  毕业生总体社会保障情况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毕业生工作与所学专业相关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3.2.1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毕业生总体</w:t>
      </w:r>
      <w:r>
        <w:rPr>
          <w:rFonts w:hint="eastAsia" w:ascii="宋体" w:hAnsi="宋体" w:eastAsia="宋体" w:cs="宋体"/>
          <w:sz w:val="24"/>
          <w:szCs w:val="24"/>
        </w:rPr>
        <w:t>专业相关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3.2.2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毕业生各专业</w:t>
      </w:r>
      <w:r>
        <w:rPr>
          <w:rFonts w:hint="eastAsia" w:ascii="宋体" w:hAnsi="宋体" w:eastAsia="宋体" w:cs="宋体"/>
          <w:sz w:val="24"/>
          <w:szCs w:val="24"/>
        </w:rPr>
        <w:t>专业相关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毕业生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就业现状满意度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毕业生总体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就业现状满意度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毕业生各专业</w:t>
      </w:r>
      <w:r>
        <w:rPr>
          <w:rFonts w:hint="eastAsia" w:ascii="宋体" w:hAnsi="宋体" w:eastAsia="宋体" w:cs="宋体"/>
          <w:sz w:val="24"/>
          <w:szCs w:val="24"/>
        </w:rPr>
        <w:t>专业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就业现状满意度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1" w:name="_Hlk19811395"/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毕业生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职业期待吻合度</w:t>
      </w:r>
      <w:r>
        <w:rPr>
          <w:rFonts w:hint="eastAsia" w:ascii="宋体" w:hAnsi="宋体" w:eastAsia="宋体" w:cs="宋体"/>
          <w:sz w:val="24"/>
          <w:szCs w:val="24"/>
        </w:rPr>
        <w:t>（工作岗位与理想岗位一致性）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3.4.1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毕业生总体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职业期待吻合度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毕业生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就业感受情况分析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3.5.1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毕业生专业发展前景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3.5.2  毕业单位发展前景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3.5.3  毕业生从事工作压力情况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毕业生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求职过程情况分析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3.6.1  毕业生投放简历数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3.6.2  毕业生收到offer数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3.6.3  毕业生求职成功途径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3.6.4  毕业生求职困难因素（就业过程中欠缺因素）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第四章 就业发展趋势分析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1节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近三年规模和就业率变化趋势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2节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近三年单位就业及国内升学变化趋势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3节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近三年薪酬变化趋势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4节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近三年</w:t>
      </w:r>
      <w:bookmarkStart w:id="2" w:name="_Hlk15922164"/>
      <w:r>
        <w:rPr>
          <w:rFonts w:hint="eastAsia" w:ascii="宋体" w:hAnsi="宋体" w:eastAsia="宋体" w:cs="宋体"/>
          <w:sz w:val="24"/>
          <w:szCs w:val="24"/>
          <w:lang w:eastAsia="zh-CN"/>
        </w:rPr>
        <w:t>就业地区变化趋势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5节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近三年就业行业变化趋势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6节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近三年就业单位变化趋势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7节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就业趋势研判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第五章 毕业生</w:t>
      </w:r>
      <w:bookmarkStart w:id="3" w:name="_Hlk15406653"/>
      <w:r>
        <w:rPr>
          <w:rFonts w:hint="eastAsia" w:ascii="宋体" w:hAnsi="宋体" w:eastAsia="宋体" w:cs="宋体"/>
          <w:b/>
          <w:bCs/>
          <w:sz w:val="28"/>
          <w:szCs w:val="28"/>
        </w:rPr>
        <w:t>调研评价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毕业生对人才培养的评价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5.1.1  毕业生对母校满意度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5.1.2  毕业生对母校推荐度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5.1.3  毕业生对母校人才培养总体满意度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2节  毕业生对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教育教学评价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5.2.1  毕业生对所学课程评价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5.2.2  毕业生对任课教师满意度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5.2.3  毕业生对母校学风满意度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5.2.4  毕业生对课堂教学满意度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5.2.5  毕业生对实践教学满意度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5.2.6  毕业生对社团活动满意度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3节  毕业生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基础能力素质情况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5.3.1  毕业生整体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基础能力素质情况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4节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毕业生专业认知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5.4.1  毕业生对专业认知度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5.4.2  毕业生专业课程掌握程度与目标岗位技能要求匹配度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5节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毕业生对就业教育/服务的评价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5.5.1  毕业生对生涯规划/就业指导课评价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5.5.2. 毕业生对职业咨询与辅导评价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5.5.3. 毕业生对招聘会/宣讲会评价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5.5.4. 毕业生对招聘信息发布评价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5.5.5. 毕业生对就业帮扶与推荐评价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5.5.6. 毕业生对就业手续办理评价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6节  对教育教学反馈与建议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5.6.1  对招生和专业设置的反馈与建议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5.6.2  对人才培养的反馈与建议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第六章 用人单位调研评价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用人单位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对毕业生的总体满意度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用人单位招聘关注因素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用人单位对毕业生工作情况评价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6.3.1  用人单位对毕业生适应情况反馈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6.3.2  用人单位对毕业生离职情况反馈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4节  用人单位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对毕业生的能力评价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6.4.1  用人单位对毕业生综合能力评价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6.4.2  用人单位对毕业生创新能力评价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5节  用人单位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对学校就业服务工作的评价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6.5.1  用人单位对学校就业服务工作总体满意度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6.5.2  用人单位对各项招聘服务的满意度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ind w:left="300" w:lef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6.5.3  用人单位招聘需求的反馈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-2147483648"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6节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用人单位对学校人才培养的反馈建议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、项目技术参数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总体结论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包含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毕业生就业率和毕业去向、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就业分布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就业质量评价、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对人才培养的评价、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（5）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对就业教育/服务的评价（注：就业质量评价中在同一张表中展示总体及分专业的就业现状满意度、月均薪酬、工作与专业相关度、职业期待吻合度、专业发展前景，并进行综合评价）。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毕业生基本情况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包含（</w:t>
      </w:r>
      <w:r>
        <w:rPr>
          <w:rFonts w:hint="eastAsia" w:ascii="宋体" w:hAnsi="宋体" w:eastAsia="宋体" w:cs="宋体"/>
          <w:sz w:val="24"/>
          <w:szCs w:val="24"/>
        </w:rPr>
        <w:t>总体规模、性别、学历、生源地、民族、学科、困难生等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基本数据描述，通过涉及均值、分布统计、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图表</w:t>
      </w:r>
      <w:r>
        <w:rPr>
          <w:rFonts w:hint="eastAsia" w:ascii="宋体" w:hAnsi="宋体" w:eastAsia="宋体" w:cs="宋体"/>
          <w:sz w:val="24"/>
          <w:szCs w:val="24"/>
        </w:rPr>
        <w:t>等方法多样化展示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3.毕业生不同特征群体就业率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包含（不同民族毕业生就业率、不同不同性别就业率、不同困难类别就业率）。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4.就业区域及省内重点产业就业流向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;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毕业生在省内外不同地域的分布情况，以及在省内六大重优势产业(航空、电子信息、中医药、装备制造、新能源、新材料)的分布情况和分析。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就业工作举措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健全就业指导机制、加强就业服务工作、深化创业教育改革等特色发展以及改进措施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就业质量相关分析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就业待遇与保障</w:t>
      </w:r>
      <w:r>
        <w:rPr>
          <w:rFonts w:hint="eastAsia" w:ascii="宋体" w:hAnsi="宋体" w:eastAsia="宋体" w:cs="宋体"/>
          <w:sz w:val="24"/>
          <w:szCs w:val="24"/>
        </w:rPr>
        <w:t>、专业相关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度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职业期待吻合度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求职过程情况分析</w:t>
      </w:r>
      <w:r>
        <w:rPr>
          <w:rFonts w:hint="eastAsia" w:ascii="宋体" w:hAnsi="宋体" w:eastAsia="宋体" w:cs="宋体"/>
          <w:sz w:val="24"/>
          <w:szCs w:val="24"/>
        </w:rPr>
        <w:t>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部分指标除了总体数据分析外应深入分析到各专业，全面反馈各专业的月收入、专业相关度等情况。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毕业生求职状况及用人单位分析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毕业生就业质量评价、毕业生对母校评价、用人单位对学校及毕业生评价等基本数据描述，涉及均值、分布统计、众数等方法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就业发展趋势分析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总体情况、就业率、就业去向、就业趋势研判分析等环比趋势分析，交叉表对比分析。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.对教育教学反馈与建议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需要根据就业质量基本情况、就业质量相关分析、对教育教学相关分析、就业发展趋势四大板块数据分析，提炼出对人才培养质量反馈与建议和对招生工作反馈与建议，反馈及建议结果应具有较强的针对性及参考价值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.报告的编制格式与美观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就业质量报告编制有一定规范和美感。考察点涵盖：文中排 版规整，有规律可循；有页眉页脚，封面美观，有特色代表；文中图文并茂，图表设计简单清晰。 </w:t>
      </w:r>
    </w:p>
    <w:p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</w:p>
    <w:bookmarkEnd w:id="1"/>
    <w:p>
      <w:pPr>
        <w:pStyle w:val="2"/>
        <w:ind w:left="0" w:leftChars="0" w:firstLine="0" w:firstLineChars="0"/>
        <w:jc w:val="both"/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19E59A"/>
    <w:multiLevelType w:val="singleLevel"/>
    <w:tmpl w:val="F819E59A"/>
    <w:lvl w:ilvl="0" w:tentative="0">
      <w:start w:val="2"/>
      <w:numFmt w:val="decimal"/>
      <w:suff w:val="space"/>
      <w:lvlText w:val="第%1节"/>
      <w:lvlJc w:val="left"/>
    </w:lvl>
  </w:abstractNum>
  <w:abstractNum w:abstractNumId="1">
    <w:nsid w:val="5981FAD3"/>
    <w:multiLevelType w:val="multilevel"/>
    <w:tmpl w:val="5981FAD3"/>
    <w:lvl w:ilvl="0" w:tentative="0">
      <w:start w:val="1"/>
      <w:numFmt w:val="decimal"/>
      <w:suff w:val="space"/>
      <w:lvlText w:val="%1"/>
      <w:lvlJc w:val="left"/>
      <w:pPr>
        <w:ind w:left="30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30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30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30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30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30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30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30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30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6746C"/>
    <w:rsid w:val="553529F9"/>
    <w:rsid w:val="58E74C72"/>
    <w:rsid w:val="6FF42F13"/>
    <w:rsid w:val="7DEA7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Lines="50" w:line="288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/>
    </w:pPr>
    <w:rPr>
      <w:sz w:val="24"/>
    </w:rPr>
  </w:style>
  <w:style w:type="paragraph" w:styleId="3">
    <w:name w:val="Body Text"/>
    <w:basedOn w:val="1"/>
    <w:qFormat/>
    <w:uiPriority w:val="0"/>
    <w:pPr>
      <w:spacing w:line="480" w:lineRule="auto"/>
      <w:jc w:val="center"/>
    </w:pPr>
    <w:rPr>
      <w:rFonts w:ascii="宋体" w:hAnsi="宋体" w:eastAsia="宋体"/>
      <w:b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2290</Words>
  <Characters>2594</Characters>
  <Lines>0</Lines>
  <Paragraphs>0</Paragraphs>
  <TotalTime>3</TotalTime>
  <ScaleCrop>false</ScaleCrop>
  <LinksUpToDate>false</LinksUpToDate>
  <CharactersWithSpaces>2810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葵锁雾轻舞</cp:lastModifiedBy>
  <dcterms:modified xsi:type="dcterms:W3CDTF">2019-10-17T03:39:10Z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