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275" w:leftChars="-607"/>
        <w:jc w:val="center"/>
        <w:rPr>
          <w:rFonts w:ascii="仿宋" w:hAnsi="仿宋" w:eastAsia="仿宋"/>
          <w:caps/>
          <w:color w:val="auto"/>
          <w:kern w:val="0"/>
          <w:sz w:val="84"/>
          <w:szCs w:val="84"/>
          <w:highlight w:val="none"/>
        </w:rPr>
      </w:pPr>
    </w:p>
    <w:p>
      <w:pPr>
        <w:ind w:left="-1275" w:leftChars="-607"/>
        <w:jc w:val="center"/>
        <w:rPr>
          <w:rFonts w:ascii="仿宋" w:hAnsi="仿宋" w:eastAsia="仿宋"/>
          <w:color w:val="auto"/>
          <w:sz w:val="30"/>
          <w:highlight w:val="none"/>
        </w:rPr>
      </w:pPr>
      <w:r>
        <w:rPr>
          <w:rFonts w:ascii="仿宋" w:hAnsi="仿宋" w:eastAsia="仿宋"/>
          <w:caps/>
          <w:color w:val="auto"/>
          <w:kern w:val="0"/>
          <w:sz w:val="22"/>
          <w:szCs w:val="22"/>
          <w:highlight w:val="none"/>
        </w:rPr>
        <mc:AlternateContent>
          <mc:Choice Requires="wpg">
            <w:drawing>
              <wp:anchor distT="0" distB="0" distL="114300" distR="114300" simplePos="0" relativeHeight="251659264" behindDoc="0" locked="0" layoutInCell="0" allowOverlap="1">
                <wp:simplePos x="0" y="0"/>
                <wp:positionH relativeFrom="page">
                  <wp:posOffset>-2540</wp:posOffset>
                </wp:positionH>
                <wp:positionV relativeFrom="margin">
                  <wp:posOffset>655320</wp:posOffset>
                </wp:positionV>
                <wp:extent cx="7545705" cy="8862695"/>
                <wp:effectExtent l="0" t="0" r="7620" b="7620"/>
                <wp:wrapNone/>
                <wp:docPr id="15" name="组合 99"/>
                <wp:cNvGraphicFramePr/>
                <a:graphic xmlns:a="http://schemas.openxmlformats.org/drawingml/2006/main">
                  <a:graphicData uri="http://schemas.microsoft.com/office/word/2010/wordprocessingGroup">
                    <wpg:wgp>
                      <wpg:cNvGrpSpPr/>
                      <wpg:grpSpPr>
                        <a:xfrm>
                          <a:off x="0" y="0"/>
                          <a:ext cx="7545705" cy="8862695"/>
                          <a:chOff x="0" y="1440"/>
                          <a:chExt cx="12239" cy="12960"/>
                        </a:xfrm>
                      </wpg:grpSpPr>
                      <wpg:grpSp>
                        <wpg:cNvPr id="11" name="组合 100"/>
                        <wpg:cNvGrpSpPr/>
                        <wpg:grpSpPr>
                          <a:xfrm>
                            <a:off x="0" y="9661"/>
                            <a:ext cx="12239" cy="4739"/>
                            <a:chOff x="-6" y="3399"/>
                            <a:chExt cx="12197" cy="4253"/>
                          </a:xfrm>
                        </wpg:grpSpPr>
                        <wpg:grpSp>
                          <wpg:cNvPr id="4" name="组合 101"/>
                          <wpg:cNvGrpSpPr/>
                          <wpg:grpSpPr>
                            <a:xfrm>
                              <a:off x="-6" y="3717"/>
                              <a:ext cx="12189" cy="3550"/>
                              <a:chOff x="18" y="7468"/>
                              <a:chExt cx="12189" cy="3550"/>
                            </a:xfrm>
                          </wpg:grpSpPr>
                          <wps:wsp>
                            <wps:cNvPr id="1" name="任意多边形 102"/>
                            <wps:cNvSpPr/>
                            <wps:spPr>
                              <a:xfrm>
                                <a:off x="18" y="7837"/>
                                <a:ext cx="7132" cy="2863"/>
                              </a:xfrm>
                              <a:custGeom>
                                <a:avLst/>
                                <a:gdLst/>
                                <a:ahLst/>
                                <a:cxnLst/>
                                <a:rect l="0" t="0" r="0" b="0"/>
                                <a:pathLst>
                                  <a:path w="7132" h="2863">
                                    <a:moveTo>
                                      <a:pt x="0" y="0"/>
                                    </a:moveTo>
                                    <a:lnTo>
                                      <a:pt x="17" y="2863"/>
                                    </a:lnTo>
                                    <a:lnTo>
                                      <a:pt x="7132" y="2578"/>
                                    </a:lnTo>
                                    <a:lnTo>
                                      <a:pt x="7132" y="200"/>
                                    </a:lnTo>
                                    <a:lnTo>
                                      <a:pt x="0" y="0"/>
                                    </a:lnTo>
                                    <a:close/>
                                  </a:path>
                                </a:pathLst>
                              </a:custGeom>
                              <a:solidFill>
                                <a:srgbClr val="A7BFDE">
                                  <a:alpha val="50000"/>
                                </a:srgbClr>
                              </a:solidFill>
                              <a:ln>
                                <a:noFill/>
                              </a:ln>
                            </wps:spPr>
                            <wps:bodyPr wrap="square" upright="1"/>
                          </wps:wsp>
                          <wps:wsp>
                            <wps:cNvPr id="2" name="任意多边形 103"/>
                            <wps:cNvSpPr/>
                            <wps:spPr>
                              <a:xfrm>
                                <a:off x="7150" y="7468"/>
                                <a:ext cx="3466" cy="3550"/>
                              </a:xfrm>
                              <a:custGeom>
                                <a:avLst/>
                                <a:gdLst/>
                                <a:ahLst/>
                                <a:cxnLst/>
                                <a:rect l="0" t="0" r="0" b="0"/>
                                <a:pathLst>
                                  <a:path w="3466" h="3550">
                                    <a:moveTo>
                                      <a:pt x="0" y="569"/>
                                    </a:moveTo>
                                    <a:lnTo>
                                      <a:pt x="0" y="2930"/>
                                    </a:lnTo>
                                    <a:lnTo>
                                      <a:pt x="3466" y="3550"/>
                                    </a:lnTo>
                                    <a:lnTo>
                                      <a:pt x="3466" y="0"/>
                                    </a:lnTo>
                                    <a:lnTo>
                                      <a:pt x="0" y="569"/>
                                    </a:lnTo>
                                    <a:close/>
                                  </a:path>
                                </a:pathLst>
                              </a:custGeom>
                              <a:solidFill>
                                <a:srgbClr val="D3DFEE">
                                  <a:alpha val="50000"/>
                                </a:srgbClr>
                              </a:solidFill>
                              <a:ln>
                                <a:noFill/>
                              </a:ln>
                            </wps:spPr>
                            <wps:bodyPr wrap="square" upright="1"/>
                          </wps:wsp>
                          <wps:wsp>
                            <wps:cNvPr id="3" name="任意多边形 104"/>
                            <wps:cNvSpPr/>
                            <wps:spPr>
                              <a:xfrm>
                                <a:off x="10616" y="7468"/>
                                <a:ext cx="1591" cy="3550"/>
                              </a:xfrm>
                              <a:custGeom>
                                <a:avLst/>
                                <a:gdLst/>
                                <a:ahLst/>
                                <a:cxnLst/>
                                <a:rect l="0" t="0" r="0" b="0"/>
                                <a:pathLst>
                                  <a:path w="1591" h="3550">
                                    <a:moveTo>
                                      <a:pt x="0" y="0"/>
                                    </a:moveTo>
                                    <a:lnTo>
                                      <a:pt x="0" y="3550"/>
                                    </a:lnTo>
                                    <a:lnTo>
                                      <a:pt x="1591" y="2746"/>
                                    </a:lnTo>
                                    <a:lnTo>
                                      <a:pt x="1591" y="737"/>
                                    </a:lnTo>
                                    <a:lnTo>
                                      <a:pt x="0" y="0"/>
                                    </a:lnTo>
                                    <a:close/>
                                  </a:path>
                                </a:pathLst>
                              </a:custGeom>
                              <a:solidFill>
                                <a:srgbClr val="A7BFDE">
                                  <a:alpha val="50000"/>
                                </a:srgbClr>
                              </a:solidFill>
                              <a:ln>
                                <a:noFill/>
                              </a:ln>
                            </wps:spPr>
                            <wps:bodyPr wrap="square" upright="1"/>
                          </wps:wsp>
                        </wpg:grpSp>
                        <wps:wsp>
                          <wps:cNvPr id="5" name="任意多边形 105"/>
                          <wps:cNvSpPr/>
                          <wps:spPr>
                            <a:xfrm>
                              <a:off x="8071" y="4069"/>
                              <a:ext cx="4120" cy="2913"/>
                            </a:xfrm>
                            <a:custGeom>
                              <a:avLst/>
                              <a:gdLst/>
                              <a:ahLst/>
                              <a:cxnLst/>
                              <a:rect l="0" t="0" r="0" b="0"/>
                              <a:pathLst>
                                <a:path w="4120" h="2913">
                                  <a:moveTo>
                                    <a:pt x="1" y="251"/>
                                  </a:moveTo>
                                  <a:lnTo>
                                    <a:pt x="0" y="2662"/>
                                  </a:lnTo>
                                  <a:lnTo>
                                    <a:pt x="4120" y="2913"/>
                                  </a:lnTo>
                                  <a:lnTo>
                                    <a:pt x="4120" y="0"/>
                                  </a:lnTo>
                                  <a:lnTo>
                                    <a:pt x="1" y="251"/>
                                  </a:lnTo>
                                  <a:close/>
                                </a:path>
                              </a:pathLst>
                            </a:custGeom>
                            <a:solidFill>
                              <a:srgbClr val="D8D8D8"/>
                            </a:solidFill>
                            <a:ln>
                              <a:noFill/>
                            </a:ln>
                          </wps:spPr>
                          <wps:bodyPr wrap="square" upright="1"/>
                        </wps:wsp>
                        <wps:wsp>
                          <wps:cNvPr id="6" name="任意多边形 106"/>
                          <wps:cNvSpPr/>
                          <wps:spPr>
                            <a:xfrm>
                              <a:off x="4104" y="3399"/>
                              <a:ext cx="3985" cy="4236"/>
                            </a:xfrm>
                            <a:custGeom>
                              <a:avLst/>
                              <a:gdLst/>
                              <a:ahLst/>
                              <a:cxnLst/>
                              <a:rect l="0" t="0" r="0" b="0"/>
                              <a:pathLst>
                                <a:path w="3985" h="4236">
                                  <a:moveTo>
                                    <a:pt x="0" y="0"/>
                                  </a:moveTo>
                                  <a:lnTo>
                                    <a:pt x="0" y="4236"/>
                                  </a:lnTo>
                                  <a:lnTo>
                                    <a:pt x="3985" y="3349"/>
                                  </a:lnTo>
                                  <a:lnTo>
                                    <a:pt x="3985" y="921"/>
                                  </a:lnTo>
                                  <a:lnTo>
                                    <a:pt x="0" y="0"/>
                                  </a:lnTo>
                                  <a:close/>
                                </a:path>
                              </a:pathLst>
                            </a:custGeom>
                            <a:solidFill>
                              <a:srgbClr val="BFBFBF"/>
                            </a:solidFill>
                            <a:ln>
                              <a:noFill/>
                            </a:ln>
                          </wps:spPr>
                          <wps:bodyPr wrap="square" upright="1"/>
                        </wps:wsp>
                        <wps:wsp>
                          <wps:cNvPr id="7" name="任意多边形 107"/>
                          <wps:cNvSpPr/>
                          <wps:spPr>
                            <a:xfrm>
                              <a:off x="18" y="3399"/>
                              <a:ext cx="4086" cy="4253"/>
                            </a:xfrm>
                            <a:custGeom>
                              <a:avLst/>
                              <a:gdLst/>
                              <a:ahLst/>
                              <a:cxnLst/>
                              <a:rect l="0" t="0" r="0" b="0"/>
                              <a:pathLst>
                                <a:path w="4086" h="4253">
                                  <a:moveTo>
                                    <a:pt x="4086" y="0"/>
                                  </a:moveTo>
                                  <a:lnTo>
                                    <a:pt x="4084" y="4253"/>
                                  </a:lnTo>
                                  <a:lnTo>
                                    <a:pt x="0" y="3198"/>
                                  </a:lnTo>
                                  <a:lnTo>
                                    <a:pt x="0" y="1072"/>
                                  </a:lnTo>
                                  <a:lnTo>
                                    <a:pt x="4086" y="0"/>
                                  </a:lnTo>
                                  <a:close/>
                                </a:path>
                              </a:pathLst>
                            </a:custGeom>
                            <a:solidFill>
                              <a:srgbClr val="D8D8D8"/>
                            </a:solidFill>
                            <a:ln>
                              <a:noFill/>
                            </a:ln>
                          </wps:spPr>
                          <wps:bodyPr wrap="square" upright="1"/>
                        </wps:wsp>
                        <wps:wsp>
                          <wps:cNvPr id="8" name="任意多边形 108"/>
                          <wps:cNvSpPr/>
                          <wps:spPr>
                            <a:xfrm>
                              <a:off x="17" y="3617"/>
                              <a:ext cx="2076" cy="3851"/>
                            </a:xfrm>
                            <a:custGeom>
                              <a:avLst/>
                              <a:gdLst/>
                              <a:ahLst/>
                              <a:cxnLst/>
                              <a:rect l="0" t="0" r="0" b="0"/>
                              <a:pathLst>
                                <a:path w="2076" h="3851">
                                  <a:moveTo>
                                    <a:pt x="0" y="921"/>
                                  </a:moveTo>
                                  <a:lnTo>
                                    <a:pt x="2060" y="0"/>
                                  </a:lnTo>
                                  <a:lnTo>
                                    <a:pt x="2076" y="3851"/>
                                  </a:lnTo>
                                  <a:lnTo>
                                    <a:pt x="0" y="2981"/>
                                  </a:lnTo>
                                  <a:lnTo>
                                    <a:pt x="0" y="921"/>
                                  </a:lnTo>
                                  <a:close/>
                                </a:path>
                              </a:pathLst>
                            </a:custGeom>
                            <a:solidFill>
                              <a:srgbClr val="D3DFEE">
                                <a:alpha val="70000"/>
                              </a:srgbClr>
                            </a:solidFill>
                            <a:ln>
                              <a:noFill/>
                            </a:ln>
                          </wps:spPr>
                          <wps:bodyPr wrap="square" upright="1"/>
                        </wps:wsp>
                        <wps:wsp>
                          <wps:cNvPr id="9" name="任意多边形 109"/>
                          <wps:cNvSpPr/>
                          <wps:spPr>
                            <a:xfrm>
                              <a:off x="2077" y="3617"/>
                              <a:ext cx="1" cy="1"/>
                            </a:xfrm>
                            <a:custGeom>
                              <a:avLst/>
                              <a:gdLst/>
                              <a:ahLst/>
                              <a:cxnLst/>
                              <a:rect l="0" t="0" r="0" b="0"/>
                              <a:pathLst>
                                <a:path w="5868" h="4617">
                                  <a:moveTo>
                                    <a:pt x="0" y="0"/>
                                  </a:moveTo>
                                  <a:lnTo>
                                    <a:pt x="17" y="4617"/>
                                  </a:lnTo>
                                  <a:lnTo>
                                    <a:pt x="5868" y="3165"/>
                                  </a:lnTo>
                                  <a:lnTo>
                                    <a:pt x="5868" y="1492"/>
                                  </a:lnTo>
                                  <a:lnTo>
                                    <a:pt x="144" y="144"/>
                                  </a:lnTo>
                                </a:path>
                              </a:pathLst>
                            </a:custGeom>
                            <a:solidFill>
                              <a:srgbClr val="A7BFDE">
                                <a:alpha val="70000"/>
                              </a:srgbClr>
                            </a:solidFill>
                            <a:ln>
                              <a:noFill/>
                            </a:ln>
                          </wps:spPr>
                          <wps:bodyPr wrap="square" upright="1"/>
                        </wps:wsp>
                        <wps:wsp>
                          <wps:cNvPr id="10" name="任意多边形 110"/>
                          <wps:cNvSpPr/>
                          <wps:spPr>
                            <a:xfrm>
                              <a:off x="8088" y="3835"/>
                              <a:ext cx="4102" cy="3432"/>
                            </a:xfrm>
                            <a:custGeom>
                              <a:avLst/>
                              <a:gdLst/>
                              <a:ahLst/>
                              <a:cxnLst/>
                              <a:rect l="0" t="0" r="0" b="0"/>
                              <a:pathLst>
                                <a:path w="4102" h="3432">
                                  <a:moveTo>
                                    <a:pt x="0" y="1038"/>
                                  </a:moveTo>
                                  <a:lnTo>
                                    <a:pt x="0" y="2411"/>
                                  </a:lnTo>
                                  <a:lnTo>
                                    <a:pt x="4102" y="3432"/>
                                  </a:lnTo>
                                  <a:lnTo>
                                    <a:pt x="4102" y="0"/>
                                  </a:lnTo>
                                  <a:lnTo>
                                    <a:pt x="0" y="1038"/>
                                  </a:lnTo>
                                  <a:close/>
                                </a:path>
                              </a:pathLst>
                            </a:custGeom>
                            <a:solidFill>
                              <a:srgbClr val="D3DFEE">
                                <a:alpha val="70000"/>
                              </a:srgbClr>
                            </a:solidFill>
                            <a:ln>
                              <a:noFill/>
                            </a:ln>
                          </wps:spPr>
                          <wps:bodyPr wrap="square" upright="1"/>
                        </wps:wsp>
                      </wpg:grpSp>
                      <wps:wsp>
                        <wps:cNvPr id="12" name="矩形 111"/>
                        <wps:cNvSpPr/>
                        <wps:spPr>
                          <a:xfrm>
                            <a:off x="1800" y="1440"/>
                            <a:ext cx="1" cy="1"/>
                          </a:xfrm>
                          <a:prstGeom prst="rect">
                            <a:avLst/>
                          </a:prstGeom>
                          <a:noFill/>
                          <a:ln>
                            <a:noFill/>
                          </a:ln>
                        </wps:spPr>
                        <wps:txbx>
                          <w:txbxContent>
                            <w:p>
                              <w:pPr>
                                <w:ind w:hanging="426"/>
                                <w:jc w:val="center"/>
                                <w:rPr>
                                  <w:rFonts w:ascii="仿宋" w:hAnsi="仿宋" w:eastAsia="仿宋"/>
                                  <w:sz w:val="30"/>
                                </w:rPr>
                              </w:pPr>
                              <w:r>
                                <w:rPr>
                                  <w:rFonts w:hint="eastAsia" w:ascii="黑体" w:hAnsi="黑体" w:eastAsia="黑体"/>
                                  <w:sz w:val="84"/>
                                  <w:szCs w:val="84"/>
                                </w:rPr>
                                <w:t>政府采购</w:t>
                              </w:r>
                            </w:p>
                            <w:p>
                              <w:pPr>
                                <w:ind w:hanging="426"/>
                                <w:jc w:val="center"/>
                                <w:rPr>
                                  <w:rFonts w:ascii="仿宋" w:hAnsi="仿宋" w:eastAsia="仿宋"/>
                                  <w:sz w:val="30"/>
                                </w:rPr>
                              </w:pPr>
                              <w:r>
                                <w:rPr>
                                  <w:rFonts w:hint="eastAsia" w:ascii="黑体" w:hAnsi="黑体" w:eastAsia="黑体"/>
                                  <w:spacing w:val="20"/>
                                  <w:sz w:val="84"/>
                                  <w:szCs w:val="84"/>
                                </w:rPr>
                                <w:t>电子化公开谈判文件</w:t>
                              </w:r>
                            </w:p>
                            <w:p>
                              <w:pPr>
                                <w:rPr>
                                  <w:b/>
                                  <w:bCs/>
                                  <w:color w:val="808080"/>
                                  <w:sz w:val="32"/>
                                  <w:szCs w:val="32"/>
                                </w:rPr>
                              </w:pPr>
                            </w:p>
                            <w:p>
                              <w:pPr>
                                <w:rPr>
                                  <w:b/>
                                  <w:bCs/>
                                  <w:color w:val="808080"/>
                                  <w:sz w:val="32"/>
                                  <w:szCs w:val="32"/>
                                </w:rPr>
                              </w:pPr>
                            </w:p>
                          </w:txbxContent>
                        </wps:txbx>
                        <wps:bodyPr wrap="square" upright="1"/>
                      </wps:wsp>
                      <wps:wsp>
                        <wps:cNvPr id="13" name="矩形 112"/>
                        <wps:cNvSpPr/>
                        <wps:spPr>
                          <a:xfrm>
                            <a:off x="6494" y="11160"/>
                            <a:ext cx="4998" cy="1289"/>
                          </a:xfrm>
                          <a:prstGeom prst="rect">
                            <a:avLst/>
                          </a:prstGeom>
                          <a:noFill/>
                          <a:ln>
                            <a:noFill/>
                          </a:ln>
                        </wps:spPr>
                        <wps:txbx>
                          <w:txbxContent>
                            <w:p>
                              <w:pPr>
                                <w:jc w:val="right"/>
                                <w:rPr>
                                  <w:sz w:val="96"/>
                                  <w:szCs w:val="96"/>
                                </w:rPr>
                              </w:pPr>
                            </w:p>
                          </w:txbxContent>
                        </wps:txbx>
                        <wps:bodyPr wrap="square" upright="1">
                          <a:spAutoFit/>
                        </wps:bodyPr>
                      </wps:wsp>
                      <wps:wsp>
                        <wps:cNvPr id="14" name="矩形 113"/>
                        <wps:cNvSpPr/>
                        <wps:spPr>
                          <a:xfrm>
                            <a:off x="1800" y="2294"/>
                            <a:ext cx="1" cy="1"/>
                          </a:xfrm>
                          <a:prstGeom prst="rect">
                            <a:avLst/>
                          </a:prstGeom>
                          <a:noFill/>
                          <a:ln>
                            <a:noFill/>
                          </a:ln>
                        </wps:spPr>
                        <wps:txbx>
                          <w:txbxContent>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pacing w:line="800" w:lineRule="exact"/>
                                <w:ind w:left="-2" w:leftChars="-1" w:right="459" w:firstLine="24" w:firstLineChars="8"/>
                                <w:rPr>
                                  <w:rFonts w:ascii="黑体" w:eastAsia="黑体"/>
                                  <w:sz w:val="30"/>
                                </w:rPr>
                              </w:pPr>
                              <w:r>
                                <w:rPr>
                                  <w:rFonts w:hint="eastAsia" w:ascii="黑体" w:eastAsia="黑体"/>
                                  <w:sz w:val="30"/>
                                </w:rPr>
                                <w:t>项目名称：</w:t>
                              </w:r>
                              <w:r>
                                <w:rPr>
                                  <w:rFonts w:hint="eastAsia" w:ascii="黑体" w:eastAsia="黑体"/>
                                  <w:color w:val="FF0000"/>
                                  <w:sz w:val="30"/>
                                </w:rPr>
                                <w:t>南昌大学高低压开关柜设备采购及安装</w:t>
                              </w:r>
                            </w:p>
                            <w:p>
                              <w:pPr>
                                <w:spacing w:line="800" w:lineRule="exact"/>
                                <w:ind w:left="-2" w:leftChars="-1" w:right="459" w:firstLine="24" w:firstLineChars="8"/>
                                <w:rPr>
                                  <w:rFonts w:ascii="黑体" w:eastAsia="黑体"/>
                                  <w:sz w:val="30"/>
                                </w:rPr>
                              </w:pPr>
                              <w:r>
                                <w:rPr>
                                  <w:rFonts w:hint="eastAsia" w:ascii="黑体" w:eastAsia="黑体"/>
                                  <w:sz w:val="30"/>
                                </w:rPr>
                                <w:t>项目编号：</w:t>
                              </w:r>
                              <w:r>
                                <w:rPr>
                                  <w:rFonts w:hint="eastAsia" w:ascii="黑体" w:eastAsia="黑体"/>
                                  <w:color w:val="FF0000"/>
                                  <w:sz w:val="30"/>
                                </w:rPr>
                                <w:t>JXJH2019-AXXX</w:t>
                              </w:r>
                            </w:p>
                            <w:p>
                              <w:pPr>
                                <w:tabs>
                                  <w:tab w:val="left" w:pos="1861"/>
                                  <w:tab w:val="left" w:pos="2610"/>
                                </w:tabs>
                                <w:spacing w:line="800" w:lineRule="exact"/>
                                <w:ind w:left="-2" w:leftChars="-1" w:right="459" w:firstLine="24" w:firstLineChars="8"/>
                                <w:rPr>
                                  <w:rFonts w:ascii="黑体" w:eastAsia="黑体"/>
                                  <w:sz w:val="30"/>
                                </w:rPr>
                              </w:pPr>
                              <w:r>
                                <w:rPr>
                                  <w:rFonts w:hint="eastAsia" w:ascii="黑体" w:eastAsia="黑体"/>
                                  <w:sz w:val="30"/>
                                </w:rPr>
                                <w:t>采 购 人：</w:t>
                              </w:r>
                              <w:r>
                                <w:rPr>
                                  <w:rFonts w:hint="eastAsia" w:ascii="黑体" w:eastAsia="黑体"/>
                                  <w:color w:val="FF0000"/>
                                  <w:sz w:val="30"/>
                                </w:rPr>
                                <w:t>南昌大学</w:t>
                              </w:r>
                            </w:p>
                            <w:p>
                              <w:pPr>
                                <w:spacing w:line="800" w:lineRule="exact"/>
                                <w:ind w:left="-2" w:leftChars="-1" w:right="459" w:firstLine="24" w:firstLineChars="8"/>
                                <w:rPr>
                                  <w:rFonts w:ascii="黑体" w:eastAsia="黑体"/>
                                  <w:sz w:val="30"/>
                                </w:rPr>
                              </w:pPr>
                              <w:r>
                                <w:rPr>
                                  <w:rFonts w:hint="eastAsia" w:ascii="黑体" w:eastAsia="黑体"/>
                                  <w:sz w:val="30"/>
                                </w:rPr>
                                <w:t>采购代理机构：江西骏宏招标咨询有限公司</w:t>
                              </w:r>
                            </w:p>
                          </w:txbxContent>
                        </wps:txbx>
                        <wps:bodyPr wrap="square" anchor="b" anchorCtr="0" upright="1"/>
                      </wps:wsp>
                    </wpg:wgp>
                  </a:graphicData>
                </a:graphic>
                <wp14:sizeRelH relativeFrom="page">
                  <wp14:pctWidth>0</wp14:pctWidth>
                </wp14:sizeRelH>
                <wp14:sizeRelV relativeFrom="margin">
                  <wp14:pctHeight>100000</wp14:pctHeight>
                </wp14:sizeRelV>
              </wp:anchor>
            </w:drawing>
          </mc:Choice>
          <mc:Fallback>
            <w:pict>
              <v:group id="组合 99" o:spid="_x0000_s1026" o:spt="203" style="position:absolute;left:0pt;margin-left:-0.2pt;margin-top:51.6pt;height:697.85pt;width:594.15pt;mso-position-horizontal-relative:page;mso-position-vertical-relative:margin;z-index:251659264;mso-width-relative:page;mso-height-relative:margin;mso-height-percent:1000;" coordorigin="0,1440" coordsize="12239,12960" o:allowincell="f" o:gfxdata="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">
                <o:lock v:ext="edit" aspectratio="f"/>
                <v:group id="组合 100" o:spid="_x0000_s1026" o:spt="203" style="position:absolute;left:0;top:9661;height:4739;width:12239;" coordorigin="-6,3399" coordsize="12197,4253"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group id="组合 101" o:spid="_x0000_s1026" o:spt="203" style="position:absolute;left:-6;top:3717;height:3550;width:12189;" coordorigin="18,7468" coordsize="12189,3550"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102" o:spid="_x0000_s1026" o:spt="100" style="position:absolute;left:18;top:7837;height:2863;width:7132;" fillcolor="#A7BFDE" filled="t" stroked="f" coordsize="7132,2863" o:gfxdata="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F+kftwAAANoAAAAP&#10;AAAAAAAAAAEAIAAAACIAAABkcnMvZG93bnJldi54bWxQSwECFAAUAAAACACHTuJAMy8FnjsAAAA5&#10;AAAAEAAAAAAAAAABACAAAAAGAQAAZHJzL3NoYXBleG1sLnhtbFBLBQYAAAAABgAGAFsBAACwAwAA&#10;AAA=&#10;" path="m0,0l17,2863,7132,2578,7132,200,0,0xe">
                      <v:fill on="t" opacity="32768f" focussize="0,0"/>
                      <v:stroke on="f"/>
                      <v:imagedata o:title=""/>
                      <o:lock v:ext="edit" aspectratio="f"/>
                    </v:shape>
                    <v:shape id="任意多边形 103" o:spid="_x0000_s1026" o:spt="100" style="position:absolute;left:7150;top:7468;height:3550;width:3466;" fillcolor="#D3DFEE" filled="t" stroked="f" coordsize="3466,3550" o:gfxdata="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mg5ugAAANoA&#10;AAAPAAAAAAAAAAEAIAAAACIAAABkcnMvZG93bnJldi54bWxQSwECFAAUAAAACACHTuJAMy8FnjsA&#10;AAA5AAAAEAAAAAAAAAABACAAAAAJAQAAZHJzL3NoYXBleG1sLnhtbFBLBQYAAAAABgAGAFsBAACz&#10;AwAAAAA=&#10;" path="m0,569l0,2930,3466,3550,3466,0,0,569xe">
                      <v:fill on="t" opacity="32768f" focussize="0,0"/>
                      <v:stroke on="f"/>
                      <v:imagedata o:title=""/>
                      <o:lock v:ext="edit" aspectratio="f"/>
                    </v:shape>
                    <v:shape id="任意多边形 104" o:spid="_x0000_s1026" o:spt="100" style="position:absolute;left:10616;top:7468;height:3550;width:1591;" fillcolor="#A7BFDE" filled="t" stroked="f" coordsize="1591,3550" o:gfxdata="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gWuC8AAAA&#10;2gAAAA8AAAAAAAAAAQAgAAAAIgAAAGRycy9kb3ducmV2LnhtbFBLAQIUABQAAAAIAIdO4kAzLwWe&#10;OwAAADkAAAAQAAAAAAAAAAEAIAAAAAsBAABkcnMvc2hhcGV4bWwueG1sUEsFBgAAAAAGAAYAWwEA&#10;ALUDAAAAAA==&#10;" path="m0,0l0,3550,1591,2746,1591,737,0,0xe">
                      <v:fill on="t" opacity="32768f" focussize="0,0"/>
                      <v:stroke on="f"/>
                      <v:imagedata o:title=""/>
                      <o:lock v:ext="edit" aspectratio="f"/>
                    </v:shape>
                  </v:group>
                  <v:shape id="任意多边形 105" o:spid="_x0000_s1026" o:spt="100" style="position:absolute;left:8071;top:4069;height:2913;width:4120;" fillcolor="#D8D8D8" filled="t" stroked="f" coordsize="4120,2913" o:gfxdata="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Hapy8AAAA&#10;2gAAAA8AAAAAAAAAAQAgAAAAIgAAAGRycy9kb3ducmV2LnhtbFBLAQIUABQAAAAIAIdO4kAzLwWe&#10;OwAAADkAAAAQAAAAAAAAAAEAIAAAAAsBAABkcnMvc2hhcGV4bWwueG1sUEsFBgAAAAAGAAYAWwEA&#10;ALUDAAAAAA==&#10;" path="m1,251l0,2662,4120,2913,4120,0,1,251xe">
                    <v:fill on="t" focussize="0,0"/>
                    <v:stroke on="f"/>
                    <v:imagedata o:title=""/>
                    <o:lock v:ext="edit" aspectratio="f"/>
                  </v:shape>
                  <v:shape id="任意多边形 106" o:spid="_x0000_s1026" o:spt="100" style="position:absolute;left:4104;top:3399;height:4236;width:3985;" fillcolor="#BFBFBF" filled="t" stroked="f" coordsize="3985,4236" o:gfxdata="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ubnq8AAAA&#10;2gAAAA8AAAAAAAAAAQAgAAAAIgAAAGRycy9kb3ducmV2LnhtbFBLAQIUABQAAAAIAIdO4kAzLwWe&#10;OwAAADkAAAAQAAAAAAAAAAEAIAAAAAsBAABkcnMvc2hhcGV4bWwueG1sUEsFBgAAAAAGAAYAWwEA&#10;ALUDAAAAAA==&#10;" path="m0,0l0,4236,3985,3349,3985,921,0,0xe">
                    <v:fill on="t" focussize="0,0"/>
                    <v:stroke on="f"/>
                    <v:imagedata o:title=""/>
                    <o:lock v:ext="edit" aspectratio="f"/>
                  </v:shape>
                  <v:shape id="任意多边形 107" o:spid="_x0000_s1026" o:spt="100" style="position:absolute;left:18;top:3399;height:4253;width:4086;" fillcolor="#D8D8D8" filled="t" stroked="f" coordsize="4086,4253" o:gfxdata="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PAM0vQAA&#10;ANoAAAAPAAAAAAAAAAEAIAAAACIAAABkcnMvZG93bnJldi54bWxQSwECFAAUAAAACACHTuJAMy8F&#10;njsAAAA5AAAAEAAAAAAAAAABACAAAAAMAQAAZHJzL3NoYXBleG1sLnhtbFBLBQYAAAAABgAGAFsB&#10;AAC2AwAAAAA=&#10;" path="m4086,0l4084,4253,0,3198,0,1072,4086,0xe">
                    <v:fill on="t" focussize="0,0"/>
                    <v:stroke on="f"/>
                    <v:imagedata o:title=""/>
                    <o:lock v:ext="edit" aspectratio="f"/>
                  </v:shape>
                  <v:shape id="任意多边形 108" o:spid="_x0000_s1026" o:spt="100" style="position:absolute;left:17;top:3617;height:3851;width:2076;" fillcolor="#D3DFEE" filled="t" stroked="f" coordsize="2076,3851" o:gfxdata="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VNS8K5AAAA2gAA&#10;AA8AAAAAAAAAAQAgAAAAIgAAAGRycy9kb3ducmV2LnhtbFBLAQIUABQAAAAIAIdO4kAzLwWeOwAA&#10;ADkAAAAQAAAAAAAAAAEAIAAAAAgBAABkcnMvc2hhcGV4bWwueG1sUEsFBgAAAAAGAAYAWwEAALID&#10;AAAAAA==&#10;" path="m0,921l2060,0,2076,3851,0,2981,0,921xe">
                    <v:fill on="t" opacity="45875f" focussize="0,0"/>
                    <v:stroke on="f"/>
                    <v:imagedata o:title=""/>
                    <o:lock v:ext="edit" aspectratio="f"/>
                  </v:shape>
                  <v:shape id="任意多边形 109" o:spid="_x0000_s1026" o:spt="100" style="position:absolute;left:2077;top:3617;height:1;width:1;" fillcolor="#A7BFDE" filled="t" stroked="f" coordsize="5868,4617" o:gfxdata="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WOK+C8AAAA&#10;2gAAAA8AAAAAAAAAAQAgAAAAIgAAAGRycy9kb3ducmV2LnhtbFBLAQIUABQAAAAIAIdO4kAzLwWe&#10;OwAAADkAAAAQAAAAAAAAAAEAIAAAAAsBAABkcnMvc2hhcGV4bWwueG1sUEsFBgAAAAAGAAYAWwEA&#10;ALUDAAAAAA==&#10;" path="m0,0l17,4617,5868,3165,5868,1492,144,144e">
                    <v:fill on="t" opacity="45875f" focussize="0,0"/>
                    <v:stroke on="f"/>
                    <v:imagedata o:title=""/>
                    <o:lock v:ext="edit" aspectratio="f"/>
                  </v:shape>
                  <v:shape id="任意多边形 110" o:spid="_x0000_s1026" o:spt="100" style="position:absolute;left:8088;top:3835;height:3432;width:4102;" fillcolor="#D3DFEE" filled="t" stroked="f" coordsize="4102,3432" o:gfxdata="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SSdDvQAA&#10;ANsAAAAPAAAAAAAAAAEAIAAAACIAAABkcnMvZG93bnJldi54bWxQSwECFAAUAAAACACHTuJAMy8F&#10;njsAAAA5AAAAEAAAAAAAAAABACAAAAAMAQAAZHJzL3NoYXBleG1sLnhtbFBLBQYAAAAABgAGAFsB&#10;AAC2AwAAAAA=&#10;" path="m0,1038l0,2411,4102,3432,4102,0,0,1038xe">
                    <v:fill on="t" opacity="45875f" focussize="0,0"/>
                    <v:stroke on="f"/>
                    <v:imagedata o:title=""/>
                    <o:lock v:ext="edit" aspectratio="f"/>
                  </v:shape>
                </v:group>
                <v:rect id="矩形 111" o:spid="_x0000_s1026" o:spt="1" style="position:absolute;left:1800;top:1440;height:1;width:1;" filled="f" stroked="f" coordsize="21600,21600" o:gfxdata="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oZ/8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ind w:hanging="426"/>
                          <w:jc w:val="center"/>
                          <w:rPr>
                            <w:rFonts w:ascii="仿宋" w:hAnsi="仿宋" w:eastAsia="仿宋"/>
                            <w:sz w:val="30"/>
                          </w:rPr>
                        </w:pPr>
                        <w:r>
                          <w:rPr>
                            <w:rFonts w:hint="eastAsia" w:ascii="黑体" w:hAnsi="黑体" w:eastAsia="黑体"/>
                            <w:sz w:val="84"/>
                            <w:szCs w:val="84"/>
                          </w:rPr>
                          <w:t>政府采购</w:t>
                        </w:r>
                      </w:p>
                      <w:p>
                        <w:pPr>
                          <w:ind w:hanging="426"/>
                          <w:jc w:val="center"/>
                          <w:rPr>
                            <w:rFonts w:ascii="仿宋" w:hAnsi="仿宋" w:eastAsia="仿宋"/>
                            <w:sz w:val="30"/>
                          </w:rPr>
                        </w:pPr>
                        <w:r>
                          <w:rPr>
                            <w:rFonts w:hint="eastAsia" w:ascii="黑体" w:hAnsi="黑体" w:eastAsia="黑体"/>
                            <w:spacing w:val="20"/>
                            <w:sz w:val="84"/>
                            <w:szCs w:val="84"/>
                          </w:rPr>
                          <w:t>电子化公开谈判文件</w:t>
                        </w:r>
                      </w:p>
                      <w:p>
                        <w:pPr>
                          <w:rPr>
                            <w:b/>
                            <w:bCs/>
                            <w:color w:val="808080"/>
                            <w:sz w:val="32"/>
                            <w:szCs w:val="32"/>
                          </w:rPr>
                        </w:pPr>
                      </w:p>
                      <w:p>
                        <w:pPr>
                          <w:rPr>
                            <w:b/>
                            <w:bCs/>
                            <w:color w:val="808080"/>
                            <w:sz w:val="32"/>
                            <w:szCs w:val="32"/>
                          </w:rPr>
                        </w:pPr>
                      </w:p>
                    </w:txbxContent>
                  </v:textbox>
                </v:rect>
                <v:rect id="矩形 112" o:spid="_x0000_s1026" o:spt="1" style="position:absolute;left:6494;top:11160;height:1289;width:4998;" filled="f" stroked="f" coordsize="21600,21600" o:gfxdata="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p9PG8AAAA&#10;2wAAAA8AAAAAAAAAAQAgAAAAIgAAAGRycy9kb3ducmV2LnhtbFBLAQIUABQAAAAIAIdO4kAzLwWe&#10;OwAAADkAAAAQAAAAAAAAAAEAIAAAAAsBAABkcnMvc2hhcGV4bWwueG1sUEsFBgAAAAAGAAYAWwEA&#10;ALUDAAAAAA==&#10;">
                  <v:fill on="f" focussize="0,0"/>
                  <v:stroke on="f"/>
                  <v:imagedata o:title=""/>
                  <o:lock v:ext="edit" aspectratio="f"/>
                  <v:textbox style="mso-fit-shape-to-text:t;">
                    <w:txbxContent>
                      <w:p>
                        <w:pPr>
                          <w:jc w:val="right"/>
                          <w:rPr>
                            <w:sz w:val="96"/>
                            <w:szCs w:val="96"/>
                          </w:rPr>
                        </w:pPr>
                      </w:p>
                    </w:txbxContent>
                  </v:textbox>
                </v:rect>
                <v:rect id="矩形 113" o:spid="_x0000_s1026" o:spt="1" style="position:absolute;left:1800;top:2294;height:1;width:1;v-text-anchor:bottom;" filled="f" stroked="f" coordsize="21600,21600" o:gfxdata="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z95F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rPr>
                            <w:szCs w:val="32"/>
                          </w:rPr>
                        </w:pPr>
                      </w:p>
                      <w:p>
                        <w:pPr>
                          <w:spacing w:line="800" w:lineRule="exact"/>
                          <w:ind w:left="-2" w:leftChars="-1" w:right="459" w:firstLine="24" w:firstLineChars="8"/>
                          <w:rPr>
                            <w:rFonts w:ascii="黑体" w:eastAsia="黑体"/>
                            <w:sz w:val="30"/>
                          </w:rPr>
                        </w:pPr>
                        <w:r>
                          <w:rPr>
                            <w:rFonts w:hint="eastAsia" w:ascii="黑体" w:eastAsia="黑体"/>
                            <w:sz w:val="30"/>
                          </w:rPr>
                          <w:t>项目名称：</w:t>
                        </w:r>
                        <w:r>
                          <w:rPr>
                            <w:rFonts w:hint="eastAsia" w:ascii="黑体" w:eastAsia="黑体"/>
                            <w:color w:val="FF0000"/>
                            <w:sz w:val="30"/>
                          </w:rPr>
                          <w:t>南昌大学高低压开关柜设备采购及安装</w:t>
                        </w:r>
                      </w:p>
                      <w:p>
                        <w:pPr>
                          <w:spacing w:line="800" w:lineRule="exact"/>
                          <w:ind w:left="-2" w:leftChars="-1" w:right="459" w:firstLine="24" w:firstLineChars="8"/>
                          <w:rPr>
                            <w:rFonts w:ascii="黑体" w:eastAsia="黑体"/>
                            <w:sz w:val="30"/>
                          </w:rPr>
                        </w:pPr>
                        <w:r>
                          <w:rPr>
                            <w:rFonts w:hint="eastAsia" w:ascii="黑体" w:eastAsia="黑体"/>
                            <w:sz w:val="30"/>
                          </w:rPr>
                          <w:t>项目编号：</w:t>
                        </w:r>
                        <w:r>
                          <w:rPr>
                            <w:rFonts w:hint="eastAsia" w:ascii="黑体" w:eastAsia="黑体"/>
                            <w:color w:val="FF0000"/>
                            <w:sz w:val="30"/>
                          </w:rPr>
                          <w:t>JXJH2019-AXXX</w:t>
                        </w:r>
                      </w:p>
                      <w:p>
                        <w:pPr>
                          <w:tabs>
                            <w:tab w:val="left" w:pos="1861"/>
                            <w:tab w:val="left" w:pos="2610"/>
                          </w:tabs>
                          <w:spacing w:line="800" w:lineRule="exact"/>
                          <w:ind w:left="-2" w:leftChars="-1" w:right="459" w:firstLine="24" w:firstLineChars="8"/>
                          <w:rPr>
                            <w:rFonts w:ascii="黑体" w:eastAsia="黑体"/>
                            <w:sz w:val="30"/>
                          </w:rPr>
                        </w:pPr>
                        <w:r>
                          <w:rPr>
                            <w:rFonts w:hint="eastAsia" w:ascii="黑体" w:eastAsia="黑体"/>
                            <w:sz w:val="30"/>
                          </w:rPr>
                          <w:t>采 购 人：</w:t>
                        </w:r>
                        <w:r>
                          <w:rPr>
                            <w:rFonts w:hint="eastAsia" w:ascii="黑体" w:eastAsia="黑体"/>
                            <w:color w:val="FF0000"/>
                            <w:sz w:val="30"/>
                          </w:rPr>
                          <w:t>南昌大学</w:t>
                        </w:r>
                      </w:p>
                      <w:p>
                        <w:pPr>
                          <w:spacing w:line="800" w:lineRule="exact"/>
                          <w:ind w:left="-2" w:leftChars="-1" w:right="459" w:firstLine="24" w:firstLineChars="8"/>
                          <w:rPr>
                            <w:rFonts w:ascii="黑体" w:eastAsia="黑体"/>
                            <w:sz w:val="30"/>
                          </w:rPr>
                        </w:pPr>
                        <w:r>
                          <w:rPr>
                            <w:rFonts w:hint="eastAsia" w:ascii="黑体" w:eastAsia="黑体"/>
                            <w:sz w:val="30"/>
                          </w:rPr>
                          <w:t>采购代理机构：江西骏宏招标咨询有限公司</w:t>
                        </w:r>
                      </w:p>
                    </w:txbxContent>
                  </v:textbox>
                </v:rect>
              </v:group>
            </w:pict>
          </mc:Fallback>
        </mc:AlternateContent>
      </w:r>
    </w:p>
    <w:p>
      <w:pPr>
        <w:jc w:val="center"/>
        <w:rPr>
          <w:rFonts w:ascii="仿宋" w:hAnsi="仿宋" w:eastAsia="仿宋"/>
          <w:color w:val="auto"/>
          <w:spacing w:val="20"/>
          <w:sz w:val="84"/>
          <w:szCs w:val="84"/>
          <w:highlight w:val="none"/>
        </w:rPr>
      </w:pPr>
      <w:r>
        <w:rPr>
          <w:rFonts w:hint="eastAsia" w:ascii="仿宋" w:hAnsi="仿宋" w:eastAsia="仿宋"/>
          <w:color w:val="auto"/>
          <w:spacing w:val="20"/>
          <w:sz w:val="84"/>
          <w:szCs w:val="84"/>
          <w:highlight w:val="none"/>
        </w:rPr>
        <w:t>竞争性</w:t>
      </w:r>
      <w:bookmarkStart w:id="175" w:name="_GoBack"/>
      <w:bookmarkEnd w:id="175"/>
      <w:r>
        <w:rPr>
          <w:rFonts w:hint="eastAsia" w:ascii="仿宋" w:hAnsi="仿宋" w:eastAsia="仿宋"/>
          <w:color w:val="auto"/>
          <w:spacing w:val="20"/>
          <w:sz w:val="84"/>
          <w:szCs w:val="84"/>
          <w:highlight w:val="none"/>
        </w:rPr>
        <w:t>谈判文件</w:t>
      </w:r>
    </w:p>
    <w:p>
      <w:pPr>
        <w:rPr>
          <w:rFonts w:ascii="仿宋" w:hAnsi="仿宋" w:eastAsia="仿宋"/>
          <w:caps/>
          <w:color w:val="auto"/>
          <w:kern w:val="0"/>
          <w:sz w:val="22"/>
          <w:szCs w:val="22"/>
          <w:highlight w:val="none"/>
        </w:rPr>
      </w:pPr>
    </w:p>
    <w:p>
      <w:pPr>
        <w:rPr>
          <w:rFonts w:ascii="仿宋" w:hAnsi="仿宋" w:eastAsia="仿宋"/>
          <w:caps/>
          <w:color w:val="auto"/>
          <w:kern w:val="0"/>
          <w:sz w:val="22"/>
          <w:szCs w:val="22"/>
          <w:highlight w:val="none"/>
        </w:rPr>
      </w:pPr>
    </w:p>
    <w:p>
      <w:pPr>
        <w:rPr>
          <w:rFonts w:ascii="仿宋" w:hAnsi="仿宋" w:eastAsia="仿宋"/>
          <w:caps/>
          <w:color w:val="auto"/>
          <w:kern w:val="0"/>
          <w:sz w:val="22"/>
          <w:szCs w:val="22"/>
          <w:highlight w:val="none"/>
        </w:rPr>
      </w:pPr>
    </w:p>
    <w:p>
      <w:pPr>
        <w:rPr>
          <w:rFonts w:ascii="仿宋" w:hAnsi="仿宋" w:eastAsia="仿宋"/>
          <w:caps/>
          <w:color w:val="auto"/>
          <w:kern w:val="0"/>
          <w:sz w:val="22"/>
          <w:szCs w:val="22"/>
          <w:highlight w:val="none"/>
        </w:rPr>
      </w:pPr>
    </w:p>
    <w:p>
      <w:pPr>
        <w:rPr>
          <w:rFonts w:ascii="仿宋" w:hAnsi="仿宋" w:eastAsia="仿宋"/>
          <w:caps/>
          <w:color w:val="auto"/>
          <w:kern w:val="0"/>
          <w:sz w:val="22"/>
          <w:szCs w:val="22"/>
          <w:highlight w:val="none"/>
        </w:rPr>
      </w:pPr>
    </w:p>
    <w:p>
      <w:pPr>
        <w:rPr>
          <w:rFonts w:ascii="仿宋" w:hAnsi="仿宋" w:eastAsia="仿宋"/>
          <w:caps/>
          <w:color w:val="auto"/>
          <w:kern w:val="0"/>
          <w:sz w:val="22"/>
          <w:szCs w:val="22"/>
          <w:highlight w:val="none"/>
        </w:rPr>
      </w:pPr>
    </w:p>
    <w:p>
      <w:pPr>
        <w:spacing w:line="800" w:lineRule="exact"/>
        <w:ind w:left="-2" w:leftChars="-1" w:right="459" w:firstLine="324" w:firstLineChars="108"/>
        <w:rPr>
          <w:rFonts w:hint="eastAsia" w:ascii="仿宋" w:hAnsi="仿宋" w:eastAsia="仿宋"/>
          <w:color w:val="auto"/>
          <w:sz w:val="30"/>
          <w:highlight w:val="none"/>
          <w:lang w:eastAsia="zh-CN"/>
        </w:rPr>
      </w:pPr>
      <w:r>
        <w:rPr>
          <w:rFonts w:hint="eastAsia" w:ascii="仿宋" w:hAnsi="仿宋" w:eastAsia="仿宋"/>
          <w:color w:val="auto"/>
          <w:sz w:val="30"/>
          <w:highlight w:val="none"/>
        </w:rPr>
        <w:t>项目名称：</w:t>
      </w:r>
      <w:r>
        <w:rPr>
          <w:rFonts w:hint="eastAsia" w:ascii="仿宋" w:hAnsi="仿宋" w:eastAsia="仿宋"/>
          <w:color w:val="auto"/>
          <w:sz w:val="30"/>
          <w:highlight w:val="none"/>
          <w:lang w:eastAsia="zh-CN"/>
        </w:rPr>
        <w:t>2023年一带一路暨金砖国家技能发展与技术创新大赛婴幼儿照护赛项选拔赛项目采购</w:t>
      </w:r>
    </w:p>
    <w:p>
      <w:pPr>
        <w:spacing w:line="800" w:lineRule="exact"/>
        <w:ind w:left="-2" w:leftChars="-1" w:right="459" w:firstLine="324" w:firstLineChars="108"/>
        <w:rPr>
          <w:rFonts w:hint="eastAsia" w:ascii="仿宋" w:hAnsi="仿宋" w:eastAsia="仿宋"/>
          <w:color w:val="auto"/>
          <w:sz w:val="30"/>
          <w:highlight w:val="none"/>
          <w:lang w:eastAsia="zh-CN"/>
        </w:rPr>
      </w:pPr>
      <w:r>
        <w:rPr>
          <w:rFonts w:hint="eastAsia" w:ascii="仿宋" w:hAnsi="仿宋" w:eastAsia="仿宋"/>
          <w:color w:val="auto"/>
          <w:sz w:val="30"/>
          <w:highlight w:val="none"/>
        </w:rPr>
        <w:t>项目编号：</w:t>
      </w:r>
      <w:r>
        <w:rPr>
          <w:rFonts w:hint="eastAsia" w:ascii="仿宋" w:hAnsi="仿宋" w:eastAsia="仿宋"/>
          <w:color w:val="auto"/>
          <w:sz w:val="30"/>
          <w:highlight w:val="none"/>
          <w:lang w:eastAsia="zh-CN"/>
        </w:rPr>
        <w:t>JXJH2023-XC040</w:t>
      </w:r>
    </w:p>
    <w:p>
      <w:pPr>
        <w:tabs>
          <w:tab w:val="left" w:pos="1861"/>
          <w:tab w:val="left" w:pos="2610"/>
        </w:tabs>
        <w:spacing w:line="800" w:lineRule="exact"/>
        <w:ind w:left="-2" w:leftChars="-1" w:right="459" w:firstLine="324" w:firstLineChars="108"/>
        <w:rPr>
          <w:rFonts w:ascii="仿宋" w:hAnsi="仿宋" w:eastAsia="仿宋"/>
          <w:color w:val="auto"/>
          <w:sz w:val="30"/>
          <w:highlight w:val="none"/>
        </w:rPr>
      </w:pPr>
      <w:r>
        <w:rPr>
          <w:rFonts w:hint="eastAsia" w:ascii="仿宋" w:hAnsi="仿宋" w:eastAsia="仿宋"/>
          <w:color w:val="auto"/>
          <w:sz w:val="30"/>
          <w:highlight w:val="none"/>
        </w:rPr>
        <w:t>采 购 人：江西旅游商贸职业学院</w:t>
      </w:r>
    </w:p>
    <w:p>
      <w:pPr>
        <w:spacing w:line="800" w:lineRule="exact"/>
        <w:ind w:left="-2" w:leftChars="-1" w:right="459" w:firstLine="324" w:firstLineChars="108"/>
        <w:rPr>
          <w:rFonts w:ascii="仿宋" w:hAnsi="仿宋" w:eastAsia="仿宋"/>
          <w:color w:val="auto"/>
          <w:sz w:val="30"/>
          <w:highlight w:val="none"/>
        </w:rPr>
      </w:pPr>
      <w:r>
        <w:rPr>
          <w:rFonts w:hint="eastAsia" w:ascii="仿宋" w:hAnsi="仿宋" w:eastAsia="仿宋"/>
          <w:color w:val="auto"/>
          <w:sz w:val="30"/>
          <w:highlight w:val="none"/>
        </w:rPr>
        <w:t>采购代理机构：江西骏宏招标咨询有限公司</w:t>
      </w:r>
    </w:p>
    <w:p>
      <w:pPr>
        <w:rPr>
          <w:rFonts w:ascii="仿宋" w:hAnsi="仿宋" w:eastAsia="仿宋"/>
          <w:caps/>
          <w:color w:val="auto"/>
          <w:kern w:val="0"/>
          <w:sz w:val="22"/>
          <w:szCs w:val="22"/>
          <w:highlight w:val="none"/>
        </w:rPr>
      </w:pPr>
    </w:p>
    <w:p>
      <w:pPr>
        <w:autoSpaceDE w:val="0"/>
        <w:autoSpaceDN w:val="0"/>
        <w:adjustRightInd w:val="0"/>
        <w:jc w:val="center"/>
        <w:rPr>
          <w:rFonts w:ascii="仿宋" w:hAnsi="仿宋" w:eastAsia="仿宋"/>
          <w:color w:val="auto"/>
          <w:sz w:val="24"/>
          <w:highlight w:val="none"/>
        </w:rPr>
      </w:pPr>
      <w:r>
        <w:rPr>
          <w:rFonts w:ascii="仿宋" w:hAnsi="仿宋" w:eastAsia="仿宋"/>
          <w:caps/>
          <w:color w:val="auto"/>
          <w:kern w:val="0"/>
          <w:sz w:val="22"/>
          <w:szCs w:val="22"/>
          <w:highlight w:val="none"/>
        </w:rPr>
        <w:br w:type="page"/>
      </w:r>
      <w:r>
        <w:rPr>
          <w:rFonts w:hint="eastAsia" w:ascii="仿宋" w:hAnsi="仿宋" w:eastAsia="仿宋"/>
          <w:color w:val="auto"/>
          <w:sz w:val="24"/>
          <w:highlight w:val="none"/>
        </w:rPr>
        <w:t>目         录</w:t>
      </w:r>
    </w:p>
    <w:p>
      <w:pPr>
        <w:pStyle w:val="28"/>
        <w:tabs>
          <w:tab w:val="right" w:leader="dot" w:pos="9746"/>
          <w:tab w:val="clear" w:pos="8296"/>
        </w:tabs>
        <w:rPr>
          <w:color w:val="auto"/>
        </w:rPr>
      </w:pPr>
      <w:r>
        <w:rPr>
          <w:rFonts w:ascii="仿宋" w:hAnsi="仿宋" w:eastAsia="仿宋"/>
          <w:color w:val="auto"/>
          <w:sz w:val="24"/>
          <w:highlight w:val="none"/>
        </w:rPr>
        <w:fldChar w:fldCharType="begin"/>
      </w:r>
      <w:r>
        <w:rPr>
          <w:rFonts w:ascii="仿宋" w:hAnsi="仿宋" w:eastAsia="仿宋"/>
          <w:color w:val="auto"/>
          <w:sz w:val="24"/>
          <w:highlight w:val="none"/>
        </w:rPr>
        <w:instrText xml:space="preserve"> TOC \o "1-3" \h \z </w:instrText>
      </w:r>
      <w:r>
        <w:rPr>
          <w:rFonts w:ascii="仿宋" w:hAnsi="仿宋" w:eastAsia="仿宋"/>
          <w:color w:val="auto"/>
          <w:sz w:val="24"/>
          <w:highlight w:val="none"/>
        </w:rPr>
        <w:fldChar w:fldCharType="separate"/>
      </w:r>
      <w:r>
        <w:rPr>
          <w:rFonts w:ascii="仿宋" w:hAnsi="仿宋" w:eastAsia="仿宋"/>
          <w:color w:val="auto"/>
          <w:highlight w:val="none"/>
        </w:rPr>
        <w:fldChar w:fldCharType="begin"/>
      </w:r>
      <w:r>
        <w:rPr>
          <w:rFonts w:ascii="仿宋" w:hAnsi="仿宋" w:eastAsia="仿宋"/>
          <w:color w:val="auto"/>
          <w:highlight w:val="none"/>
        </w:rPr>
        <w:instrText xml:space="preserve"> HYPERLINK \l _Toc32535 </w:instrText>
      </w:r>
      <w:r>
        <w:rPr>
          <w:rFonts w:ascii="仿宋" w:hAnsi="仿宋" w:eastAsia="仿宋"/>
          <w:color w:val="auto"/>
          <w:highlight w:val="none"/>
        </w:rPr>
        <w:fldChar w:fldCharType="separate"/>
      </w:r>
      <w:r>
        <w:rPr>
          <w:rFonts w:hint="eastAsia" w:ascii="仿宋" w:hAnsi="仿宋" w:eastAsia="仿宋"/>
          <w:color w:val="auto"/>
          <w:highlight w:val="none"/>
        </w:rPr>
        <w:t>第一章、谈判邀请函</w:t>
      </w:r>
      <w:r>
        <w:rPr>
          <w:color w:val="auto"/>
        </w:rPr>
        <w:tab/>
      </w:r>
      <w:r>
        <w:rPr>
          <w:color w:val="auto"/>
        </w:rPr>
        <w:fldChar w:fldCharType="begin"/>
      </w:r>
      <w:r>
        <w:rPr>
          <w:color w:val="auto"/>
        </w:rPr>
        <w:instrText xml:space="preserve"> PAGEREF _Toc32535 \h </w:instrText>
      </w:r>
      <w:r>
        <w:rPr>
          <w:color w:val="auto"/>
        </w:rPr>
        <w:fldChar w:fldCharType="separate"/>
      </w:r>
      <w:r>
        <w:rPr>
          <w:color w:val="auto"/>
        </w:rPr>
        <w:t>1</w:t>
      </w:r>
      <w:r>
        <w:rPr>
          <w:color w:val="auto"/>
        </w:rPr>
        <w:fldChar w:fldCharType="end"/>
      </w:r>
      <w:r>
        <w:rPr>
          <w:rFonts w:ascii="仿宋" w:hAnsi="仿宋" w:eastAsia="仿宋"/>
          <w:color w:val="auto"/>
          <w:highlight w:val="none"/>
        </w:rPr>
        <w:fldChar w:fldCharType="end"/>
      </w:r>
    </w:p>
    <w:p>
      <w:pPr>
        <w:pStyle w:val="28"/>
        <w:tabs>
          <w:tab w:val="right" w:leader="dot" w:pos="9746"/>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_Toc12128 </w:instrText>
      </w:r>
      <w:r>
        <w:rPr>
          <w:rFonts w:ascii="仿宋" w:hAnsi="仿宋" w:eastAsia="仿宋"/>
          <w:color w:val="auto"/>
          <w:highlight w:val="none"/>
        </w:rPr>
        <w:fldChar w:fldCharType="separate"/>
      </w:r>
      <w:r>
        <w:rPr>
          <w:rFonts w:hint="eastAsia" w:ascii="仿宋" w:hAnsi="仿宋" w:eastAsia="仿宋"/>
          <w:color w:val="auto"/>
          <w:highlight w:val="none"/>
        </w:rPr>
        <w:t>第二章、供应商须知</w:t>
      </w:r>
      <w:r>
        <w:rPr>
          <w:color w:val="auto"/>
        </w:rPr>
        <w:tab/>
      </w:r>
      <w:r>
        <w:rPr>
          <w:color w:val="auto"/>
        </w:rPr>
        <w:fldChar w:fldCharType="begin"/>
      </w:r>
      <w:r>
        <w:rPr>
          <w:color w:val="auto"/>
        </w:rPr>
        <w:instrText xml:space="preserve"> PAGEREF _Toc12128 \h </w:instrText>
      </w:r>
      <w:r>
        <w:rPr>
          <w:color w:val="auto"/>
        </w:rPr>
        <w:fldChar w:fldCharType="separate"/>
      </w:r>
      <w:r>
        <w:rPr>
          <w:color w:val="auto"/>
        </w:rPr>
        <w:t>4</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_Toc32208 </w:instrText>
      </w:r>
      <w:r>
        <w:rPr>
          <w:rFonts w:ascii="仿宋" w:hAnsi="仿宋" w:eastAsia="仿宋"/>
          <w:color w:val="auto"/>
          <w:highlight w:val="none"/>
        </w:rPr>
        <w:fldChar w:fldCharType="separate"/>
      </w:r>
      <w:r>
        <w:rPr>
          <w:rFonts w:hint="eastAsia" w:ascii="仿宋" w:hAnsi="仿宋" w:eastAsia="仿宋"/>
          <w:color w:val="auto"/>
          <w:kern w:val="0"/>
          <w:highlight w:val="none"/>
        </w:rPr>
        <w:t>供应商须知前附表</w:t>
      </w:r>
      <w:r>
        <w:rPr>
          <w:color w:val="auto"/>
        </w:rPr>
        <w:tab/>
      </w:r>
      <w:r>
        <w:rPr>
          <w:color w:val="auto"/>
        </w:rPr>
        <w:fldChar w:fldCharType="begin"/>
      </w:r>
      <w:r>
        <w:rPr>
          <w:color w:val="auto"/>
        </w:rPr>
        <w:instrText xml:space="preserve"> PAGEREF _Toc32208 \h </w:instrText>
      </w:r>
      <w:r>
        <w:rPr>
          <w:color w:val="auto"/>
        </w:rPr>
        <w:fldChar w:fldCharType="separate"/>
      </w:r>
      <w:r>
        <w:rPr>
          <w:color w:val="auto"/>
        </w:rPr>
        <w:t>4</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_Toc21391 </w:instrText>
      </w:r>
      <w:r>
        <w:rPr>
          <w:rFonts w:ascii="仿宋" w:hAnsi="仿宋" w:eastAsia="仿宋"/>
          <w:color w:val="auto"/>
          <w:highlight w:val="none"/>
        </w:rPr>
        <w:fldChar w:fldCharType="separate"/>
      </w:r>
      <w:r>
        <w:rPr>
          <w:rFonts w:hint="eastAsia" w:ascii="仿宋" w:hAnsi="仿宋" w:eastAsia="仿宋"/>
          <w:color w:val="auto"/>
          <w:highlight w:val="none"/>
        </w:rPr>
        <w:t>一、说明</w:t>
      </w:r>
      <w:r>
        <w:rPr>
          <w:color w:val="auto"/>
        </w:rPr>
        <w:tab/>
      </w:r>
      <w:r>
        <w:rPr>
          <w:color w:val="auto"/>
        </w:rPr>
        <w:fldChar w:fldCharType="begin"/>
      </w:r>
      <w:r>
        <w:rPr>
          <w:color w:val="auto"/>
        </w:rPr>
        <w:instrText xml:space="preserve"> PAGEREF _Toc21391 \h </w:instrText>
      </w:r>
      <w:r>
        <w:rPr>
          <w:color w:val="auto"/>
        </w:rPr>
        <w:fldChar w:fldCharType="separate"/>
      </w:r>
      <w:r>
        <w:rPr>
          <w:color w:val="auto"/>
        </w:rPr>
        <w:t>9</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_Toc12884 </w:instrText>
      </w:r>
      <w:r>
        <w:rPr>
          <w:rFonts w:ascii="仿宋" w:hAnsi="仿宋" w:eastAsia="仿宋"/>
          <w:color w:val="auto"/>
          <w:highlight w:val="none"/>
        </w:rPr>
        <w:fldChar w:fldCharType="separate"/>
      </w:r>
      <w:r>
        <w:rPr>
          <w:rFonts w:hint="eastAsia" w:ascii="仿宋" w:hAnsi="仿宋" w:eastAsia="仿宋"/>
          <w:color w:val="auto"/>
          <w:highlight w:val="none"/>
        </w:rPr>
        <w:t>二、谈判文件</w:t>
      </w:r>
      <w:r>
        <w:rPr>
          <w:color w:val="auto"/>
        </w:rPr>
        <w:tab/>
      </w:r>
      <w:r>
        <w:rPr>
          <w:color w:val="auto"/>
        </w:rPr>
        <w:fldChar w:fldCharType="begin"/>
      </w:r>
      <w:r>
        <w:rPr>
          <w:color w:val="auto"/>
        </w:rPr>
        <w:instrText xml:space="preserve"> PAGEREF _Toc12884 \h </w:instrText>
      </w:r>
      <w:r>
        <w:rPr>
          <w:color w:val="auto"/>
        </w:rPr>
        <w:fldChar w:fldCharType="separate"/>
      </w:r>
      <w:r>
        <w:rPr>
          <w:color w:val="auto"/>
        </w:rPr>
        <w:t>10</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_Toc19563 </w:instrText>
      </w:r>
      <w:r>
        <w:rPr>
          <w:rFonts w:ascii="仿宋" w:hAnsi="仿宋" w:eastAsia="仿宋"/>
          <w:color w:val="auto"/>
          <w:highlight w:val="none"/>
        </w:rPr>
        <w:fldChar w:fldCharType="separate"/>
      </w:r>
      <w:r>
        <w:rPr>
          <w:rFonts w:hint="eastAsia" w:ascii="仿宋" w:hAnsi="仿宋" w:eastAsia="仿宋"/>
          <w:color w:val="auto"/>
          <w:highlight w:val="none"/>
        </w:rPr>
        <w:t>三、谈判响应文件的编制</w:t>
      </w:r>
      <w:r>
        <w:rPr>
          <w:color w:val="auto"/>
        </w:rPr>
        <w:tab/>
      </w:r>
      <w:r>
        <w:rPr>
          <w:color w:val="auto"/>
        </w:rPr>
        <w:fldChar w:fldCharType="begin"/>
      </w:r>
      <w:r>
        <w:rPr>
          <w:color w:val="auto"/>
        </w:rPr>
        <w:instrText xml:space="preserve"> PAGEREF _Toc19563 \h </w:instrText>
      </w:r>
      <w:r>
        <w:rPr>
          <w:color w:val="auto"/>
        </w:rPr>
        <w:fldChar w:fldCharType="separate"/>
      </w:r>
      <w:r>
        <w:rPr>
          <w:color w:val="auto"/>
        </w:rPr>
        <w:t>11</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_Toc6050 </w:instrText>
      </w:r>
      <w:r>
        <w:rPr>
          <w:rFonts w:ascii="仿宋" w:hAnsi="仿宋" w:eastAsia="仿宋"/>
          <w:color w:val="auto"/>
          <w:highlight w:val="none"/>
        </w:rPr>
        <w:fldChar w:fldCharType="separate"/>
      </w:r>
      <w:r>
        <w:rPr>
          <w:rFonts w:ascii="仿宋" w:hAnsi="仿宋" w:eastAsia="仿宋"/>
          <w:color w:val="auto"/>
          <w:highlight w:val="none"/>
        </w:rPr>
        <w:t>四、谈判响应文件的递交</w:t>
      </w:r>
      <w:r>
        <w:rPr>
          <w:color w:val="auto"/>
        </w:rPr>
        <w:tab/>
      </w:r>
      <w:r>
        <w:rPr>
          <w:color w:val="auto"/>
        </w:rPr>
        <w:fldChar w:fldCharType="begin"/>
      </w:r>
      <w:r>
        <w:rPr>
          <w:color w:val="auto"/>
        </w:rPr>
        <w:instrText xml:space="preserve"> PAGEREF _Toc6050 \h </w:instrText>
      </w:r>
      <w:r>
        <w:rPr>
          <w:color w:val="auto"/>
        </w:rPr>
        <w:fldChar w:fldCharType="separate"/>
      </w:r>
      <w:r>
        <w:rPr>
          <w:color w:val="auto"/>
        </w:rPr>
        <w:t>15</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_Toc29567 </w:instrText>
      </w:r>
      <w:r>
        <w:rPr>
          <w:rFonts w:ascii="仿宋" w:hAnsi="仿宋" w:eastAsia="仿宋"/>
          <w:color w:val="auto"/>
          <w:highlight w:val="none"/>
        </w:rPr>
        <w:fldChar w:fldCharType="separate"/>
      </w:r>
      <w:r>
        <w:rPr>
          <w:rFonts w:ascii="仿宋" w:hAnsi="仿宋" w:eastAsia="仿宋"/>
          <w:color w:val="auto"/>
          <w:highlight w:val="none"/>
        </w:rPr>
        <w:t>五、谈判</w:t>
      </w:r>
      <w:r>
        <w:rPr>
          <w:color w:val="auto"/>
        </w:rPr>
        <w:tab/>
      </w:r>
      <w:r>
        <w:rPr>
          <w:color w:val="auto"/>
        </w:rPr>
        <w:fldChar w:fldCharType="begin"/>
      </w:r>
      <w:r>
        <w:rPr>
          <w:color w:val="auto"/>
        </w:rPr>
        <w:instrText xml:space="preserve"> PAGEREF _Toc29567 \h </w:instrText>
      </w:r>
      <w:r>
        <w:rPr>
          <w:color w:val="auto"/>
        </w:rPr>
        <w:fldChar w:fldCharType="separate"/>
      </w:r>
      <w:r>
        <w:rPr>
          <w:color w:val="auto"/>
        </w:rPr>
        <w:t>16</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_Toc18830 </w:instrText>
      </w:r>
      <w:r>
        <w:rPr>
          <w:rFonts w:ascii="仿宋" w:hAnsi="仿宋" w:eastAsia="仿宋"/>
          <w:color w:val="auto"/>
          <w:highlight w:val="none"/>
        </w:rPr>
        <w:fldChar w:fldCharType="separate"/>
      </w:r>
      <w:r>
        <w:rPr>
          <w:rFonts w:ascii="仿宋" w:hAnsi="仿宋" w:eastAsia="仿宋"/>
          <w:color w:val="auto"/>
          <w:highlight w:val="none"/>
        </w:rPr>
        <w:t>六、确定成交供应商</w:t>
      </w:r>
      <w:r>
        <w:rPr>
          <w:color w:val="auto"/>
        </w:rPr>
        <w:tab/>
      </w:r>
      <w:r>
        <w:rPr>
          <w:color w:val="auto"/>
        </w:rPr>
        <w:fldChar w:fldCharType="begin"/>
      </w:r>
      <w:r>
        <w:rPr>
          <w:color w:val="auto"/>
        </w:rPr>
        <w:instrText xml:space="preserve"> PAGEREF _Toc18830 \h </w:instrText>
      </w:r>
      <w:r>
        <w:rPr>
          <w:color w:val="auto"/>
        </w:rPr>
        <w:fldChar w:fldCharType="separate"/>
      </w:r>
      <w:r>
        <w:rPr>
          <w:color w:val="auto"/>
        </w:rPr>
        <w:t>19</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_Toc25563 </w:instrText>
      </w:r>
      <w:r>
        <w:rPr>
          <w:rFonts w:ascii="仿宋" w:hAnsi="仿宋" w:eastAsia="仿宋"/>
          <w:color w:val="auto"/>
          <w:highlight w:val="none"/>
        </w:rPr>
        <w:fldChar w:fldCharType="separate"/>
      </w:r>
      <w:r>
        <w:rPr>
          <w:rFonts w:ascii="仿宋" w:hAnsi="仿宋" w:eastAsia="仿宋"/>
          <w:color w:val="auto"/>
          <w:highlight w:val="none"/>
        </w:rPr>
        <w:t>七、授予合同</w:t>
      </w:r>
      <w:r>
        <w:rPr>
          <w:color w:val="auto"/>
        </w:rPr>
        <w:tab/>
      </w:r>
      <w:r>
        <w:rPr>
          <w:color w:val="auto"/>
        </w:rPr>
        <w:fldChar w:fldCharType="begin"/>
      </w:r>
      <w:r>
        <w:rPr>
          <w:color w:val="auto"/>
        </w:rPr>
        <w:instrText xml:space="preserve"> PAGEREF _Toc25563 \h </w:instrText>
      </w:r>
      <w:r>
        <w:rPr>
          <w:color w:val="auto"/>
        </w:rPr>
        <w:fldChar w:fldCharType="separate"/>
      </w:r>
      <w:r>
        <w:rPr>
          <w:color w:val="auto"/>
        </w:rPr>
        <w:t>19</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_Toc29495 </w:instrText>
      </w:r>
      <w:r>
        <w:rPr>
          <w:rFonts w:ascii="仿宋" w:hAnsi="仿宋" w:eastAsia="仿宋"/>
          <w:color w:val="auto"/>
          <w:highlight w:val="none"/>
        </w:rPr>
        <w:fldChar w:fldCharType="separate"/>
      </w:r>
      <w:r>
        <w:rPr>
          <w:rFonts w:ascii="仿宋" w:hAnsi="仿宋" w:eastAsia="仿宋"/>
          <w:color w:val="auto"/>
          <w:highlight w:val="none"/>
        </w:rPr>
        <w:t>八、质疑</w:t>
      </w:r>
      <w:r>
        <w:rPr>
          <w:rFonts w:hint="eastAsia" w:ascii="仿宋" w:hAnsi="仿宋" w:eastAsia="仿宋"/>
          <w:color w:val="auto"/>
          <w:highlight w:val="none"/>
        </w:rPr>
        <w:t>与投诉</w:t>
      </w:r>
      <w:r>
        <w:rPr>
          <w:color w:val="auto"/>
        </w:rPr>
        <w:tab/>
      </w:r>
      <w:r>
        <w:rPr>
          <w:color w:val="auto"/>
        </w:rPr>
        <w:fldChar w:fldCharType="begin"/>
      </w:r>
      <w:r>
        <w:rPr>
          <w:color w:val="auto"/>
        </w:rPr>
        <w:instrText xml:space="preserve"> PAGEREF _Toc29495 \h </w:instrText>
      </w:r>
      <w:r>
        <w:rPr>
          <w:color w:val="auto"/>
        </w:rPr>
        <w:fldChar w:fldCharType="separate"/>
      </w:r>
      <w:r>
        <w:rPr>
          <w:color w:val="auto"/>
        </w:rPr>
        <w:t>20</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_Toc20293 </w:instrText>
      </w:r>
      <w:r>
        <w:rPr>
          <w:rFonts w:ascii="仿宋" w:hAnsi="仿宋" w:eastAsia="仿宋"/>
          <w:color w:val="auto"/>
          <w:highlight w:val="none"/>
        </w:rPr>
        <w:fldChar w:fldCharType="separate"/>
      </w:r>
      <w:r>
        <w:rPr>
          <w:rFonts w:ascii="仿宋" w:hAnsi="仿宋" w:eastAsia="仿宋"/>
          <w:color w:val="auto"/>
          <w:highlight w:val="none"/>
        </w:rPr>
        <w:t>九、其他事项</w:t>
      </w:r>
      <w:r>
        <w:rPr>
          <w:color w:val="auto"/>
        </w:rPr>
        <w:tab/>
      </w:r>
      <w:r>
        <w:rPr>
          <w:color w:val="auto"/>
        </w:rPr>
        <w:fldChar w:fldCharType="begin"/>
      </w:r>
      <w:r>
        <w:rPr>
          <w:color w:val="auto"/>
        </w:rPr>
        <w:instrText xml:space="preserve"> PAGEREF _Toc20293 \h </w:instrText>
      </w:r>
      <w:r>
        <w:rPr>
          <w:color w:val="auto"/>
        </w:rPr>
        <w:fldChar w:fldCharType="separate"/>
      </w:r>
      <w:r>
        <w:rPr>
          <w:color w:val="auto"/>
        </w:rPr>
        <w:t>23</w:t>
      </w:r>
      <w:r>
        <w:rPr>
          <w:color w:val="auto"/>
        </w:rPr>
        <w:fldChar w:fldCharType="end"/>
      </w:r>
      <w:r>
        <w:rPr>
          <w:rFonts w:ascii="仿宋" w:hAnsi="仿宋" w:eastAsia="仿宋"/>
          <w:color w:val="auto"/>
          <w:highlight w:val="none"/>
        </w:rPr>
        <w:fldChar w:fldCharType="end"/>
      </w:r>
    </w:p>
    <w:p>
      <w:pPr>
        <w:pStyle w:val="28"/>
        <w:tabs>
          <w:tab w:val="right" w:leader="dot" w:pos="9746"/>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_Toc28132 </w:instrText>
      </w:r>
      <w:r>
        <w:rPr>
          <w:rFonts w:ascii="仿宋" w:hAnsi="仿宋" w:eastAsia="仿宋"/>
          <w:color w:val="auto"/>
          <w:highlight w:val="none"/>
        </w:rPr>
        <w:fldChar w:fldCharType="separate"/>
      </w:r>
      <w:r>
        <w:rPr>
          <w:rFonts w:hint="eastAsia" w:ascii="仿宋" w:hAnsi="仿宋" w:eastAsia="仿宋"/>
          <w:color w:val="auto"/>
          <w:highlight w:val="none"/>
        </w:rPr>
        <w:t>第三章、项目采购需求</w:t>
      </w:r>
      <w:r>
        <w:rPr>
          <w:color w:val="auto"/>
        </w:rPr>
        <w:tab/>
      </w:r>
      <w:r>
        <w:rPr>
          <w:color w:val="auto"/>
        </w:rPr>
        <w:fldChar w:fldCharType="begin"/>
      </w:r>
      <w:r>
        <w:rPr>
          <w:color w:val="auto"/>
        </w:rPr>
        <w:instrText xml:space="preserve"> PAGEREF _Toc28132 \h </w:instrText>
      </w:r>
      <w:r>
        <w:rPr>
          <w:color w:val="auto"/>
        </w:rPr>
        <w:fldChar w:fldCharType="separate"/>
      </w:r>
      <w:r>
        <w:rPr>
          <w:color w:val="auto"/>
        </w:rPr>
        <w:t>25</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_Toc17952 </w:instrText>
      </w:r>
      <w:r>
        <w:rPr>
          <w:rFonts w:ascii="仿宋" w:hAnsi="仿宋" w:eastAsia="仿宋"/>
          <w:color w:val="auto"/>
          <w:highlight w:val="none"/>
        </w:rPr>
        <w:fldChar w:fldCharType="separate"/>
      </w:r>
      <w:r>
        <w:rPr>
          <w:rFonts w:hint="eastAsia" w:ascii="仿宋" w:hAnsi="仿宋" w:eastAsia="仿宋"/>
          <w:color w:val="auto"/>
          <w:highlight w:val="none"/>
        </w:rPr>
        <w:t>一、采购需求一览表</w:t>
      </w:r>
      <w:r>
        <w:rPr>
          <w:rFonts w:hint="eastAsia" w:ascii="仿宋" w:hAnsi="仿宋" w:eastAsia="仿宋"/>
          <w:color w:val="auto"/>
          <w:highlight w:val="none"/>
          <w:lang w:val="en-US" w:eastAsia="zh-CN"/>
        </w:rPr>
        <w:t>及</w:t>
      </w:r>
      <w:r>
        <w:rPr>
          <w:rFonts w:hint="eastAsia" w:ascii="仿宋" w:hAnsi="仿宋" w:eastAsia="仿宋"/>
          <w:color w:val="auto"/>
          <w:highlight w:val="none"/>
        </w:rPr>
        <w:t>技术要求</w:t>
      </w:r>
      <w:r>
        <w:rPr>
          <w:color w:val="auto"/>
        </w:rPr>
        <w:tab/>
      </w:r>
      <w:r>
        <w:rPr>
          <w:color w:val="auto"/>
        </w:rPr>
        <w:fldChar w:fldCharType="begin"/>
      </w:r>
      <w:r>
        <w:rPr>
          <w:color w:val="auto"/>
        </w:rPr>
        <w:instrText xml:space="preserve"> PAGEREF _Toc17952 \h </w:instrText>
      </w:r>
      <w:r>
        <w:rPr>
          <w:color w:val="auto"/>
        </w:rPr>
        <w:fldChar w:fldCharType="separate"/>
      </w:r>
      <w:r>
        <w:rPr>
          <w:color w:val="auto"/>
        </w:rPr>
        <w:t>25</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_Toc31703 </w:instrText>
      </w:r>
      <w:r>
        <w:rPr>
          <w:rFonts w:ascii="仿宋" w:hAnsi="仿宋" w:eastAsia="仿宋"/>
          <w:color w:val="auto"/>
          <w:highlight w:val="none"/>
        </w:rPr>
        <w:fldChar w:fldCharType="separate"/>
      </w:r>
      <w:r>
        <w:rPr>
          <w:rFonts w:hint="eastAsia" w:ascii="仿宋" w:hAnsi="仿宋" w:eastAsia="仿宋"/>
          <w:color w:val="auto"/>
          <w:highlight w:val="none"/>
          <w:lang w:val="en-US" w:eastAsia="zh-CN"/>
        </w:rPr>
        <w:t>二</w:t>
      </w:r>
      <w:r>
        <w:rPr>
          <w:rFonts w:hint="eastAsia" w:ascii="仿宋" w:hAnsi="仿宋" w:eastAsia="仿宋"/>
          <w:color w:val="auto"/>
          <w:highlight w:val="none"/>
        </w:rPr>
        <w:t>、商务要求</w:t>
      </w:r>
      <w:r>
        <w:rPr>
          <w:color w:val="auto"/>
        </w:rPr>
        <w:tab/>
      </w:r>
      <w:r>
        <w:rPr>
          <w:color w:val="auto"/>
        </w:rPr>
        <w:fldChar w:fldCharType="begin"/>
      </w:r>
      <w:r>
        <w:rPr>
          <w:color w:val="auto"/>
        </w:rPr>
        <w:instrText xml:space="preserve"> PAGEREF _Toc31703 \h </w:instrText>
      </w:r>
      <w:r>
        <w:rPr>
          <w:color w:val="auto"/>
        </w:rPr>
        <w:fldChar w:fldCharType="separate"/>
      </w:r>
      <w:r>
        <w:rPr>
          <w:color w:val="auto"/>
        </w:rPr>
        <w:t>29</w:t>
      </w:r>
      <w:r>
        <w:rPr>
          <w:color w:val="auto"/>
        </w:rPr>
        <w:fldChar w:fldCharType="end"/>
      </w:r>
      <w:r>
        <w:rPr>
          <w:rFonts w:ascii="仿宋" w:hAnsi="仿宋" w:eastAsia="仿宋"/>
          <w:color w:val="auto"/>
          <w:highlight w:val="none"/>
        </w:rPr>
        <w:fldChar w:fldCharType="end"/>
      </w:r>
    </w:p>
    <w:p>
      <w:pPr>
        <w:pStyle w:val="28"/>
        <w:tabs>
          <w:tab w:val="right" w:leader="dot" w:pos="9746"/>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_Toc20318 </w:instrText>
      </w:r>
      <w:r>
        <w:rPr>
          <w:rFonts w:ascii="仿宋" w:hAnsi="仿宋" w:eastAsia="仿宋"/>
          <w:color w:val="auto"/>
          <w:highlight w:val="none"/>
        </w:rPr>
        <w:fldChar w:fldCharType="separate"/>
      </w:r>
      <w:r>
        <w:rPr>
          <w:rFonts w:ascii="仿宋" w:hAnsi="仿宋" w:eastAsia="仿宋"/>
          <w:color w:val="auto"/>
          <w:szCs w:val="32"/>
          <w:highlight w:val="none"/>
        </w:rPr>
        <w:t>第</w:t>
      </w:r>
      <w:r>
        <w:rPr>
          <w:rFonts w:hint="eastAsia" w:ascii="仿宋" w:hAnsi="仿宋" w:eastAsia="仿宋"/>
          <w:color w:val="auto"/>
          <w:szCs w:val="32"/>
          <w:highlight w:val="none"/>
        </w:rPr>
        <w:t>四</w:t>
      </w:r>
      <w:r>
        <w:rPr>
          <w:rFonts w:ascii="仿宋" w:hAnsi="仿宋" w:eastAsia="仿宋"/>
          <w:color w:val="auto"/>
          <w:szCs w:val="32"/>
          <w:highlight w:val="none"/>
        </w:rPr>
        <w:t>章</w:t>
      </w:r>
      <w:r>
        <w:rPr>
          <w:rFonts w:hint="eastAsia" w:ascii="仿宋" w:hAnsi="仿宋" w:eastAsia="仿宋"/>
          <w:color w:val="auto"/>
          <w:szCs w:val="32"/>
          <w:highlight w:val="none"/>
        </w:rPr>
        <w:t>、</w:t>
      </w:r>
      <w:r>
        <w:rPr>
          <w:rFonts w:ascii="仿宋" w:hAnsi="仿宋" w:eastAsia="仿宋"/>
          <w:color w:val="auto"/>
          <w:szCs w:val="32"/>
          <w:highlight w:val="none"/>
        </w:rPr>
        <w:t>合同格式</w:t>
      </w:r>
      <w:r>
        <w:rPr>
          <w:color w:val="auto"/>
        </w:rPr>
        <w:tab/>
      </w:r>
      <w:r>
        <w:rPr>
          <w:color w:val="auto"/>
        </w:rPr>
        <w:fldChar w:fldCharType="begin"/>
      </w:r>
      <w:r>
        <w:rPr>
          <w:color w:val="auto"/>
        </w:rPr>
        <w:instrText xml:space="preserve"> PAGEREF _Toc20318 \h </w:instrText>
      </w:r>
      <w:r>
        <w:rPr>
          <w:color w:val="auto"/>
        </w:rPr>
        <w:fldChar w:fldCharType="separate"/>
      </w:r>
      <w:r>
        <w:rPr>
          <w:color w:val="auto"/>
        </w:rPr>
        <w:t>31</w:t>
      </w:r>
      <w:r>
        <w:rPr>
          <w:color w:val="auto"/>
        </w:rPr>
        <w:fldChar w:fldCharType="end"/>
      </w:r>
      <w:r>
        <w:rPr>
          <w:rFonts w:ascii="仿宋" w:hAnsi="仿宋" w:eastAsia="仿宋"/>
          <w:color w:val="auto"/>
          <w:highlight w:val="none"/>
        </w:rPr>
        <w:fldChar w:fldCharType="end"/>
      </w:r>
    </w:p>
    <w:p>
      <w:pPr>
        <w:pStyle w:val="28"/>
        <w:tabs>
          <w:tab w:val="right" w:leader="dot" w:pos="9746"/>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_Toc9967 </w:instrText>
      </w:r>
      <w:r>
        <w:rPr>
          <w:rFonts w:ascii="仿宋" w:hAnsi="仿宋" w:eastAsia="仿宋"/>
          <w:color w:val="auto"/>
          <w:highlight w:val="none"/>
        </w:rPr>
        <w:fldChar w:fldCharType="separate"/>
      </w:r>
      <w:r>
        <w:rPr>
          <w:rFonts w:ascii="仿宋" w:hAnsi="仿宋" w:eastAsia="仿宋"/>
          <w:color w:val="auto"/>
          <w:highlight w:val="none"/>
        </w:rPr>
        <w:t>第五章</w:t>
      </w:r>
      <w:r>
        <w:rPr>
          <w:rFonts w:hint="eastAsia" w:ascii="仿宋" w:hAnsi="仿宋" w:eastAsia="仿宋"/>
          <w:color w:val="auto"/>
          <w:highlight w:val="none"/>
        </w:rPr>
        <w:t>、谈判响应文件格式</w:t>
      </w:r>
      <w:r>
        <w:rPr>
          <w:color w:val="auto"/>
        </w:rPr>
        <w:tab/>
      </w:r>
      <w:r>
        <w:rPr>
          <w:color w:val="auto"/>
        </w:rPr>
        <w:fldChar w:fldCharType="begin"/>
      </w:r>
      <w:r>
        <w:rPr>
          <w:color w:val="auto"/>
        </w:rPr>
        <w:instrText xml:space="preserve"> PAGEREF _Toc9967 \h </w:instrText>
      </w:r>
      <w:r>
        <w:rPr>
          <w:color w:val="auto"/>
        </w:rPr>
        <w:fldChar w:fldCharType="separate"/>
      </w:r>
      <w:r>
        <w:rPr>
          <w:color w:val="auto"/>
        </w:rPr>
        <w:t>38</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_Toc22845 </w:instrText>
      </w:r>
      <w:r>
        <w:rPr>
          <w:rFonts w:ascii="仿宋" w:hAnsi="仿宋" w:eastAsia="仿宋"/>
          <w:color w:val="auto"/>
          <w:highlight w:val="none"/>
        </w:rPr>
        <w:fldChar w:fldCharType="separate"/>
      </w:r>
      <w:r>
        <w:rPr>
          <w:rFonts w:hint="eastAsia" w:ascii="仿宋" w:hAnsi="仿宋" w:eastAsia="仿宋"/>
          <w:color w:val="auto"/>
          <w:highlight w:val="none"/>
        </w:rPr>
        <w:t>谈判响应文件封面格式</w:t>
      </w:r>
      <w:r>
        <w:rPr>
          <w:color w:val="auto"/>
        </w:rPr>
        <w:tab/>
      </w:r>
      <w:r>
        <w:rPr>
          <w:color w:val="auto"/>
        </w:rPr>
        <w:fldChar w:fldCharType="begin"/>
      </w:r>
      <w:r>
        <w:rPr>
          <w:color w:val="auto"/>
        </w:rPr>
        <w:instrText xml:space="preserve"> PAGEREF _Toc22845 \h </w:instrText>
      </w:r>
      <w:r>
        <w:rPr>
          <w:color w:val="auto"/>
        </w:rPr>
        <w:fldChar w:fldCharType="separate"/>
      </w:r>
      <w:r>
        <w:rPr>
          <w:color w:val="auto"/>
        </w:rPr>
        <w:t>38</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_Toc18690 </w:instrText>
      </w:r>
      <w:r>
        <w:rPr>
          <w:rFonts w:ascii="仿宋" w:hAnsi="仿宋" w:eastAsia="仿宋"/>
          <w:color w:val="auto"/>
          <w:highlight w:val="none"/>
        </w:rPr>
        <w:fldChar w:fldCharType="separate"/>
      </w:r>
      <w:r>
        <w:rPr>
          <w:rFonts w:hint="eastAsia" w:ascii="仿宋" w:hAnsi="仿宋" w:eastAsia="仿宋"/>
          <w:color w:val="auto"/>
          <w:szCs w:val="32"/>
        </w:rPr>
        <w:t xml:space="preserve">一、 </w:t>
      </w:r>
      <w:r>
        <w:rPr>
          <w:rFonts w:hint="eastAsia" w:ascii="仿宋" w:hAnsi="仿宋" w:eastAsia="仿宋"/>
          <w:color w:val="auto"/>
          <w:highlight w:val="none"/>
        </w:rPr>
        <w:t>谈判响应书</w:t>
      </w:r>
      <w:r>
        <w:rPr>
          <w:color w:val="auto"/>
        </w:rPr>
        <w:tab/>
      </w:r>
      <w:r>
        <w:rPr>
          <w:color w:val="auto"/>
        </w:rPr>
        <w:fldChar w:fldCharType="begin"/>
      </w:r>
      <w:r>
        <w:rPr>
          <w:color w:val="auto"/>
        </w:rPr>
        <w:instrText xml:space="preserve"> PAGEREF _Toc18690 \h </w:instrText>
      </w:r>
      <w:r>
        <w:rPr>
          <w:color w:val="auto"/>
        </w:rPr>
        <w:fldChar w:fldCharType="separate"/>
      </w:r>
      <w:r>
        <w:rPr>
          <w:color w:val="auto"/>
        </w:rPr>
        <w:t>39</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_Toc4248 </w:instrText>
      </w:r>
      <w:r>
        <w:rPr>
          <w:rFonts w:ascii="仿宋" w:hAnsi="仿宋" w:eastAsia="仿宋"/>
          <w:color w:val="auto"/>
          <w:highlight w:val="none"/>
        </w:rPr>
        <w:fldChar w:fldCharType="separate"/>
      </w:r>
      <w:r>
        <w:rPr>
          <w:rFonts w:hint="eastAsia" w:ascii="仿宋" w:hAnsi="仿宋" w:eastAsia="仿宋"/>
          <w:color w:val="auto"/>
          <w:szCs w:val="32"/>
        </w:rPr>
        <w:t xml:space="preserve">二、 </w:t>
      </w:r>
      <w:r>
        <w:rPr>
          <w:rFonts w:hint="eastAsia" w:ascii="仿宋" w:hAnsi="仿宋" w:eastAsia="仿宋"/>
          <w:color w:val="auto"/>
          <w:highlight w:val="none"/>
        </w:rPr>
        <w:t>报价一览表</w:t>
      </w:r>
      <w:r>
        <w:rPr>
          <w:color w:val="auto"/>
        </w:rPr>
        <w:tab/>
      </w:r>
      <w:r>
        <w:rPr>
          <w:color w:val="auto"/>
        </w:rPr>
        <w:fldChar w:fldCharType="begin"/>
      </w:r>
      <w:r>
        <w:rPr>
          <w:color w:val="auto"/>
        </w:rPr>
        <w:instrText xml:space="preserve"> PAGEREF _Toc4248 \h </w:instrText>
      </w:r>
      <w:r>
        <w:rPr>
          <w:color w:val="auto"/>
        </w:rPr>
        <w:fldChar w:fldCharType="separate"/>
      </w:r>
      <w:r>
        <w:rPr>
          <w:color w:val="auto"/>
        </w:rPr>
        <w:t>40</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_Toc13397 </w:instrText>
      </w:r>
      <w:r>
        <w:rPr>
          <w:rFonts w:ascii="仿宋" w:hAnsi="仿宋" w:eastAsia="仿宋"/>
          <w:color w:val="auto"/>
          <w:highlight w:val="none"/>
        </w:rPr>
        <w:fldChar w:fldCharType="separate"/>
      </w:r>
      <w:r>
        <w:rPr>
          <w:rFonts w:hint="eastAsia" w:ascii="仿宋" w:hAnsi="仿宋" w:eastAsia="仿宋"/>
          <w:color w:val="auto"/>
          <w:szCs w:val="32"/>
        </w:rPr>
        <w:t xml:space="preserve">三、 </w:t>
      </w:r>
      <w:r>
        <w:rPr>
          <w:rFonts w:hint="eastAsia" w:ascii="仿宋" w:hAnsi="仿宋" w:eastAsia="仿宋"/>
          <w:color w:val="auto"/>
          <w:highlight w:val="none"/>
        </w:rPr>
        <w:t>报价一览明细表</w:t>
      </w:r>
      <w:r>
        <w:rPr>
          <w:color w:val="auto"/>
        </w:rPr>
        <w:tab/>
      </w:r>
      <w:r>
        <w:rPr>
          <w:color w:val="auto"/>
        </w:rPr>
        <w:fldChar w:fldCharType="begin"/>
      </w:r>
      <w:r>
        <w:rPr>
          <w:color w:val="auto"/>
        </w:rPr>
        <w:instrText xml:space="preserve"> PAGEREF _Toc13397 \h </w:instrText>
      </w:r>
      <w:r>
        <w:rPr>
          <w:color w:val="auto"/>
        </w:rPr>
        <w:fldChar w:fldCharType="separate"/>
      </w:r>
      <w:r>
        <w:rPr>
          <w:color w:val="auto"/>
        </w:rPr>
        <w:t>41</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_Toc23571 </w:instrText>
      </w:r>
      <w:r>
        <w:rPr>
          <w:rFonts w:ascii="仿宋" w:hAnsi="仿宋" w:eastAsia="仿宋"/>
          <w:color w:val="auto"/>
          <w:highlight w:val="none"/>
        </w:rPr>
        <w:fldChar w:fldCharType="separate"/>
      </w:r>
      <w:r>
        <w:rPr>
          <w:rFonts w:hint="eastAsia" w:ascii="仿宋" w:hAnsi="仿宋" w:eastAsia="仿宋"/>
          <w:color w:val="auto"/>
          <w:szCs w:val="32"/>
        </w:rPr>
        <w:t xml:space="preserve">四、 </w:t>
      </w:r>
      <w:r>
        <w:rPr>
          <w:rFonts w:hint="eastAsia" w:ascii="仿宋" w:hAnsi="仿宋" w:eastAsia="仿宋"/>
          <w:color w:val="auto"/>
          <w:highlight w:val="none"/>
        </w:rPr>
        <w:t>技术要求响应/偏离表</w:t>
      </w:r>
      <w:r>
        <w:rPr>
          <w:color w:val="auto"/>
        </w:rPr>
        <w:tab/>
      </w:r>
      <w:r>
        <w:rPr>
          <w:color w:val="auto"/>
        </w:rPr>
        <w:fldChar w:fldCharType="begin"/>
      </w:r>
      <w:r>
        <w:rPr>
          <w:color w:val="auto"/>
        </w:rPr>
        <w:instrText xml:space="preserve"> PAGEREF _Toc23571 \h </w:instrText>
      </w:r>
      <w:r>
        <w:rPr>
          <w:color w:val="auto"/>
        </w:rPr>
        <w:fldChar w:fldCharType="separate"/>
      </w:r>
      <w:r>
        <w:rPr>
          <w:color w:val="auto"/>
        </w:rPr>
        <w:t>42</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_Toc25767 </w:instrText>
      </w:r>
      <w:r>
        <w:rPr>
          <w:rFonts w:ascii="仿宋" w:hAnsi="仿宋" w:eastAsia="仿宋"/>
          <w:color w:val="auto"/>
          <w:highlight w:val="none"/>
        </w:rPr>
        <w:fldChar w:fldCharType="separate"/>
      </w:r>
      <w:r>
        <w:rPr>
          <w:rFonts w:hint="eastAsia" w:ascii="仿宋" w:hAnsi="仿宋" w:eastAsia="仿宋"/>
          <w:color w:val="auto"/>
          <w:szCs w:val="32"/>
        </w:rPr>
        <w:t xml:space="preserve">五、 </w:t>
      </w:r>
      <w:r>
        <w:rPr>
          <w:rFonts w:hint="eastAsia" w:ascii="仿宋" w:hAnsi="仿宋" w:eastAsia="仿宋"/>
          <w:color w:val="auto"/>
          <w:highlight w:val="none"/>
        </w:rPr>
        <w:t>商务条款响应/偏离表</w:t>
      </w:r>
      <w:r>
        <w:rPr>
          <w:color w:val="auto"/>
        </w:rPr>
        <w:tab/>
      </w:r>
      <w:r>
        <w:rPr>
          <w:color w:val="auto"/>
        </w:rPr>
        <w:fldChar w:fldCharType="begin"/>
      </w:r>
      <w:r>
        <w:rPr>
          <w:color w:val="auto"/>
        </w:rPr>
        <w:instrText xml:space="preserve"> PAGEREF _Toc25767 \h </w:instrText>
      </w:r>
      <w:r>
        <w:rPr>
          <w:color w:val="auto"/>
        </w:rPr>
        <w:fldChar w:fldCharType="separate"/>
      </w:r>
      <w:r>
        <w:rPr>
          <w:color w:val="auto"/>
        </w:rPr>
        <w:t>43</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_Toc24949 </w:instrText>
      </w:r>
      <w:r>
        <w:rPr>
          <w:rFonts w:ascii="仿宋" w:hAnsi="仿宋" w:eastAsia="仿宋"/>
          <w:color w:val="auto"/>
          <w:highlight w:val="none"/>
        </w:rPr>
        <w:fldChar w:fldCharType="separate"/>
      </w:r>
      <w:r>
        <w:rPr>
          <w:rFonts w:hint="eastAsia" w:ascii="仿宋" w:hAnsi="仿宋" w:eastAsia="仿宋"/>
          <w:color w:val="auto"/>
          <w:szCs w:val="32"/>
        </w:rPr>
        <w:t xml:space="preserve">六、 </w:t>
      </w:r>
      <w:r>
        <w:rPr>
          <w:rFonts w:ascii="仿宋" w:hAnsi="仿宋" w:eastAsia="仿宋"/>
          <w:color w:val="auto"/>
          <w:highlight w:val="none"/>
        </w:rPr>
        <w:t>供应商资格声明（格式）</w:t>
      </w:r>
      <w:r>
        <w:rPr>
          <w:color w:val="auto"/>
        </w:rPr>
        <w:tab/>
      </w:r>
      <w:r>
        <w:rPr>
          <w:color w:val="auto"/>
        </w:rPr>
        <w:fldChar w:fldCharType="begin"/>
      </w:r>
      <w:r>
        <w:rPr>
          <w:color w:val="auto"/>
        </w:rPr>
        <w:instrText xml:space="preserve"> PAGEREF _Toc24949 \h </w:instrText>
      </w:r>
      <w:r>
        <w:rPr>
          <w:color w:val="auto"/>
        </w:rPr>
        <w:fldChar w:fldCharType="separate"/>
      </w:r>
      <w:r>
        <w:rPr>
          <w:color w:val="auto"/>
        </w:rPr>
        <w:t>44</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_Toc9627 </w:instrText>
      </w:r>
      <w:r>
        <w:rPr>
          <w:rFonts w:ascii="仿宋" w:hAnsi="仿宋" w:eastAsia="仿宋"/>
          <w:color w:val="auto"/>
          <w:highlight w:val="none"/>
        </w:rPr>
        <w:fldChar w:fldCharType="separate"/>
      </w:r>
      <w:r>
        <w:rPr>
          <w:rFonts w:hint="eastAsia" w:ascii="仿宋" w:hAnsi="仿宋" w:eastAsia="仿宋"/>
          <w:color w:val="auto"/>
          <w:szCs w:val="32"/>
        </w:rPr>
        <w:t xml:space="preserve">七、 </w:t>
      </w:r>
      <w:r>
        <w:rPr>
          <w:rFonts w:ascii="仿宋" w:hAnsi="仿宋" w:eastAsia="仿宋"/>
          <w:color w:val="auto"/>
          <w:highlight w:val="none"/>
        </w:rPr>
        <w:t>资格证明文件</w:t>
      </w:r>
      <w:r>
        <w:rPr>
          <w:color w:val="auto"/>
        </w:rPr>
        <w:tab/>
      </w:r>
      <w:r>
        <w:rPr>
          <w:color w:val="auto"/>
        </w:rPr>
        <w:fldChar w:fldCharType="begin"/>
      </w:r>
      <w:r>
        <w:rPr>
          <w:color w:val="auto"/>
        </w:rPr>
        <w:instrText xml:space="preserve"> PAGEREF _Toc9627 \h </w:instrText>
      </w:r>
      <w:r>
        <w:rPr>
          <w:color w:val="auto"/>
        </w:rPr>
        <w:fldChar w:fldCharType="separate"/>
      </w:r>
      <w:r>
        <w:rPr>
          <w:color w:val="auto"/>
        </w:rPr>
        <w:t>45</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_Toc28386 </w:instrText>
      </w:r>
      <w:r>
        <w:rPr>
          <w:rFonts w:ascii="仿宋" w:hAnsi="仿宋" w:eastAsia="仿宋"/>
          <w:color w:val="auto"/>
          <w:highlight w:val="none"/>
        </w:rPr>
        <w:fldChar w:fldCharType="separate"/>
      </w:r>
      <w:r>
        <w:rPr>
          <w:rFonts w:hint="eastAsia" w:ascii="仿宋" w:hAnsi="仿宋" w:eastAsia="仿宋"/>
          <w:bCs w:val="0"/>
          <w:color w:val="auto"/>
          <w:szCs w:val="32"/>
        </w:rPr>
        <w:t xml:space="preserve">八、 </w:t>
      </w:r>
      <w:r>
        <w:rPr>
          <w:rFonts w:ascii="仿宋" w:hAnsi="仿宋" w:eastAsia="仿宋"/>
          <w:bCs w:val="0"/>
          <w:color w:val="auto"/>
          <w:highlight w:val="none"/>
        </w:rPr>
        <w:t>技术文件</w:t>
      </w:r>
      <w:r>
        <w:rPr>
          <w:color w:val="auto"/>
        </w:rPr>
        <w:tab/>
      </w:r>
      <w:r>
        <w:rPr>
          <w:color w:val="auto"/>
        </w:rPr>
        <w:fldChar w:fldCharType="begin"/>
      </w:r>
      <w:r>
        <w:rPr>
          <w:color w:val="auto"/>
        </w:rPr>
        <w:instrText xml:space="preserve"> PAGEREF _Toc28386 \h </w:instrText>
      </w:r>
      <w:r>
        <w:rPr>
          <w:color w:val="auto"/>
        </w:rPr>
        <w:fldChar w:fldCharType="separate"/>
      </w:r>
      <w:r>
        <w:rPr>
          <w:color w:val="auto"/>
        </w:rPr>
        <w:t>54</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_Toc16790 </w:instrText>
      </w:r>
      <w:r>
        <w:rPr>
          <w:rFonts w:ascii="仿宋" w:hAnsi="仿宋" w:eastAsia="仿宋"/>
          <w:color w:val="auto"/>
          <w:highlight w:val="none"/>
        </w:rPr>
        <w:fldChar w:fldCharType="separate"/>
      </w:r>
      <w:r>
        <w:rPr>
          <w:rFonts w:hint="eastAsia" w:ascii="仿宋" w:hAnsi="仿宋" w:eastAsia="仿宋"/>
          <w:bCs w:val="0"/>
          <w:color w:val="auto"/>
          <w:szCs w:val="32"/>
        </w:rPr>
        <w:t xml:space="preserve">九、 </w:t>
      </w:r>
      <w:r>
        <w:rPr>
          <w:rFonts w:hint="eastAsia" w:ascii="仿宋" w:hAnsi="仿宋" w:eastAsia="仿宋"/>
          <w:bCs w:val="0"/>
          <w:color w:val="auto"/>
          <w:highlight w:val="none"/>
        </w:rPr>
        <w:t>售后服务的内容及措施</w:t>
      </w:r>
      <w:r>
        <w:rPr>
          <w:color w:val="auto"/>
        </w:rPr>
        <w:tab/>
      </w:r>
      <w:r>
        <w:rPr>
          <w:color w:val="auto"/>
        </w:rPr>
        <w:fldChar w:fldCharType="begin"/>
      </w:r>
      <w:r>
        <w:rPr>
          <w:color w:val="auto"/>
        </w:rPr>
        <w:instrText xml:space="preserve"> PAGEREF _Toc16790 \h </w:instrText>
      </w:r>
      <w:r>
        <w:rPr>
          <w:color w:val="auto"/>
        </w:rPr>
        <w:fldChar w:fldCharType="separate"/>
      </w:r>
      <w:r>
        <w:rPr>
          <w:color w:val="auto"/>
        </w:rPr>
        <w:t>55</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_Toc11988 </w:instrText>
      </w:r>
      <w:r>
        <w:rPr>
          <w:rFonts w:ascii="仿宋" w:hAnsi="仿宋" w:eastAsia="仿宋"/>
          <w:color w:val="auto"/>
          <w:highlight w:val="none"/>
        </w:rPr>
        <w:fldChar w:fldCharType="separate"/>
      </w:r>
      <w:r>
        <w:rPr>
          <w:rFonts w:hint="eastAsia" w:ascii="仿宋" w:hAnsi="仿宋" w:eastAsia="仿宋"/>
          <w:bCs w:val="0"/>
          <w:color w:val="auto"/>
          <w:szCs w:val="32"/>
        </w:rPr>
        <w:t xml:space="preserve">十、 </w:t>
      </w:r>
      <w:r>
        <w:rPr>
          <w:rFonts w:hint="eastAsia" w:ascii="仿宋" w:hAnsi="仿宋" w:eastAsia="仿宋"/>
          <w:bCs w:val="0"/>
          <w:color w:val="auto"/>
          <w:highlight w:val="none"/>
        </w:rPr>
        <w:t>与技术、商务等评审有关的资料</w:t>
      </w:r>
      <w:r>
        <w:rPr>
          <w:color w:val="auto"/>
        </w:rPr>
        <w:tab/>
      </w:r>
      <w:r>
        <w:rPr>
          <w:color w:val="auto"/>
        </w:rPr>
        <w:fldChar w:fldCharType="begin"/>
      </w:r>
      <w:r>
        <w:rPr>
          <w:color w:val="auto"/>
        </w:rPr>
        <w:instrText xml:space="preserve"> PAGEREF _Toc11988 \h </w:instrText>
      </w:r>
      <w:r>
        <w:rPr>
          <w:color w:val="auto"/>
        </w:rPr>
        <w:fldChar w:fldCharType="separate"/>
      </w:r>
      <w:r>
        <w:rPr>
          <w:color w:val="auto"/>
        </w:rPr>
        <w:t>56</w:t>
      </w:r>
      <w:r>
        <w:rPr>
          <w:color w:val="auto"/>
        </w:rPr>
        <w:fldChar w:fldCharType="end"/>
      </w:r>
      <w:r>
        <w:rPr>
          <w:rFonts w:ascii="仿宋" w:hAnsi="仿宋" w:eastAsia="仿宋"/>
          <w:color w:val="auto"/>
          <w:highlight w:val="none"/>
        </w:rPr>
        <w:fldChar w:fldCharType="end"/>
      </w:r>
    </w:p>
    <w:p>
      <w:pPr>
        <w:pStyle w:val="32"/>
        <w:tabs>
          <w:tab w:val="right" w:leader="dot" w:pos="9746"/>
          <w:tab w:val="clear" w:pos="1080"/>
          <w:tab w:val="clear" w:pos="8296"/>
        </w:tabs>
        <w:rPr>
          <w:color w:val="auto"/>
        </w:rPr>
      </w:pPr>
      <w:r>
        <w:rPr>
          <w:rFonts w:ascii="仿宋" w:hAnsi="仿宋" w:eastAsia="仿宋"/>
          <w:color w:val="auto"/>
          <w:highlight w:val="none"/>
        </w:rPr>
        <w:fldChar w:fldCharType="begin"/>
      </w:r>
      <w:r>
        <w:rPr>
          <w:rFonts w:ascii="仿宋" w:hAnsi="仿宋" w:eastAsia="仿宋"/>
          <w:color w:val="auto"/>
          <w:highlight w:val="none"/>
        </w:rPr>
        <w:instrText xml:space="preserve"> HYPERLINK \l _Toc9275 </w:instrText>
      </w:r>
      <w:r>
        <w:rPr>
          <w:rFonts w:ascii="仿宋" w:hAnsi="仿宋" w:eastAsia="仿宋"/>
          <w:color w:val="auto"/>
          <w:highlight w:val="none"/>
        </w:rPr>
        <w:fldChar w:fldCharType="separate"/>
      </w:r>
      <w:r>
        <w:rPr>
          <w:rFonts w:hint="eastAsia" w:ascii="仿宋" w:hAnsi="仿宋" w:eastAsia="仿宋"/>
          <w:bCs w:val="0"/>
          <w:color w:val="auto"/>
          <w:szCs w:val="32"/>
        </w:rPr>
        <w:t xml:space="preserve">十一、 </w:t>
      </w:r>
      <w:r>
        <w:rPr>
          <w:rFonts w:hint="eastAsia" w:ascii="仿宋" w:hAnsi="仿宋" w:eastAsia="仿宋"/>
          <w:bCs w:val="0"/>
          <w:color w:val="auto"/>
          <w:highlight w:val="none"/>
        </w:rPr>
        <w:t>供应商认为有必要提供的其他材料</w:t>
      </w:r>
      <w:r>
        <w:rPr>
          <w:color w:val="auto"/>
        </w:rPr>
        <w:tab/>
      </w:r>
      <w:r>
        <w:rPr>
          <w:color w:val="auto"/>
        </w:rPr>
        <w:fldChar w:fldCharType="begin"/>
      </w:r>
      <w:r>
        <w:rPr>
          <w:color w:val="auto"/>
        </w:rPr>
        <w:instrText xml:space="preserve"> PAGEREF _Toc9275 \h </w:instrText>
      </w:r>
      <w:r>
        <w:rPr>
          <w:color w:val="auto"/>
        </w:rPr>
        <w:fldChar w:fldCharType="separate"/>
      </w:r>
      <w:r>
        <w:rPr>
          <w:color w:val="auto"/>
        </w:rPr>
        <w:t>57</w:t>
      </w:r>
      <w:r>
        <w:rPr>
          <w:color w:val="auto"/>
        </w:rPr>
        <w:fldChar w:fldCharType="end"/>
      </w:r>
      <w:r>
        <w:rPr>
          <w:rFonts w:ascii="仿宋" w:hAnsi="仿宋" w:eastAsia="仿宋"/>
          <w:color w:val="auto"/>
          <w:highlight w:val="none"/>
        </w:rPr>
        <w:fldChar w:fldCharType="end"/>
      </w:r>
    </w:p>
    <w:p>
      <w:pPr>
        <w:tabs>
          <w:tab w:val="left" w:pos="360"/>
        </w:tabs>
        <w:spacing w:line="400" w:lineRule="exact"/>
        <w:ind w:left="210" w:leftChars="100"/>
        <w:rPr>
          <w:rFonts w:ascii="仿宋" w:hAnsi="仿宋" w:eastAsia="仿宋"/>
          <w:color w:val="auto"/>
          <w:sz w:val="28"/>
          <w:szCs w:val="28"/>
          <w:highlight w:val="none"/>
        </w:rPr>
        <w:sectPr>
          <w:headerReference r:id="rId5" w:type="first"/>
          <w:headerReference r:id="rId3" w:type="default"/>
          <w:footerReference r:id="rId6" w:type="default"/>
          <w:headerReference r:id="rId4" w:type="even"/>
          <w:type w:val="continuous"/>
          <w:pgSz w:w="11906" w:h="16838"/>
          <w:pgMar w:top="1440" w:right="1080" w:bottom="1440" w:left="1080" w:header="567" w:footer="907" w:gutter="0"/>
          <w:cols w:space="720" w:num="1"/>
          <w:docGrid w:type="lines" w:linePitch="312" w:charSpace="0"/>
        </w:sectPr>
      </w:pPr>
      <w:r>
        <w:rPr>
          <w:rFonts w:ascii="仿宋" w:hAnsi="仿宋" w:eastAsia="仿宋"/>
          <w:color w:val="auto"/>
          <w:highlight w:val="none"/>
        </w:rPr>
        <w:fldChar w:fldCharType="end"/>
      </w:r>
    </w:p>
    <w:p>
      <w:pPr>
        <w:pStyle w:val="2"/>
        <w:spacing w:line="720" w:lineRule="exact"/>
        <w:rPr>
          <w:rFonts w:ascii="仿宋" w:hAnsi="仿宋" w:eastAsia="仿宋"/>
          <w:color w:val="auto"/>
          <w:highlight w:val="none"/>
        </w:rPr>
      </w:pPr>
      <w:bookmarkStart w:id="0" w:name="_Toc508525023"/>
      <w:bookmarkStart w:id="1" w:name="_Toc508606811"/>
      <w:bookmarkStart w:id="2" w:name="_Toc508605825"/>
      <w:bookmarkStart w:id="3" w:name="_Toc508606033"/>
      <w:bookmarkStart w:id="4" w:name="_Toc42939041"/>
      <w:bookmarkStart w:id="5" w:name="_Toc32535"/>
      <w:bookmarkStart w:id="6" w:name="_Toc508525024"/>
      <w:bookmarkStart w:id="7" w:name="_Toc508606812"/>
      <w:bookmarkStart w:id="8" w:name="_Toc508606034"/>
      <w:bookmarkStart w:id="9" w:name="_Toc508605826"/>
      <w:r>
        <w:rPr>
          <w:rFonts w:hint="eastAsia" w:ascii="仿宋" w:hAnsi="仿宋" w:eastAsia="仿宋"/>
          <w:color w:val="auto"/>
          <w:highlight w:val="none"/>
        </w:rPr>
        <w:t>第一章</w:t>
      </w:r>
      <w:bookmarkEnd w:id="0"/>
      <w:bookmarkEnd w:id="1"/>
      <w:bookmarkEnd w:id="2"/>
      <w:bookmarkEnd w:id="3"/>
      <w:r>
        <w:rPr>
          <w:rFonts w:hint="eastAsia" w:ascii="仿宋" w:hAnsi="仿宋" w:eastAsia="仿宋"/>
          <w:color w:val="auto"/>
          <w:highlight w:val="none"/>
        </w:rPr>
        <w:t>、谈判邀请函</w:t>
      </w:r>
      <w:bookmarkEnd w:id="4"/>
      <w:bookmarkEnd w:id="5"/>
    </w:p>
    <w:p>
      <w:pPr>
        <w:pStyle w:val="17"/>
        <w:spacing w:line="520" w:lineRule="exact"/>
        <w:rPr>
          <w:rFonts w:ascii="仿宋" w:hAnsi="仿宋" w:eastAsia="仿宋" w:cs="宋体"/>
          <w:color w:val="auto"/>
          <w:sz w:val="28"/>
          <w:szCs w:val="28"/>
          <w:highlight w:val="none"/>
        </w:rPr>
      </w:pPr>
      <w:r>
        <w:rPr>
          <w:rFonts w:hint="eastAsia" w:ascii="仿宋" w:hAnsi="仿宋" w:eastAsia="仿宋" w:cs="宋体"/>
          <w:color w:val="auto"/>
          <w:kern w:val="0"/>
          <w:sz w:val="24"/>
          <w:highlight w:val="none"/>
        </w:rPr>
        <w:t xml:space="preserve">    </w:t>
      </w:r>
      <w:bookmarkStart w:id="10" w:name="_Toc35393621"/>
      <w:bookmarkStart w:id="11" w:name="_Toc35393790"/>
      <w:bookmarkStart w:id="12" w:name="_Toc28359002"/>
      <w:bookmarkStart w:id="13" w:name="_Toc28359079"/>
      <w:bookmarkStart w:id="14" w:name="_Hlk24379207"/>
    </w:p>
    <w:tbl>
      <w:tblPr>
        <w:tblStyle w:val="3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8660"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仿宋" w:hAnsi="仿宋" w:eastAsia="仿宋" w:cs="宋体"/>
                <w:b/>
                <w:bCs/>
                <w:color w:val="auto"/>
                <w:kern w:val="0"/>
                <w:sz w:val="28"/>
                <w:szCs w:val="28"/>
                <w:highlight w:val="none"/>
              </w:rPr>
            </w:pPr>
            <w:r>
              <w:rPr>
                <w:rFonts w:hint="eastAsia" w:ascii="仿宋" w:hAnsi="仿宋" w:eastAsia="仿宋" w:cs="宋体"/>
                <w:b/>
                <w:bCs/>
                <w:color w:val="auto"/>
                <w:kern w:val="0"/>
                <w:sz w:val="28"/>
                <w:szCs w:val="28"/>
                <w:highlight w:val="none"/>
              </w:rPr>
              <w:t>项目概况</w:t>
            </w:r>
          </w:p>
          <w:p>
            <w:pPr>
              <w:spacing w:line="520" w:lineRule="exact"/>
              <w:jc w:val="left"/>
              <w:rPr>
                <w:rFonts w:ascii="仿宋" w:hAnsi="仿宋" w:eastAsia="仿宋"/>
                <w:color w:val="auto"/>
                <w:sz w:val="28"/>
                <w:szCs w:val="28"/>
                <w:highlight w:val="none"/>
              </w:rPr>
            </w:pPr>
            <w:r>
              <w:rPr>
                <w:rFonts w:hint="eastAsia" w:ascii="仿宋" w:hAnsi="仿宋" w:eastAsia="仿宋" w:cs="宋体"/>
                <w:color w:val="auto"/>
                <w:kern w:val="0"/>
                <w:sz w:val="24"/>
                <w:highlight w:val="none"/>
              </w:rPr>
              <w:t xml:space="preserve">    </w:t>
            </w:r>
            <w:r>
              <w:rPr>
                <w:rFonts w:hint="eastAsia" w:ascii="仿宋" w:hAnsi="仿宋" w:eastAsia="仿宋" w:cs="宋体"/>
                <w:color w:val="auto"/>
                <w:kern w:val="0"/>
                <w:sz w:val="24"/>
                <w:highlight w:val="none"/>
                <w:u w:val="single"/>
                <w:lang w:eastAsia="zh-CN"/>
              </w:rPr>
              <w:t>2023年一带一路暨金砖国家技能发展与技术创新大赛婴幼儿照护赛项选拔赛项目采购</w:t>
            </w:r>
            <w:r>
              <w:rPr>
                <w:rFonts w:hint="eastAsia" w:ascii="仿宋" w:hAnsi="仿宋" w:eastAsia="仿宋" w:cs="宋体"/>
                <w:color w:val="auto"/>
                <w:kern w:val="0"/>
                <w:sz w:val="24"/>
                <w:highlight w:val="none"/>
              </w:rPr>
              <w:t>的潜在供应商应在江西骏宏招标咨询有限公司（江西省南昌市红谷滩新区世贸路远帆大厦A座10楼1001-1004室）获取采购文件，并于2023年</w:t>
            </w:r>
            <w:r>
              <w:rPr>
                <w:rFonts w:hint="eastAsia" w:ascii="仿宋" w:hAnsi="仿宋" w:eastAsia="仿宋" w:cs="宋体"/>
                <w:color w:val="auto"/>
                <w:kern w:val="0"/>
                <w:sz w:val="24"/>
                <w:highlight w:val="none"/>
                <w:lang w:val="en-US" w:eastAsia="zh-CN"/>
              </w:rPr>
              <w:t>11</w:t>
            </w:r>
            <w:r>
              <w:rPr>
                <w:rFonts w:hint="eastAsia" w:ascii="仿宋" w:hAnsi="仿宋" w:eastAsia="仿宋" w:cs="宋体"/>
                <w:color w:val="auto"/>
                <w:kern w:val="0"/>
                <w:sz w:val="24"/>
                <w:highlight w:val="none"/>
              </w:rPr>
              <w:t>月</w:t>
            </w:r>
            <w:r>
              <w:rPr>
                <w:rFonts w:hint="eastAsia" w:ascii="仿宋" w:hAnsi="仿宋" w:eastAsia="仿宋" w:cs="宋体"/>
                <w:color w:val="auto"/>
                <w:kern w:val="0"/>
                <w:sz w:val="24"/>
                <w:highlight w:val="none"/>
                <w:lang w:val="en-US" w:eastAsia="zh-CN"/>
              </w:rPr>
              <w:t>10</w:t>
            </w:r>
            <w:r>
              <w:rPr>
                <w:rFonts w:hint="eastAsia" w:ascii="仿宋" w:hAnsi="仿宋" w:eastAsia="仿宋" w:cs="宋体"/>
                <w:color w:val="auto"/>
                <w:kern w:val="0"/>
                <w:sz w:val="24"/>
                <w:highlight w:val="none"/>
              </w:rPr>
              <w:t>日</w:t>
            </w:r>
            <w:r>
              <w:rPr>
                <w:rFonts w:hint="eastAsia" w:ascii="仿宋" w:hAnsi="仿宋" w:eastAsia="仿宋" w:cs="宋体"/>
                <w:color w:val="auto"/>
                <w:kern w:val="0"/>
                <w:sz w:val="24"/>
                <w:highlight w:val="none"/>
                <w:lang w:val="en-US" w:eastAsia="zh-CN"/>
              </w:rPr>
              <w:t>9</w:t>
            </w:r>
            <w:r>
              <w:rPr>
                <w:rFonts w:hint="eastAsia" w:ascii="仿宋" w:hAnsi="仿宋" w:eastAsia="仿宋" w:cs="宋体"/>
                <w:color w:val="auto"/>
                <w:kern w:val="0"/>
                <w:sz w:val="24"/>
                <w:highlight w:val="none"/>
              </w:rPr>
              <w:t>点</w:t>
            </w:r>
            <w:r>
              <w:rPr>
                <w:rFonts w:hint="eastAsia" w:ascii="仿宋" w:hAnsi="仿宋" w:eastAsia="仿宋" w:cs="宋体"/>
                <w:color w:val="auto"/>
                <w:kern w:val="0"/>
                <w:sz w:val="24"/>
                <w:highlight w:val="none"/>
                <w:lang w:val="en-US" w:eastAsia="zh-CN"/>
              </w:rPr>
              <w:t>0</w:t>
            </w:r>
            <w:r>
              <w:rPr>
                <w:rFonts w:hint="eastAsia" w:ascii="仿宋" w:hAnsi="仿宋" w:eastAsia="仿宋" w:cs="宋体"/>
                <w:color w:val="auto"/>
                <w:kern w:val="0"/>
                <w:sz w:val="24"/>
                <w:highlight w:val="none"/>
              </w:rPr>
              <w:t>0分（北京时间）前</w:t>
            </w:r>
            <w:r>
              <w:rPr>
                <w:rFonts w:hint="eastAsia" w:ascii="仿宋" w:hAnsi="仿宋" w:eastAsia="仿宋"/>
                <w:bCs/>
                <w:color w:val="auto"/>
                <w:sz w:val="24"/>
                <w:highlight w:val="none"/>
              </w:rPr>
              <w:t>提交响应</w:t>
            </w:r>
            <w:r>
              <w:rPr>
                <w:rFonts w:ascii="仿宋" w:hAnsi="仿宋" w:eastAsia="仿宋"/>
                <w:bCs/>
                <w:color w:val="auto"/>
                <w:sz w:val="24"/>
                <w:highlight w:val="none"/>
              </w:rPr>
              <w:t>文件</w:t>
            </w:r>
            <w:r>
              <w:rPr>
                <w:rFonts w:hint="eastAsia" w:ascii="仿宋" w:hAnsi="仿宋" w:eastAsia="仿宋" w:cs="宋体"/>
                <w:color w:val="auto"/>
                <w:kern w:val="0"/>
                <w:sz w:val="24"/>
                <w:highlight w:val="none"/>
              </w:rPr>
              <w:t>。</w:t>
            </w:r>
          </w:p>
        </w:tc>
      </w:tr>
    </w:tbl>
    <w:p>
      <w:pPr>
        <w:rPr>
          <w:rFonts w:ascii="仿宋" w:hAnsi="仿宋" w:eastAsia="仿宋" w:cs="宋体"/>
          <w:color w:val="auto"/>
          <w:sz w:val="28"/>
          <w:szCs w:val="28"/>
          <w:highlight w:val="none"/>
        </w:rPr>
      </w:pPr>
    </w:p>
    <w:bookmarkEnd w:id="10"/>
    <w:bookmarkEnd w:id="11"/>
    <w:bookmarkEnd w:id="12"/>
    <w:bookmarkEnd w:id="13"/>
    <w:p>
      <w:pPr>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一、项目基本情况</w:t>
      </w:r>
    </w:p>
    <w:p>
      <w:pPr>
        <w:spacing w:line="520" w:lineRule="exact"/>
        <w:ind w:firstLine="960" w:firstLineChars="400"/>
        <w:rPr>
          <w:rFonts w:hint="eastAsia" w:ascii="仿宋" w:hAnsi="仿宋" w:eastAsia="仿宋"/>
          <w:color w:val="auto"/>
          <w:sz w:val="24"/>
          <w:highlight w:val="none"/>
          <w:lang w:eastAsia="zh-CN"/>
        </w:rPr>
      </w:pPr>
      <w:r>
        <w:rPr>
          <w:rFonts w:hint="eastAsia" w:ascii="仿宋" w:hAnsi="仿宋" w:eastAsia="仿宋"/>
          <w:color w:val="auto"/>
          <w:sz w:val="24"/>
          <w:highlight w:val="none"/>
        </w:rPr>
        <w:t>项目编号：</w:t>
      </w:r>
      <w:r>
        <w:rPr>
          <w:rFonts w:hint="eastAsia" w:ascii="仿宋" w:hAnsi="仿宋" w:eastAsia="仿宋"/>
          <w:color w:val="auto"/>
          <w:sz w:val="24"/>
          <w:highlight w:val="none"/>
          <w:lang w:eastAsia="zh-CN"/>
        </w:rPr>
        <w:t>JXJH2023-XC040</w:t>
      </w:r>
    </w:p>
    <w:p>
      <w:pPr>
        <w:spacing w:line="520" w:lineRule="exact"/>
        <w:ind w:firstLine="960" w:firstLineChars="400"/>
        <w:rPr>
          <w:rFonts w:hint="eastAsia" w:ascii="仿宋" w:hAnsi="仿宋" w:eastAsia="仿宋"/>
          <w:color w:val="auto"/>
          <w:sz w:val="24"/>
          <w:highlight w:val="none"/>
          <w:u w:val="single"/>
          <w:lang w:eastAsia="zh-CN"/>
        </w:rPr>
      </w:pPr>
      <w:r>
        <w:rPr>
          <w:rFonts w:hint="eastAsia" w:ascii="仿宋" w:hAnsi="仿宋" w:eastAsia="仿宋"/>
          <w:color w:val="auto"/>
          <w:sz w:val="24"/>
          <w:highlight w:val="none"/>
        </w:rPr>
        <w:t>项目名称：</w:t>
      </w:r>
      <w:r>
        <w:rPr>
          <w:rFonts w:hint="eastAsia" w:ascii="仿宋" w:hAnsi="仿宋" w:eastAsia="仿宋"/>
          <w:color w:val="auto"/>
          <w:sz w:val="24"/>
          <w:highlight w:val="none"/>
          <w:u w:val="single"/>
          <w:lang w:eastAsia="zh-CN"/>
        </w:rPr>
        <w:t>2023年一带一路暨金砖国家技能发展与技术创新大赛婴幼儿照护赛项选拔赛项目采购</w:t>
      </w:r>
    </w:p>
    <w:p>
      <w:pPr>
        <w:spacing w:line="520" w:lineRule="exact"/>
        <w:ind w:firstLine="960" w:firstLineChars="400"/>
        <w:rPr>
          <w:rFonts w:ascii="仿宋" w:hAnsi="仿宋" w:eastAsia="仿宋"/>
          <w:color w:val="auto"/>
          <w:sz w:val="24"/>
          <w:highlight w:val="none"/>
        </w:rPr>
      </w:pPr>
      <w:r>
        <w:rPr>
          <w:rFonts w:hint="eastAsia" w:ascii="仿宋" w:hAnsi="仿宋" w:eastAsia="仿宋"/>
          <w:color w:val="auto"/>
          <w:sz w:val="24"/>
          <w:highlight w:val="none"/>
        </w:rPr>
        <w:t>采购方式：☑竞争性谈判 □竞争性磋商 □询价</w:t>
      </w:r>
    </w:p>
    <w:bookmarkEnd w:id="14"/>
    <w:p>
      <w:pPr>
        <w:spacing w:line="520" w:lineRule="exact"/>
        <w:ind w:firstLine="960" w:firstLineChars="400"/>
        <w:rPr>
          <w:rFonts w:ascii="仿宋" w:hAnsi="仿宋" w:eastAsia="仿宋"/>
          <w:color w:val="auto"/>
          <w:sz w:val="24"/>
          <w:highlight w:val="none"/>
        </w:rPr>
      </w:pPr>
      <w:r>
        <w:rPr>
          <w:rFonts w:hint="eastAsia" w:ascii="仿宋" w:hAnsi="仿宋" w:eastAsia="仿宋"/>
          <w:color w:val="auto"/>
          <w:sz w:val="24"/>
          <w:highlight w:val="none"/>
        </w:rPr>
        <w:t>预算金额：</w:t>
      </w:r>
      <w:r>
        <w:rPr>
          <w:rFonts w:hint="eastAsia" w:ascii="仿宋" w:hAnsi="仿宋" w:eastAsia="仿宋"/>
          <w:color w:val="auto"/>
          <w:sz w:val="24"/>
          <w:highlight w:val="none"/>
          <w:lang w:val="en-US" w:eastAsia="zh-CN"/>
        </w:rPr>
        <w:t>13.7</w:t>
      </w:r>
      <w:r>
        <w:rPr>
          <w:rFonts w:ascii="仿宋" w:hAnsi="仿宋" w:eastAsia="仿宋"/>
          <w:color w:val="auto"/>
          <w:spacing w:val="-10"/>
          <w:sz w:val="24"/>
          <w:highlight w:val="none"/>
        </w:rPr>
        <w:t>万元</w:t>
      </w:r>
    </w:p>
    <w:p>
      <w:pPr>
        <w:spacing w:line="520" w:lineRule="exact"/>
        <w:ind w:firstLine="960" w:firstLineChars="400"/>
        <w:rPr>
          <w:rFonts w:ascii="仿宋" w:hAnsi="仿宋" w:eastAsia="仿宋"/>
          <w:color w:val="auto"/>
          <w:sz w:val="24"/>
          <w:highlight w:val="none"/>
        </w:rPr>
      </w:pPr>
      <w:r>
        <w:rPr>
          <w:rFonts w:hint="eastAsia" w:ascii="仿宋" w:hAnsi="仿宋" w:eastAsia="仿宋"/>
          <w:color w:val="auto"/>
          <w:sz w:val="24"/>
          <w:highlight w:val="none"/>
        </w:rPr>
        <w:t>最高限价：</w:t>
      </w:r>
      <w:r>
        <w:rPr>
          <w:rFonts w:hint="eastAsia" w:ascii="仿宋" w:hAnsi="仿宋" w:eastAsia="仿宋"/>
          <w:color w:val="auto"/>
          <w:sz w:val="24"/>
          <w:highlight w:val="none"/>
          <w:lang w:val="en-US" w:eastAsia="zh-CN"/>
        </w:rPr>
        <w:t>13.7</w:t>
      </w:r>
      <w:r>
        <w:rPr>
          <w:rFonts w:ascii="仿宋" w:hAnsi="仿宋" w:eastAsia="仿宋"/>
          <w:color w:val="auto"/>
          <w:spacing w:val="-10"/>
          <w:sz w:val="24"/>
          <w:highlight w:val="none"/>
        </w:rPr>
        <w:t>万元</w:t>
      </w:r>
    </w:p>
    <w:p>
      <w:pPr>
        <w:spacing w:line="520" w:lineRule="exact"/>
        <w:ind w:firstLine="960" w:firstLineChars="400"/>
        <w:rPr>
          <w:rFonts w:ascii="仿宋" w:hAnsi="仿宋" w:eastAsia="仿宋"/>
          <w:color w:val="auto"/>
          <w:sz w:val="24"/>
          <w:highlight w:val="none"/>
        </w:rPr>
      </w:pPr>
      <w:r>
        <w:rPr>
          <w:rFonts w:hint="eastAsia" w:ascii="仿宋" w:hAnsi="仿宋" w:eastAsia="仿宋"/>
          <w:color w:val="auto"/>
          <w:sz w:val="24"/>
          <w:highlight w:val="none"/>
        </w:rPr>
        <w:t>采购需求：</w:t>
      </w:r>
    </w:p>
    <w:tbl>
      <w:tblPr>
        <w:tblStyle w:val="38"/>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4431"/>
        <w:gridCol w:w="945"/>
        <w:gridCol w:w="975"/>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宋体"/>
                <w:b/>
                <w:bCs/>
                <w:color w:val="auto"/>
                <w:sz w:val="24"/>
                <w:highlight w:val="none"/>
              </w:rPr>
            </w:pPr>
            <w:r>
              <w:rPr>
                <w:rFonts w:hint="eastAsia" w:ascii="仿宋" w:hAnsi="仿宋" w:eastAsia="仿宋" w:cs="宋体"/>
                <w:b/>
                <w:bCs/>
                <w:color w:val="auto"/>
                <w:sz w:val="24"/>
                <w:highlight w:val="none"/>
              </w:rPr>
              <w:t>序号</w:t>
            </w:r>
          </w:p>
        </w:tc>
        <w:tc>
          <w:tcPr>
            <w:tcW w:w="443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s="宋体"/>
                <w:b/>
                <w:bCs/>
                <w:color w:val="auto"/>
                <w:sz w:val="24"/>
                <w:highlight w:val="none"/>
              </w:rPr>
            </w:pPr>
            <w:r>
              <w:rPr>
                <w:rFonts w:hint="eastAsia" w:ascii="仿宋" w:hAnsi="仿宋" w:eastAsia="仿宋" w:cs="宋体"/>
                <w:b/>
                <w:bCs/>
                <w:color w:val="auto"/>
                <w:sz w:val="24"/>
                <w:highlight w:val="none"/>
              </w:rPr>
              <w:t>项目名称</w:t>
            </w:r>
          </w:p>
        </w:tc>
        <w:tc>
          <w:tcPr>
            <w:tcW w:w="9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数量</w:t>
            </w:r>
          </w:p>
        </w:tc>
        <w:tc>
          <w:tcPr>
            <w:tcW w:w="97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单位</w:t>
            </w:r>
          </w:p>
        </w:tc>
        <w:tc>
          <w:tcPr>
            <w:tcW w:w="1728"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 w:hAnsi="仿宋" w:eastAsia="仿宋"/>
                <w:color w:val="auto"/>
                <w:sz w:val="24"/>
                <w:highlight w:val="none"/>
              </w:rPr>
            </w:pPr>
            <w:r>
              <w:rPr>
                <w:rFonts w:ascii="仿宋" w:hAnsi="仿宋" w:eastAsia="仿宋"/>
                <w:b/>
                <w:bCs/>
                <w:color w:val="auto"/>
                <w:sz w:val="24"/>
                <w:highlight w:val="none"/>
              </w:rPr>
              <w:t>产地类型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443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2023年一带一路暨金砖国家技能发展与技术创新大赛婴幼儿照护赛项选拔赛项目采购</w:t>
            </w:r>
          </w:p>
        </w:tc>
        <w:tc>
          <w:tcPr>
            <w:tcW w:w="94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975"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批</w:t>
            </w:r>
          </w:p>
        </w:tc>
        <w:tc>
          <w:tcPr>
            <w:tcW w:w="17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国产</w:t>
            </w:r>
          </w:p>
        </w:tc>
      </w:tr>
    </w:tbl>
    <w:p>
      <w:pPr>
        <w:ind w:firstLine="422" w:firstLineChars="200"/>
        <w:rPr>
          <w:rFonts w:ascii="仿宋" w:hAnsi="仿宋" w:eastAsia="仿宋"/>
          <w:color w:val="auto"/>
          <w:szCs w:val="21"/>
          <w:highlight w:val="none"/>
          <w:u w:val="single"/>
        </w:rPr>
      </w:pPr>
      <w:r>
        <w:rPr>
          <w:rFonts w:hint="eastAsia" w:ascii="仿宋" w:hAnsi="仿宋" w:eastAsia="仿宋" w:cs="宋体"/>
          <w:b/>
          <w:bCs/>
          <w:color w:val="auto"/>
          <w:kern w:val="0"/>
          <w:szCs w:val="21"/>
          <w:highlight w:val="none"/>
        </w:rPr>
        <w:t>备注：所有货物</w:t>
      </w:r>
      <w:r>
        <w:rPr>
          <w:rFonts w:ascii="仿宋" w:hAnsi="仿宋" w:eastAsia="仿宋" w:cs="宋体"/>
          <w:b/>
          <w:bCs/>
          <w:color w:val="auto"/>
          <w:kern w:val="0"/>
          <w:szCs w:val="21"/>
          <w:highlight w:val="none"/>
        </w:rPr>
        <w:t>产地类型为国产的，不允许进口产品参与采购活动</w:t>
      </w:r>
      <w:r>
        <w:rPr>
          <w:rFonts w:hint="eastAsia" w:ascii="仿宋" w:hAnsi="仿宋" w:eastAsia="仿宋" w:cs="宋体"/>
          <w:b/>
          <w:bCs/>
          <w:color w:val="auto"/>
          <w:kern w:val="0"/>
          <w:szCs w:val="21"/>
          <w:highlight w:val="none"/>
        </w:rPr>
        <w:t>。</w:t>
      </w:r>
    </w:p>
    <w:p>
      <w:pPr>
        <w:ind w:firstLine="420" w:firstLineChars="200"/>
        <w:rPr>
          <w:rFonts w:ascii="仿宋" w:hAnsi="仿宋" w:eastAsia="仿宋"/>
          <w:color w:val="auto"/>
          <w:szCs w:val="21"/>
          <w:highlight w:val="none"/>
        </w:rPr>
      </w:pPr>
    </w:p>
    <w:p>
      <w:pPr>
        <w:ind w:firstLine="960" w:firstLineChars="400"/>
        <w:rPr>
          <w:rFonts w:ascii="仿宋" w:hAnsi="仿宋" w:eastAsia="仿宋"/>
          <w:color w:val="auto"/>
          <w:sz w:val="24"/>
          <w:highlight w:val="none"/>
          <w:u w:val="single"/>
        </w:rPr>
      </w:pPr>
      <w:r>
        <w:rPr>
          <w:rFonts w:hint="eastAsia" w:ascii="仿宋" w:hAnsi="仿宋" w:eastAsia="仿宋"/>
          <w:color w:val="auto"/>
          <w:sz w:val="24"/>
          <w:highlight w:val="none"/>
        </w:rPr>
        <w:t>合同履行期限：自合同签订之日起30日内。</w:t>
      </w:r>
    </w:p>
    <w:p>
      <w:pPr>
        <w:spacing w:line="360" w:lineRule="auto"/>
        <w:ind w:firstLine="480" w:firstLineChars="200"/>
        <w:rPr>
          <w:rFonts w:ascii="仿宋" w:hAnsi="仿宋" w:eastAsia="仿宋"/>
          <w:color w:val="auto"/>
          <w:sz w:val="24"/>
          <w:highlight w:val="none"/>
        </w:rPr>
      </w:pPr>
    </w:p>
    <w:p>
      <w:pPr>
        <w:spacing w:line="360" w:lineRule="auto"/>
        <w:ind w:firstLine="960" w:firstLineChars="400"/>
        <w:rPr>
          <w:rFonts w:ascii="仿宋" w:hAnsi="仿宋" w:eastAsia="仿宋"/>
          <w:color w:val="auto"/>
          <w:sz w:val="24"/>
          <w:highlight w:val="none"/>
        </w:rPr>
      </w:pPr>
      <w:r>
        <w:rPr>
          <w:rFonts w:hint="eastAsia" w:ascii="仿宋" w:hAnsi="仿宋" w:eastAsia="仿宋"/>
          <w:color w:val="auto"/>
          <w:sz w:val="24"/>
          <w:highlight w:val="none"/>
        </w:rPr>
        <w:t>本项目不接受联合体参加谈判。</w:t>
      </w:r>
    </w:p>
    <w:p>
      <w:pPr>
        <w:ind w:firstLine="562" w:firstLineChars="200"/>
        <w:rPr>
          <w:rFonts w:ascii="仿宋" w:hAnsi="仿宋" w:eastAsia="仿宋"/>
          <w:b/>
          <w:bCs/>
          <w:color w:val="auto"/>
          <w:sz w:val="28"/>
          <w:szCs w:val="28"/>
          <w:highlight w:val="none"/>
        </w:rPr>
      </w:pPr>
      <w:bookmarkStart w:id="15" w:name="_Toc28359003"/>
      <w:bookmarkStart w:id="16" w:name="_Toc28359080"/>
      <w:bookmarkStart w:id="17" w:name="_Toc35393622"/>
      <w:bookmarkStart w:id="18" w:name="_Toc35393791"/>
      <w:r>
        <w:rPr>
          <w:rFonts w:hint="eastAsia" w:ascii="仿宋" w:hAnsi="仿宋" w:eastAsia="仿宋"/>
          <w:b/>
          <w:bCs/>
          <w:color w:val="auto"/>
          <w:sz w:val="28"/>
          <w:szCs w:val="28"/>
          <w:highlight w:val="none"/>
        </w:rPr>
        <w:t>二、申请人的资格要求：</w:t>
      </w:r>
      <w:bookmarkEnd w:id="15"/>
      <w:bookmarkEnd w:id="16"/>
      <w:bookmarkEnd w:id="17"/>
      <w:bookmarkEnd w:id="18"/>
    </w:p>
    <w:p>
      <w:pPr>
        <w:spacing w:line="52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1.本项目的基本资格要求：</w:t>
      </w:r>
    </w:p>
    <w:p>
      <w:pPr>
        <w:numPr>
          <w:ilvl w:val="1"/>
          <w:numId w:val="1"/>
        </w:numPr>
        <w:spacing w:line="520" w:lineRule="exact"/>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具有独立承担民事责任的能力；</w:t>
      </w:r>
    </w:p>
    <w:p>
      <w:pPr>
        <w:numPr>
          <w:ilvl w:val="1"/>
          <w:numId w:val="1"/>
        </w:numPr>
        <w:spacing w:line="520" w:lineRule="exact"/>
        <w:rPr>
          <w:rFonts w:ascii="仿宋" w:hAnsi="仿宋" w:eastAsia="仿宋" w:cs="宋体"/>
          <w:bCs/>
          <w:color w:val="auto"/>
          <w:kern w:val="0"/>
          <w:sz w:val="24"/>
          <w:highlight w:val="none"/>
        </w:rPr>
      </w:pPr>
      <w:r>
        <w:rPr>
          <w:rFonts w:ascii="仿宋" w:hAnsi="仿宋" w:eastAsia="仿宋" w:cs="宋体"/>
          <w:bCs/>
          <w:color w:val="auto"/>
          <w:kern w:val="0"/>
          <w:sz w:val="24"/>
          <w:highlight w:val="none"/>
        </w:rPr>
        <w:t>具有良好的商业信誉和健全的财务会计制度；</w:t>
      </w:r>
    </w:p>
    <w:p>
      <w:pPr>
        <w:numPr>
          <w:ilvl w:val="1"/>
          <w:numId w:val="1"/>
        </w:numPr>
        <w:spacing w:line="520" w:lineRule="exact"/>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具有履行合同所必需的设备和专业技术能力；</w:t>
      </w:r>
    </w:p>
    <w:p>
      <w:pPr>
        <w:numPr>
          <w:ilvl w:val="1"/>
          <w:numId w:val="1"/>
        </w:numPr>
        <w:spacing w:line="520" w:lineRule="exact"/>
        <w:rPr>
          <w:rFonts w:ascii="仿宋" w:hAnsi="仿宋" w:eastAsia="仿宋" w:cs="宋体"/>
          <w:bCs/>
          <w:color w:val="auto"/>
          <w:kern w:val="0"/>
          <w:sz w:val="24"/>
          <w:highlight w:val="none"/>
        </w:rPr>
      </w:pPr>
      <w:r>
        <w:rPr>
          <w:rFonts w:ascii="仿宋" w:hAnsi="仿宋" w:eastAsia="仿宋" w:cs="宋体"/>
          <w:bCs/>
          <w:color w:val="auto"/>
          <w:kern w:val="0"/>
          <w:sz w:val="24"/>
          <w:highlight w:val="none"/>
        </w:rPr>
        <w:t>具</w:t>
      </w:r>
      <w:r>
        <w:rPr>
          <w:rFonts w:hint="eastAsia" w:ascii="仿宋" w:hAnsi="仿宋" w:eastAsia="仿宋" w:cs="宋体"/>
          <w:bCs/>
          <w:color w:val="auto"/>
          <w:kern w:val="0"/>
          <w:sz w:val="24"/>
          <w:highlight w:val="none"/>
        </w:rPr>
        <w:t>有依法缴纳税收和社会保障资金的良好记录；</w:t>
      </w:r>
    </w:p>
    <w:p>
      <w:pPr>
        <w:numPr>
          <w:ilvl w:val="1"/>
          <w:numId w:val="1"/>
        </w:numPr>
        <w:spacing w:line="520" w:lineRule="exact"/>
        <w:rPr>
          <w:rFonts w:ascii="仿宋" w:hAnsi="仿宋" w:eastAsia="仿宋" w:cs="宋体"/>
          <w:bCs/>
          <w:color w:val="auto"/>
          <w:kern w:val="0"/>
          <w:sz w:val="24"/>
          <w:highlight w:val="none"/>
        </w:rPr>
      </w:pPr>
      <w:r>
        <w:rPr>
          <w:rFonts w:hint="eastAsia" w:ascii="仿宋" w:hAnsi="仿宋" w:eastAsia="仿宋" w:cs="宋体"/>
          <w:bCs/>
          <w:color w:val="auto"/>
          <w:kern w:val="0"/>
          <w:sz w:val="24"/>
          <w:highlight w:val="none"/>
        </w:rPr>
        <w:t>参加本次采购活动的前三年内，在经营活动中没有重大违法记录；</w:t>
      </w:r>
    </w:p>
    <w:p>
      <w:pPr>
        <w:spacing w:line="520" w:lineRule="exact"/>
        <w:ind w:firstLine="480" w:firstLineChars="200"/>
        <w:rPr>
          <w:rFonts w:ascii="仿宋" w:hAnsi="仿宋" w:eastAsia="仿宋"/>
          <w:i/>
          <w:iCs/>
          <w:color w:val="auto"/>
          <w:sz w:val="28"/>
          <w:szCs w:val="28"/>
          <w:highlight w:val="none"/>
          <w:u w:val="single"/>
        </w:rPr>
      </w:pPr>
      <w:bookmarkStart w:id="19" w:name="_Toc28359081"/>
      <w:bookmarkStart w:id="20" w:name="_Toc28359004"/>
      <w:r>
        <w:rPr>
          <w:rFonts w:ascii="仿宋" w:hAnsi="仿宋" w:eastAsia="仿宋"/>
          <w:color w:val="auto"/>
          <w:sz w:val="24"/>
          <w:highlight w:val="none"/>
        </w:rPr>
        <w:t>2</w:t>
      </w:r>
      <w:r>
        <w:rPr>
          <w:rFonts w:hint="eastAsia" w:ascii="仿宋" w:hAnsi="仿宋" w:eastAsia="仿宋"/>
          <w:color w:val="auto"/>
          <w:sz w:val="24"/>
          <w:highlight w:val="none"/>
        </w:rPr>
        <w:t>.本项目的特定资格要求：</w:t>
      </w:r>
      <w:r>
        <w:rPr>
          <w:rFonts w:hint="eastAsia" w:ascii="仿宋" w:hAnsi="仿宋" w:eastAsia="仿宋"/>
          <w:color w:val="auto"/>
          <w:sz w:val="24"/>
          <w:highlight w:val="none"/>
          <w:u w:val="single"/>
        </w:rPr>
        <w:t>无</w:t>
      </w:r>
      <w:r>
        <w:rPr>
          <w:rFonts w:hint="eastAsia" w:ascii="仿宋" w:hAnsi="仿宋" w:eastAsia="仿宋" w:cs="宋体"/>
          <w:bCs/>
          <w:color w:val="auto"/>
          <w:kern w:val="0"/>
          <w:sz w:val="24"/>
          <w:highlight w:val="none"/>
        </w:rPr>
        <w:t>。</w:t>
      </w:r>
    </w:p>
    <w:bookmarkEnd w:id="19"/>
    <w:bookmarkEnd w:id="20"/>
    <w:p>
      <w:pPr>
        <w:ind w:firstLine="562" w:firstLineChars="200"/>
        <w:rPr>
          <w:rFonts w:ascii="仿宋" w:hAnsi="仿宋" w:eastAsia="仿宋"/>
          <w:b/>
          <w:bCs/>
          <w:color w:val="auto"/>
          <w:sz w:val="28"/>
          <w:szCs w:val="28"/>
          <w:highlight w:val="none"/>
        </w:rPr>
      </w:pPr>
      <w:bookmarkStart w:id="21" w:name="_Toc35393631"/>
      <w:bookmarkStart w:id="22" w:name="_Toc35393800"/>
      <w:r>
        <w:rPr>
          <w:rFonts w:hint="eastAsia" w:ascii="仿宋" w:hAnsi="仿宋" w:eastAsia="仿宋"/>
          <w:b/>
          <w:bCs/>
          <w:color w:val="auto"/>
          <w:sz w:val="28"/>
          <w:szCs w:val="28"/>
          <w:highlight w:val="none"/>
        </w:rPr>
        <w:t>三、获取采购文件</w:t>
      </w:r>
      <w:bookmarkEnd w:id="21"/>
      <w:bookmarkEnd w:id="22"/>
    </w:p>
    <w:p>
      <w:pPr>
        <w:spacing w:line="520" w:lineRule="exact"/>
        <w:ind w:firstLine="540"/>
        <w:rPr>
          <w:rFonts w:ascii="仿宋" w:hAnsi="仿宋" w:eastAsia="仿宋" w:cs="宋体"/>
          <w:color w:val="auto"/>
          <w:sz w:val="24"/>
          <w:highlight w:val="none"/>
        </w:rPr>
      </w:pPr>
      <w:r>
        <w:rPr>
          <w:rFonts w:hint="eastAsia" w:ascii="仿宋" w:hAnsi="仿宋" w:eastAsia="仿宋" w:cs="宋体"/>
          <w:color w:val="auto"/>
          <w:sz w:val="24"/>
          <w:highlight w:val="none"/>
        </w:rPr>
        <w:t>时间：</w:t>
      </w:r>
      <w:r>
        <w:rPr>
          <w:rFonts w:hint="eastAsia" w:ascii="仿宋" w:hAnsi="仿宋" w:eastAsia="仿宋"/>
          <w:color w:val="auto"/>
          <w:sz w:val="24"/>
          <w:highlight w:val="none"/>
          <w:u w:val="single"/>
        </w:rPr>
        <w:t>2023年</w:t>
      </w:r>
      <w:r>
        <w:rPr>
          <w:rFonts w:hint="eastAsia" w:ascii="仿宋" w:hAnsi="仿宋" w:eastAsia="仿宋"/>
          <w:color w:val="auto"/>
          <w:sz w:val="24"/>
          <w:highlight w:val="none"/>
          <w:u w:val="single"/>
          <w:lang w:val="en-US" w:eastAsia="zh-CN"/>
        </w:rPr>
        <w:t>11</w:t>
      </w:r>
      <w:r>
        <w:rPr>
          <w:rFonts w:hint="eastAsia" w:ascii="仿宋" w:hAnsi="仿宋" w:eastAsia="仿宋"/>
          <w:color w:val="auto"/>
          <w:sz w:val="24"/>
          <w:highlight w:val="none"/>
          <w:u w:val="single"/>
        </w:rPr>
        <w:t>月</w:t>
      </w:r>
      <w:r>
        <w:rPr>
          <w:rFonts w:hint="eastAsia" w:ascii="仿宋" w:hAnsi="仿宋" w:eastAsia="仿宋"/>
          <w:color w:val="auto"/>
          <w:sz w:val="24"/>
          <w:highlight w:val="none"/>
          <w:u w:val="single"/>
          <w:lang w:val="en-US" w:eastAsia="zh-CN"/>
        </w:rPr>
        <w:t>1</w:t>
      </w:r>
      <w:r>
        <w:rPr>
          <w:rFonts w:hint="eastAsia" w:ascii="仿宋" w:hAnsi="仿宋" w:eastAsia="仿宋"/>
          <w:color w:val="auto"/>
          <w:sz w:val="24"/>
          <w:highlight w:val="none"/>
          <w:u w:val="single"/>
        </w:rPr>
        <w:t>日</w:t>
      </w:r>
      <w:r>
        <w:rPr>
          <w:rFonts w:hint="eastAsia" w:ascii="仿宋" w:hAnsi="仿宋" w:eastAsia="仿宋" w:cs="宋体"/>
          <w:color w:val="auto"/>
          <w:sz w:val="24"/>
          <w:highlight w:val="none"/>
        </w:rPr>
        <w:t>至</w:t>
      </w:r>
      <w:r>
        <w:rPr>
          <w:rFonts w:hint="eastAsia" w:ascii="仿宋" w:hAnsi="仿宋" w:eastAsia="仿宋" w:cs="宋体"/>
          <w:color w:val="auto"/>
          <w:sz w:val="24"/>
          <w:highlight w:val="none"/>
          <w:u w:val="single"/>
        </w:rPr>
        <w:t xml:space="preserve"> </w:t>
      </w:r>
      <w:r>
        <w:rPr>
          <w:rFonts w:hint="eastAsia" w:ascii="仿宋" w:hAnsi="仿宋" w:eastAsia="仿宋"/>
          <w:color w:val="auto"/>
          <w:sz w:val="24"/>
          <w:highlight w:val="none"/>
          <w:u w:val="single"/>
        </w:rPr>
        <w:t>2023年</w:t>
      </w:r>
      <w:r>
        <w:rPr>
          <w:rFonts w:hint="eastAsia" w:ascii="仿宋" w:hAnsi="仿宋" w:eastAsia="仿宋"/>
          <w:color w:val="auto"/>
          <w:sz w:val="24"/>
          <w:highlight w:val="none"/>
          <w:u w:val="single"/>
          <w:lang w:val="en-US" w:eastAsia="zh-CN"/>
        </w:rPr>
        <w:t>11</w:t>
      </w:r>
      <w:r>
        <w:rPr>
          <w:rFonts w:hint="eastAsia" w:ascii="仿宋" w:hAnsi="仿宋" w:eastAsia="仿宋"/>
          <w:color w:val="auto"/>
          <w:sz w:val="24"/>
          <w:highlight w:val="none"/>
          <w:u w:val="single"/>
        </w:rPr>
        <w:t>月</w:t>
      </w:r>
      <w:r>
        <w:rPr>
          <w:rFonts w:hint="eastAsia" w:ascii="仿宋" w:hAnsi="仿宋" w:eastAsia="仿宋"/>
          <w:color w:val="auto"/>
          <w:sz w:val="24"/>
          <w:highlight w:val="none"/>
          <w:u w:val="single"/>
          <w:lang w:val="en-US" w:eastAsia="zh-CN"/>
        </w:rPr>
        <w:t>6</w:t>
      </w:r>
      <w:r>
        <w:rPr>
          <w:rFonts w:hint="eastAsia" w:ascii="仿宋" w:hAnsi="仿宋" w:eastAsia="仿宋"/>
          <w:color w:val="auto"/>
          <w:sz w:val="24"/>
          <w:highlight w:val="none"/>
          <w:u w:val="single"/>
        </w:rPr>
        <w:t>日</w:t>
      </w:r>
      <w:r>
        <w:rPr>
          <w:rFonts w:hint="eastAsia" w:ascii="仿宋" w:hAnsi="仿宋" w:eastAsia="仿宋" w:cs="宋体"/>
          <w:color w:val="auto"/>
          <w:sz w:val="24"/>
          <w:highlight w:val="none"/>
        </w:rPr>
        <w:t>，每天上午</w:t>
      </w:r>
      <w:r>
        <w:rPr>
          <w:rFonts w:hint="eastAsia" w:ascii="仿宋" w:hAnsi="仿宋" w:eastAsia="仿宋" w:cs="宋体"/>
          <w:color w:val="auto"/>
          <w:sz w:val="24"/>
          <w:highlight w:val="none"/>
          <w:u w:val="single"/>
        </w:rPr>
        <w:t xml:space="preserve">9:30 </w:t>
      </w:r>
      <w:r>
        <w:rPr>
          <w:rFonts w:hint="eastAsia" w:ascii="仿宋" w:hAnsi="仿宋" w:eastAsia="仿宋" w:cs="宋体"/>
          <w:color w:val="auto"/>
          <w:sz w:val="24"/>
          <w:highlight w:val="none"/>
        </w:rPr>
        <w:t>至</w:t>
      </w:r>
      <w:r>
        <w:rPr>
          <w:rFonts w:hint="eastAsia" w:ascii="仿宋" w:hAnsi="仿宋" w:eastAsia="仿宋" w:cs="宋体"/>
          <w:color w:val="auto"/>
          <w:sz w:val="24"/>
          <w:highlight w:val="none"/>
          <w:u w:val="single"/>
        </w:rPr>
        <w:t xml:space="preserve">11:30 </w:t>
      </w:r>
      <w:r>
        <w:rPr>
          <w:rFonts w:hint="eastAsia" w:ascii="仿宋" w:hAnsi="仿宋" w:eastAsia="仿宋" w:cs="宋体"/>
          <w:color w:val="auto"/>
          <w:sz w:val="24"/>
          <w:highlight w:val="none"/>
        </w:rPr>
        <w:t>，下午</w:t>
      </w:r>
      <w:r>
        <w:rPr>
          <w:rFonts w:hint="eastAsia" w:ascii="仿宋" w:hAnsi="仿宋" w:eastAsia="仿宋" w:cs="宋体"/>
          <w:color w:val="auto"/>
          <w:sz w:val="24"/>
          <w:highlight w:val="none"/>
          <w:u w:val="single"/>
        </w:rPr>
        <w:t>2:00</w:t>
      </w:r>
      <w:r>
        <w:rPr>
          <w:rFonts w:hint="eastAsia" w:ascii="仿宋" w:hAnsi="仿宋" w:eastAsia="仿宋" w:cs="宋体"/>
          <w:color w:val="auto"/>
          <w:sz w:val="24"/>
          <w:highlight w:val="none"/>
        </w:rPr>
        <w:t>至</w:t>
      </w:r>
      <w:r>
        <w:rPr>
          <w:rFonts w:hint="eastAsia" w:ascii="仿宋" w:hAnsi="仿宋" w:eastAsia="仿宋" w:cs="宋体"/>
          <w:color w:val="auto"/>
          <w:sz w:val="24"/>
          <w:highlight w:val="none"/>
          <w:u w:val="single"/>
        </w:rPr>
        <w:t>5:00</w:t>
      </w:r>
      <w:r>
        <w:rPr>
          <w:rFonts w:hint="eastAsia" w:ascii="仿宋" w:hAnsi="仿宋" w:eastAsia="仿宋" w:cs="宋体"/>
          <w:color w:val="auto"/>
          <w:sz w:val="24"/>
          <w:highlight w:val="none"/>
        </w:rPr>
        <w:t>（北京时间，</w:t>
      </w:r>
      <w:r>
        <w:rPr>
          <w:rFonts w:ascii="仿宋" w:hAnsi="仿宋" w:eastAsia="仿宋" w:cs="宋体"/>
          <w:color w:val="auto"/>
          <w:sz w:val="24"/>
          <w:highlight w:val="none"/>
        </w:rPr>
        <w:t>法定节假日</w:t>
      </w:r>
      <w:r>
        <w:rPr>
          <w:rFonts w:hint="eastAsia" w:ascii="仿宋" w:hAnsi="仿宋" w:eastAsia="仿宋" w:cs="宋体"/>
          <w:color w:val="auto"/>
          <w:sz w:val="24"/>
          <w:highlight w:val="none"/>
        </w:rPr>
        <w:t>除外 ）。</w:t>
      </w:r>
    </w:p>
    <w:p>
      <w:pPr>
        <w:spacing w:line="520" w:lineRule="exact"/>
        <w:ind w:left="719" w:leftChars="228" w:hanging="240" w:hangingChars="100"/>
        <w:rPr>
          <w:rFonts w:ascii="仿宋" w:hAnsi="仿宋" w:eastAsia="仿宋" w:cs="宋体"/>
          <w:color w:val="auto"/>
          <w:sz w:val="24"/>
          <w:highlight w:val="none"/>
          <w:u w:val="single"/>
        </w:rPr>
      </w:pPr>
      <w:r>
        <w:rPr>
          <w:rFonts w:hint="eastAsia" w:ascii="仿宋" w:hAnsi="仿宋" w:eastAsia="仿宋" w:cs="宋体"/>
          <w:color w:val="auto"/>
          <w:sz w:val="24"/>
          <w:highlight w:val="none"/>
        </w:rPr>
        <w:t>地点：</w:t>
      </w:r>
      <w:r>
        <w:rPr>
          <w:rFonts w:hint="eastAsia" w:ascii="仿宋" w:hAnsi="仿宋" w:eastAsia="仿宋" w:cs="宋体"/>
          <w:color w:val="auto"/>
          <w:sz w:val="24"/>
          <w:highlight w:val="none"/>
          <w:u w:val="single"/>
        </w:rPr>
        <w:t>江西骏宏招标咨询有限公司（江西省南昌市红谷滩新区世贸路远帆大厦A座10楼1001-1004室）</w:t>
      </w:r>
    </w:p>
    <w:p>
      <w:pPr>
        <w:spacing w:line="520" w:lineRule="exact"/>
        <w:ind w:firstLine="540"/>
        <w:rPr>
          <w:rFonts w:ascii="仿宋" w:hAnsi="仿宋" w:eastAsia="仿宋" w:cs="宋体"/>
          <w:color w:val="auto"/>
          <w:sz w:val="24"/>
          <w:highlight w:val="none"/>
          <w:u w:val="single"/>
        </w:rPr>
      </w:pPr>
      <w:r>
        <w:rPr>
          <w:rFonts w:hint="eastAsia" w:ascii="仿宋" w:hAnsi="仿宋" w:eastAsia="仿宋" w:cs="宋体"/>
          <w:color w:val="auto"/>
          <w:sz w:val="24"/>
          <w:highlight w:val="none"/>
        </w:rPr>
        <w:t>方式：</w:t>
      </w:r>
      <w:r>
        <w:rPr>
          <w:rFonts w:hint="eastAsia" w:ascii="仿宋" w:hAnsi="仿宋" w:eastAsia="仿宋" w:cs="宋体"/>
          <w:color w:val="auto"/>
          <w:sz w:val="24"/>
          <w:highlight w:val="none"/>
          <w:u w:val="single"/>
        </w:rPr>
        <w:t>将报名材料发至以下邮箱：2836365219@qq.com。获取文件时必须提交以下资料：</w:t>
      </w:r>
    </w:p>
    <w:p>
      <w:pPr>
        <w:spacing w:line="520" w:lineRule="exact"/>
        <w:ind w:firstLine="540"/>
        <w:rPr>
          <w:rFonts w:ascii="仿宋" w:hAnsi="仿宋" w:eastAsia="仿宋" w:cs="宋体"/>
          <w:b/>
          <w:bCs/>
          <w:color w:val="auto"/>
          <w:sz w:val="24"/>
          <w:highlight w:val="none"/>
        </w:rPr>
      </w:pPr>
      <w:r>
        <w:rPr>
          <w:rFonts w:hint="eastAsia" w:ascii="仿宋" w:hAnsi="仿宋" w:eastAsia="仿宋" w:cs="宋体"/>
          <w:color w:val="auto"/>
          <w:sz w:val="24"/>
          <w:highlight w:val="none"/>
        </w:rPr>
        <w:t>营业执照副本（复印件加盖公章）；法定代表人签字并加盖单位公章的授权委托书、法定代表人身份证（复印件加盖公章）、被授权人身份证复印件（复印件加盖公章）。</w:t>
      </w:r>
      <w:r>
        <w:rPr>
          <w:rFonts w:hint="eastAsia" w:ascii="仿宋" w:hAnsi="仿宋" w:eastAsia="仿宋" w:cs="宋体"/>
          <w:b/>
          <w:bCs/>
          <w:color w:val="auto"/>
          <w:sz w:val="24"/>
          <w:highlight w:val="none"/>
        </w:rPr>
        <w:t>同时请在邮箱信息上注明公司名称、所报名项目的项目名称、联系人、联系电话，因信息不完整导致报名不成功由供应商自行承担。</w:t>
      </w:r>
    </w:p>
    <w:p>
      <w:pPr>
        <w:ind w:firstLine="562" w:firstLineChars="200"/>
        <w:rPr>
          <w:rFonts w:ascii="仿宋" w:hAnsi="仿宋" w:eastAsia="仿宋" w:cs="宋体"/>
          <w:b/>
          <w:bCs/>
          <w:color w:val="auto"/>
          <w:sz w:val="28"/>
          <w:szCs w:val="28"/>
          <w:highlight w:val="none"/>
        </w:rPr>
      </w:pPr>
      <w:bookmarkStart w:id="23" w:name="_Toc28359092"/>
      <w:bookmarkStart w:id="24" w:name="_Toc28359015"/>
      <w:bookmarkStart w:id="25" w:name="_Toc35393801"/>
      <w:bookmarkStart w:id="26" w:name="_Toc35393632"/>
      <w:r>
        <w:rPr>
          <w:rFonts w:hint="eastAsia" w:ascii="仿宋" w:hAnsi="仿宋" w:eastAsia="仿宋"/>
          <w:b/>
          <w:bCs/>
          <w:color w:val="auto"/>
          <w:sz w:val="28"/>
          <w:szCs w:val="28"/>
          <w:highlight w:val="none"/>
        </w:rPr>
        <w:t>四、响应文件提交</w:t>
      </w:r>
      <w:bookmarkEnd w:id="23"/>
      <w:bookmarkEnd w:id="24"/>
      <w:bookmarkEnd w:id="25"/>
      <w:bookmarkEnd w:id="26"/>
    </w:p>
    <w:p>
      <w:pPr>
        <w:spacing w:line="52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截止时间：</w:t>
      </w:r>
      <w:r>
        <w:rPr>
          <w:rFonts w:hint="eastAsia" w:ascii="仿宋" w:hAnsi="仿宋" w:eastAsia="仿宋" w:cs="宋体"/>
          <w:color w:val="auto"/>
          <w:kern w:val="0"/>
          <w:sz w:val="24"/>
          <w:highlight w:val="none"/>
        </w:rPr>
        <w:t>2023年</w:t>
      </w:r>
      <w:r>
        <w:rPr>
          <w:rFonts w:hint="eastAsia" w:ascii="仿宋" w:hAnsi="仿宋" w:eastAsia="仿宋" w:cs="宋体"/>
          <w:color w:val="auto"/>
          <w:kern w:val="0"/>
          <w:sz w:val="24"/>
          <w:highlight w:val="none"/>
          <w:lang w:val="en-US" w:eastAsia="zh-CN"/>
        </w:rPr>
        <w:t>11</w:t>
      </w:r>
      <w:r>
        <w:rPr>
          <w:rFonts w:hint="eastAsia" w:ascii="仿宋" w:hAnsi="仿宋" w:eastAsia="仿宋" w:cs="宋体"/>
          <w:color w:val="auto"/>
          <w:kern w:val="0"/>
          <w:sz w:val="24"/>
          <w:highlight w:val="none"/>
        </w:rPr>
        <w:t>月</w:t>
      </w:r>
      <w:r>
        <w:rPr>
          <w:rFonts w:hint="eastAsia" w:ascii="仿宋" w:hAnsi="仿宋" w:eastAsia="仿宋" w:cs="宋体"/>
          <w:color w:val="auto"/>
          <w:kern w:val="0"/>
          <w:sz w:val="24"/>
          <w:highlight w:val="none"/>
          <w:lang w:val="en-US" w:eastAsia="zh-CN"/>
        </w:rPr>
        <w:t>10</w:t>
      </w:r>
      <w:r>
        <w:rPr>
          <w:rFonts w:hint="eastAsia" w:ascii="仿宋" w:hAnsi="仿宋" w:eastAsia="仿宋" w:cs="宋体"/>
          <w:color w:val="auto"/>
          <w:kern w:val="0"/>
          <w:sz w:val="24"/>
          <w:highlight w:val="none"/>
        </w:rPr>
        <w:t>日</w:t>
      </w:r>
      <w:r>
        <w:rPr>
          <w:rFonts w:hint="eastAsia" w:ascii="仿宋" w:hAnsi="仿宋" w:eastAsia="仿宋" w:cs="宋体"/>
          <w:color w:val="auto"/>
          <w:kern w:val="0"/>
          <w:sz w:val="24"/>
          <w:highlight w:val="none"/>
          <w:lang w:val="en-US" w:eastAsia="zh-CN"/>
        </w:rPr>
        <w:t>9</w:t>
      </w:r>
      <w:r>
        <w:rPr>
          <w:rFonts w:hint="eastAsia" w:ascii="仿宋" w:hAnsi="仿宋" w:eastAsia="仿宋" w:cs="宋体"/>
          <w:color w:val="auto"/>
          <w:kern w:val="0"/>
          <w:sz w:val="24"/>
          <w:highlight w:val="none"/>
        </w:rPr>
        <w:t>点</w:t>
      </w:r>
      <w:r>
        <w:rPr>
          <w:rFonts w:hint="eastAsia" w:ascii="仿宋" w:hAnsi="仿宋" w:eastAsia="仿宋" w:cs="宋体"/>
          <w:color w:val="auto"/>
          <w:kern w:val="0"/>
          <w:sz w:val="24"/>
          <w:highlight w:val="none"/>
          <w:lang w:val="en-US" w:eastAsia="zh-CN"/>
        </w:rPr>
        <w:t>0</w:t>
      </w:r>
      <w:r>
        <w:rPr>
          <w:rFonts w:hint="eastAsia" w:ascii="仿宋" w:hAnsi="仿宋" w:eastAsia="仿宋" w:cs="宋体"/>
          <w:color w:val="auto"/>
          <w:kern w:val="0"/>
          <w:sz w:val="24"/>
          <w:highlight w:val="none"/>
        </w:rPr>
        <w:t>0分</w:t>
      </w:r>
      <w:r>
        <w:rPr>
          <w:rFonts w:hint="eastAsia" w:ascii="仿宋" w:hAnsi="仿宋" w:eastAsia="仿宋"/>
          <w:color w:val="auto"/>
          <w:sz w:val="24"/>
          <w:highlight w:val="none"/>
        </w:rPr>
        <w:t>（北京时间）</w:t>
      </w:r>
    </w:p>
    <w:p>
      <w:pPr>
        <w:spacing w:line="52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地点：江西骏宏招标咨询有限公司（江西省南昌市红谷滩新区世贸路远帆大厦A座10楼1001-1004室）。</w:t>
      </w:r>
    </w:p>
    <w:p>
      <w:pPr>
        <w:ind w:firstLine="562" w:firstLineChars="200"/>
        <w:rPr>
          <w:rFonts w:ascii="仿宋" w:hAnsi="仿宋" w:eastAsia="仿宋"/>
          <w:b/>
          <w:bCs/>
          <w:color w:val="auto"/>
          <w:sz w:val="28"/>
          <w:szCs w:val="28"/>
          <w:highlight w:val="none"/>
        </w:rPr>
      </w:pPr>
      <w:bookmarkStart w:id="27" w:name="_Toc28359093"/>
      <w:bookmarkStart w:id="28" w:name="_Toc35393802"/>
      <w:bookmarkStart w:id="29" w:name="_Toc28359016"/>
      <w:bookmarkStart w:id="30" w:name="_Toc35393633"/>
      <w:r>
        <w:rPr>
          <w:rFonts w:hint="eastAsia" w:ascii="仿宋" w:hAnsi="仿宋" w:eastAsia="仿宋"/>
          <w:b/>
          <w:bCs/>
          <w:color w:val="auto"/>
          <w:sz w:val="28"/>
          <w:szCs w:val="28"/>
          <w:highlight w:val="none"/>
        </w:rPr>
        <w:t>五、开启</w:t>
      </w:r>
      <w:bookmarkEnd w:id="27"/>
      <w:bookmarkEnd w:id="28"/>
      <w:bookmarkEnd w:id="29"/>
      <w:bookmarkEnd w:id="30"/>
    </w:p>
    <w:p>
      <w:pPr>
        <w:spacing w:line="520" w:lineRule="exact"/>
        <w:ind w:firstLine="480" w:firstLineChars="200"/>
        <w:rPr>
          <w:rFonts w:ascii="仿宋" w:hAnsi="仿宋" w:eastAsia="仿宋"/>
          <w:color w:val="auto"/>
          <w:sz w:val="24"/>
          <w:highlight w:val="none"/>
        </w:rPr>
      </w:pPr>
      <w:bookmarkStart w:id="31" w:name="_Toc35393625"/>
      <w:bookmarkStart w:id="32" w:name="_Toc28359007"/>
      <w:bookmarkStart w:id="33" w:name="_Toc35393794"/>
      <w:bookmarkStart w:id="34" w:name="_Toc28359084"/>
      <w:r>
        <w:rPr>
          <w:rFonts w:hint="eastAsia" w:ascii="仿宋" w:hAnsi="仿宋" w:eastAsia="仿宋"/>
          <w:color w:val="auto"/>
          <w:sz w:val="24"/>
          <w:highlight w:val="none"/>
        </w:rPr>
        <w:t>时间：</w:t>
      </w:r>
      <w:r>
        <w:rPr>
          <w:rFonts w:hint="eastAsia" w:ascii="仿宋" w:hAnsi="仿宋" w:eastAsia="仿宋" w:cs="宋体"/>
          <w:color w:val="auto"/>
          <w:kern w:val="0"/>
          <w:sz w:val="24"/>
          <w:highlight w:val="none"/>
        </w:rPr>
        <w:t>2023年</w:t>
      </w:r>
      <w:r>
        <w:rPr>
          <w:rFonts w:hint="eastAsia" w:ascii="仿宋" w:hAnsi="仿宋" w:eastAsia="仿宋" w:cs="宋体"/>
          <w:color w:val="auto"/>
          <w:kern w:val="0"/>
          <w:sz w:val="24"/>
          <w:highlight w:val="none"/>
          <w:lang w:val="en-US" w:eastAsia="zh-CN"/>
        </w:rPr>
        <w:t>11</w:t>
      </w:r>
      <w:r>
        <w:rPr>
          <w:rFonts w:hint="eastAsia" w:ascii="仿宋" w:hAnsi="仿宋" w:eastAsia="仿宋" w:cs="宋体"/>
          <w:color w:val="auto"/>
          <w:kern w:val="0"/>
          <w:sz w:val="24"/>
          <w:highlight w:val="none"/>
        </w:rPr>
        <w:t>月</w:t>
      </w:r>
      <w:r>
        <w:rPr>
          <w:rFonts w:hint="eastAsia" w:ascii="仿宋" w:hAnsi="仿宋" w:eastAsia="仿宋" w:cs="宋体"/>
          <w:color w:val="auto"/>
          <w:kern w:val="0"/>
          <w:sz w:val="24"/>
          <w:highlight w:val="none"/>
          <w:lang w:val="en-US" w:eastAsia="zh-CN"/>
        </w:rPr>
        <w:t>10</w:t>
      </w:r>
      <w:r>
        <w:rPr>
          <w:rFonts w:hint="eastAsia" w:ascii="仿宋" w:hAnsi="仿宋" w:eastAsia="仿宋" w:cs="宋体"/>
          <w:color w:val="auto"/>
          <w:kern w:val="0"/>
          <w:sz w:val="24"/>
          <w:highlight w:val="none"/>
        </w:rPr>
        <w:t>日</w:t>
      </w:r>
      <w:r>
        <w:rPr>
          <w:rFonts w:hint="eastAsia" w:ascii="仿宋" w:hAnsi="仿宋" w:eastAsia="仿宋" w:cs="宋体"/>
          <w:color w:val="auto"/>
          <w:kern w:val="0"/>
          <w:sz w:val="24"/>
          <w:highlight w:val="none"/>
          <w:lang w:val="en-US" w:eastAsia="zh-CN"/>
        </w:rPr>
        <w:t>9</w:t>
      </w:r>
      <w:r>
        <w:rPr>
          <w:rFonts w:hint="eastAsia" w:ascii="仿宋" w:hAnsi="仿宋" w:eastAsia="仿宋" w:cs="宋体"/>
          <w:color w:val="auto"/>
          <w:kern w:val="0"/>
          <w:sz w:val="24"/>
          <w:highlight w:val="none"/>
        </w:rPr>
        <w:t>点</w:t>
      </w:r>
      <w:r>
        <w:rPr>
          <w:rFonts w:hint="eastAsia" w:ascii="仿宋" w:hAnsi="仿宋" w:eastAsia="仿宋" w:cs="宋体"/>
          <w:color w:val="auto"/>
          <w:kern w:val="0"/>
          <w:sz w:val="24"/>
          <w:highlight w:val="none"/>
          <w:lang w:val="en-US" w:eastAsia="zh-CN"/>
        </w:rPr>
        <w:t>0</w:t>
      </w:r>
      <w:r>
        <w:rPr>
          <w:rFonts w:hint="eastAsia" w:ascii="仿宋" w:hAnsi="仿宋" w:eastAsia="仿宋" w:cs="宋体"/>
          <w:color w:val="auto"/>
          <w:kern w:val="0"/>
          <w:sz w:val="24"/>
          <w:highlight w:val="none"/>
        </w:rPr>
        <w:t>0分</w:t>
      </w:r>
      <w:r>
        <w:rPr>
          <w:rFonts w:hint="eastAsia" w:ascii="仿宋" w:hAnsi="仿宋" w:eastAsia="仿宋"/>
          <w:color w:val="auto"/>
          <w:sz w:val="24"/>
          <w:highlight w:val="none"/>
        </w:rPr>
        <w:t>（北京时间）</w:t>
      </w:r>
    </w:p>
    <w:p>
      <w:pPr>
        <w:spacing w:line="52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地点：江西骏宏招标咨询有限公司（江西省南昌市红谷滩新区世贸路远帆大厦A座10楼1001-1004室）。</w:t>
      </w:r>
    </w:p>
    <w:p>
      <w:pPr>
        <w:ind w:firstLine="562" w:firstLineChars="200"/>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六、公告期限</w:t>
      </w:r>
      <w:bookmarkEnd w:id="31"/>
      <w:bookmarkEnd w:id="32"/>
      <w:bookmarkEnd w:id="33"/>
      <w:bookmarkEnd w:id="34"/>
    </w:p>
    <w:p>
      <w:pPr>
        <w:spacing w:line="520" w:lineRule="exact"/>
        <w:ind w:firstLine="480" w:firstLineChars="2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自本公告发布之日起3个工作日。</w:t>
      </w:r>
    </w:p>
    <w:p>
      <w:pPr>
        <w:spacing w:line="520" w:lineRule="exact"/>
        <w:ind w:firstLine="562" w:firstLineChars="200"/>
        <w:rPr>
          <w:rFonts w:ascii="仿宋" w:hAnsi="仿宋" w:eastAsia="仿宋"/>
          <w:b/>
          <w:color w:val="auto"/>
          <w:sz w:val="24"/>
          <w:highlight w:val="none"/>
        </w:rPr>
      </w:pPr>
      <w:bookmarkStart w:id="35" w:name="_Toc35393626"/>
      <w:bookmarkStart w:id="36" w:name="_Toc35393795"/>
      <w:r>
        <w:rPr>
          <w:rFonts w:hint="eastAsia" w:ascii="仿宋" w:hAnsi="仿宋" w:eastAsia="仿宋" w:cs="宋体"/>
          <w:b/>
          <w:bCs/>
          <w:color w:val="auto"/>
          <w:sz w:val="28"/>
          <w:szCs w:val="28"/>
          <w:highlight w:val="none"/>
        </w:rPr>
        <w:t>七、</w:t>
      </w:r>
      <w:bookmarkEnd w:id="35"/>
      <w:bookmarkEnd w:id="36"/>
      <w:r>
        <w:rPr>
          <w:rFonts w:hint="eastAsia" w:ascii="仿宋" w:hAnsi="仿宋" w:eastAsia="仿宋" w:cs="宋体"/>
          <w:b/>
          <w:bCs/>
          <w:color w:val="auto"/>
          <w:sz w:val="28"/>
          <w:szCs w:val="28"/>
          <w:highlight w:val="none"/>
        </w:rPr>
        <w:t>谈判保证金:</w:t>
      </w:r>
      <w:r>
        <w:rPr>
          <w:rFonts w:hint="eastAsia" w:ascii="仿宋" w:hAnsi="仿宋" w:eastAsia="仿宋" w:cs="宋体"/>
          <w:bCs/>
          <w:color w:val="auto"/>
          <w:sz w:val="24"/>
          <w:highlight w:val="none"/>
        </w:rPr>
        <w:t xml:space="preserve"> </w:t>
      </w:r>
      <w:r>
        <w:rPr>
          <w:rFonts w:hint="eastAsia" w:ascii="仿宋" w:hAnsi="仿宋" w:eastAsia="仿宋"/>
          <w:color w:val="auto"/>
          <w:sz w:val="24"/>
          <w:highlight w:val="none"/>
        </w:rPr>
        <w:t>谈判保证金缴纳方式、户名、开户行、账号及金额详见采购文件。</w:t>
      </w:r>
    </w:p>
    <w:p>
      <w:pPr>
        <w:spacing w:line="520" w:lineRule="exact"/>
        <w:ind w:firstLine="562" w:firstLineChars="200"/>
        <w:rPr>
          <w:rFonts w:ascii="仿宋" w:hAnsi="仿宋" w:eastAsia="仿宋"/>
          <w:color w:val="auto"/>
          <w:sz w:val="24"/>
          <w:highlight w:val="none"/>
        </w:rPr>
      </w:pPr>
      <w:r>
        <w:rPr>
          <w:rFonts w:hint="eastAsia" w:ascii="仿宋" w:hAnsi="仿宋" w:eastAsia="仿宋" w:cs="宋体"/>
          <w:b/>
          <w:bCs/>
          <w:color w:val="auto"/>
          <w:sz w:val="28"/>
          <w:szCs w:val="28"/>
          <w:highlight w:val="none"/>
        </w:rPr>
        <w:t>八、采购代理服务费：</w:t>
      </w:r>
      <w:r>
        <w:rPr>
          <w:rFonts w:hint="eastAsia" w:ascii="仿宋" w:hAnsi="仿宋" w:eastAsia="仿宋"/>
          <w:color w:val="auto"/>
          <w:sz w:val="24"/>
          <w:highlight w:val="none"/>
        </w:rPr>
        <w:t>按委托代理协议和双方协商确定，向成交供应商收取，具体详见采购文件。</w:t>
      </w:r>
    </w:p>
    <w:p>
      <w:pPr>
        <w:spacing w:line="520" w:lineRule="exact"/>
        <w:ind w:firstLine="562" w:firstLineChars="200"/>
        <w:rPr>
          <w:rFonts w:ascii="仿宋" w:hAnsi="仿宋" w:eastAsia="仿宋" w:cs="宋体"/>
          <w:color w:val="auto"/>
          <w:sz w:val="28"/>
          <w:szCs w:val="28"/>
          <w:highlight w:val="none"/>
        </w:rPr>
      </w:pPr>
      <w:r>
        <w:rPr>
          <w:rFonts w:hint="eastAsia" w:ascii="仿宋" w:hAnsi="仿宋" w:eastAsia="仿宋" w:cs="宋体"/>
          <w:b/>
          <w:bCs/>
          <w:color w:val="auto"/>
          <w:sz w:val="28"/>
          <w:szCs w:val="28"/>
          <w:highlight w:val="none"/>
        </w:rPr>
        <w:t>九、</w:t>
      </w:r>
      <w:bookmarkStart w:id="37" w:name="_Toc28359085"/>
      <w:bookmarkStart w:id="38" w:name="_Toc35393627"/>
      <w:bookmarkStart w:id="39" w:name="_Toc35393796"/>
      <w:bookmarkStart w:id="40" w:name="_Toc28359008"/>
      <w:r>
        <w:rPr>
          <w:rFonts w:hint="eastAsia" w:ascii="仿宋" w:hAnsi="仿宋" w:eastAsia="仿宋"/>
          <w:b/>
          <w:bCs/>
          <w:color w:val="auto"/>
          <w:sz w:val="28"/>
          <w:szCs w:val="28"/>
          <w:highlight w:val="none"/>
        </w:rPr>
        <w:t>对本次采购提出询问，请按以下方式联系</w:t>
      </w:r>
      <w:bookmarkEnd w:id="37"/>
      <w:bookmarkEnd w:id="38"/>
      <w:bookmarkEnd w:id="39"/>
      <w:bookmarkEnd w:id="40"/>
      <w:r>
        <w:rPr>
          <w:rFonts w:hint="eastAsia" w:ascii="仿宋" w:hAnsi="仿宋" w:eastAsia="仿宋" w:cs="宋体"/>
          <w:color w:val="auto"/>
          <w:sz w:val="28"/>
          <w:szCs w:val="28"/>
          <w:highlight w:val="none"/>
        </w:rPr>
        <w:t>：</w:t>
      </w:r>
    </w:p>
    <w:p>
      <w:pPr>
        <w:widowControl/>
        <w:spacing w:line="520" w:lineRule="exact"/>
        <w:jc w:val="left"/>
        <w:rPr>
          <w:rFonts w:ascii="仿宋" w:hAnsi="仿宋" w:eastAsia="仿宋"/>
          <w:color w:val="auto"/>
          <w:sz w:val="24"/>
          <w:highlight w:val="none"/>
        </w:rPr>
      </w:pPr>
      <w:r>
        <w:rPr>
          <w:rFonts w:hint="eastAsia" w:ascii="仿宋" w:hAnsi="仿宋" w:eastAsia="仿宋" w:cs="宋体"/>
          <w:color w:val="auto"/>
          <w:sz w:val="28"/>
          <w:szCs w:val="28"/>
          <w:highlight w:val="none"/>
        </w:rPr>
        <w:t>　　</w:t>
      </w:r>
      <w:r>
        <w:rPr>
          <w:rFonts w:hint="eastAsia" w:ascii="仿宋" w:hAnsi="仿宋" w:eastAsia="仿宋" w:cs="宋体"/>
          <w:color w:val="auto"/>
          <w:sz w:val="24"/>
          <w:highlight w:val="none"/>
        </w:rPr>
        <w:t>　1.采购人信息</w:t>
      </w:r>
    </w:p>
    <w:p>
      <w:pPr>
        <w:spacing w:line="520" w:lineRule="exact"/>
        <w:ind w:firstLine="720" w:firstLineChars="300"/>
        <w:rPr>
          <w:rFonts w:ascii="仿宋" w:hAnsi="仿宋" w:eastAsia="仿宋"/>
          <w:color w:val="auto"/>
          <w:sz w:val="24"/>
          <w:highlight w:val="none"/>
        </w:rPr>
      </w:pPr>
      <w:bookmarkStart w:id="41" w:name="_Toc28359086"/>
      <w:bookmarkStart w:id="42" w:name="_Toc28359009"/>
      <w:r>
        <w:rPr>
          <w:rFonts w:hint="eastAsia" w:ascii="仿宋" w:hAnsi="仿宋" w:eastAsia="仿宋"/>
          <w:color w:val="auto"/>
          <w:sz w:val="24"/>
          <w:highlight w:val="none"/>
        </w:rPr>
        <w:t>名 称：江西旅游商贸职业学院</w:t>
      </w:r>
    </w:p>
    <w:p>
      <w:pPr>
        <w:spacing w:line="52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地　址：南昌市经济技术开发区丁香路1号</w:t>
      </w:r>
    </w:p>
    <w:p>
      <w:pPr>
        <w:spacing w:line="52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联系方式：龚老师</w:t>
      </w:r>
      <w:r>
        <w:rPr>
          <w:rFonts w:hint="eastAsia" w:ascii="仿宋" w:hAnsi="仿宋" w:eastAsia="仿宋" w:cs="宋体"/>
          <w:color w:val="auto"/>
          <w:kern w:val="0"/>
          <w:sz w:val="24"/>
          <w:highlight w:val="none"/>
        </w:rPr>
        <w:t xml:space="preserve">     联系电话：</w:t>
      </w:r>
      <w:r>
        <w:rPr>
          <w:rFonts w:hint="eastAsia" w:ascii="仿宋" w:hAnsi="仿宋" w:eastAsia="仿宋"/>
          <w:color w:val="auto"/>
          <w:sz w:val="24"/>
          <w:highlight w:val="none"/>
        </w:rPr>
        <w:t>13607006191</w:t>
      </w:r>
    </w:p>
    <w:p>
      <w:pPr>
        <w:widowControl/>
        <w:spacing w:line="520" w:lineRule="exact"/>
        <w:ind w:firstLine="720" w:firstLineChars="300"/>
        <w:jc w:val="left"/>
        <w:rPr>
          <w:rFonts w:ascii="仿宋" w:hAnsi="仿宋" w:eastAsia="仿宋" w:cs="宋体"/>
          <w:color w:val="auto"/>
          <w:sz w:val="24"/>
          <w:highlight w:val="none"/>
        </w:rPr>
      </w:pPr>
      <w:r>
        <w:rPr>
          <w:rFonts w:hint="eastAsia" w:ascii="仿宋" w:hAnsi="仿宋" w:eastAsia="仿宋" w:cs="宋体"/>
          <w:color w:val="auto"/>
          <w:sz w:val="24"/>
          <w:highlight w:val="none"/>
        </w:rPr>
        <w:t>2.采购代理机构信息</w:t>
      </w:r>
      <w:bookmarkEnd w:id="41"/>
      <w:bookmarkEnd w:id="42"/>
    </w:p>
    <w:p>
      <w:pPr>
        <w:spacing w:line="52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名 称：</w:t>
      </w:r>
      <w:r>
        <w:rPr>
          <w:rFonts w:hint="eastAsia" w:ascii="仿宋" w:hAnsi="仿宋" w:eastAsia="仿宋" w:cs="宋体"/>
          <w:color w:val="auto"/>
          <w:kern w:val="0"/>
          <w:sz w:val="24"/>
          <w:highlight w:val="none"/>
        </w:rPr>
        <w:t>江西骏宏招标咨询有限公司</w:t>
      </w:r>
    </w:p>
    <w:p>
      <w:pPr>
        <w:spacing w:line="52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地　址：</w:t>
      </w:r>
      <w:r>
        <w:rPr>
          <w:rFonts w:ascii="仿宋" w:hAnsi="仿宋" w:eastAsia="仿宋" w:cs="宋体"/>
          <w:color w:val="auto"/>
          <w:kern w:val="0"/>
          <w:sz w:val="24"/>
          <w:highlight w:val="none"/>
        </w:rPr>
        <w:t>江西省南昌市红谷滩新区世贸路远帆大厦A座10楼1001-1004室</w:t>
      </w:r>
    </w:p>
    <w:p>
      <w:pPr>
        <w:spacing w:line="520" w:lineRule="exact"/>
        <w:ind w:firstLine="720" w:firstLineChars="300"/>
        <w:rPr>
          <w:rFonts w:ascii="仿宋" w:hAnsi="仿宋" w:eastAsia="仿宋"/>
          <w:color w:val="auto"/>
          <w:sz w:val="24"/>
          <w:highlight w:val="none"/>
        </w:rPr>
      </w:pPr>
      <w:r>
        <w:rPr>
          <w:rFonts w:hint="eastAsia" w:ascii="仿宋" w:hAnsi="仿宋" w:eastAsia="仿宋"/>
          <w:color w:val="auto"/>
          <w:sz w:val="24"/>
          <w:highlight w:val="none"/>
        </w:rPr>
        <w:t>联系方式：</w:t>
      </w:r>
      <w:bookmarkStart w:id="43" w:name="_Toc28359010"/>
      <w:bookmarkStart w:id="44" w:name="_Toc28359087"/>
      <w:r>
        <w:rPr>
          <w:rFonts w:hint="eastAsia" w:ascii="仿宋" w:hAnsi="仿宋" w:eastAsia="仿宋" w:cs="宋体"/>
          <w:color w:val="auto"/>
          <w:kern w:val="0"/>
          <w:sz w:val="24"/>
          <w:highlight w:val="none"/>
        </w:rPr>
        <w:t>0791-83898600</w:t>
      </w:r>
    </w:p>
    <w:p>
      <w:pPr>
        <w:spacing w:line="520" w:lineRule="exact"/>
        <w:ind w:firstLine="720" w:firstLineChars="300"/>
        <w:rPr>
          <w:rFonts w:ascii="仿宋" w:hAnsi="仿宋" w:eastAsia="仿宋"/>
          <w:color w:val="auto"/>
          <w:sz w:val="24"/>
          <w:highlight w:val="none"/>
          <w:u w:val="single"/>
        </w:rPr>
      </w:pPr>
      <w:r>
        <w:rPr>
          <w:rFonts w:hint="eastAsia" w:ascii="仿宋" w:hAnsi="仿宋" w:eastAsia="仿宋" w:cs="宋体"/>
          <w:color w:val="auto"/>
          <w:sz w:val="24"/>
          <w:highlight w:val="none"/>
        </w:rPr>
        <w:t>3.项目</w:t>
      </w:r>
      <w:r>
        <w:rPr>
          <w:rFonts w:ascii="仿宋" w:hAnsi="仿宋" w:eastAsia="仿宋" w:cs="宋体"/>
          <w:color w:val="auto"/>
          <w:sz w:val="24"/>
          <w:highlight w:val="none"/>
        </w:rPr>
        <w:t>联系方式</w:t>
      </w:r>
      <w:bookmarkEnd w:id="43"/>
      <w:bookmarkEnd w:id="44"/>
    </w:p>
    <w:p>
      <w:pPr>
        <w:widowControl/>
        <w:spacing w:line="520" w:lineRule="exact"/>
        <w:ind w:firstLine="960" w:firstLineChars="400"/>
        <w:rPr>
          <w:rFonts w:ascii="仿宋" w:hAnsi="仿宋" w:eastAsia="仿宋" w:cs="宋体"/>
          <w:color w:val="auto"/>
          <w:kern w:val="0"/>
          <w:sz w:val="24"/>
          <w:highlight w:val="none"/>
        </w:rPr>
      </w:pPr>
      <w:r>
        <w:rPr>
          <w:rFonts w:hint="eastAsia" w:ascii="仿宋" w:hAnsi="仿宋" w:eastAsia="仿宋"/>
          <w:color w:val="auto"/>
          <w:sz w:val="24"/>
          <w:highlight w:val="none"/>
        </w:rPr>
        <w:t xml:space="preserve">项目联系人：张芳芳、肖璐、周叶、陶芷君  </w:t>
      </w:r>
    </w:p>
    <w:p>
      <w:pPr>
        <w:widowControl/>
        <w:spacing w:line="520" w:lineRule="exact"/>
        <w:ind w:firstLine="960" w:firstLineChars="40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电</w:t>
      </w:r>
      <w:r>
        <w:rPr>
          <w:rFonts w:hint="eastAsia" w:ascii="宋体" w:hAnsi="宋体" w:eastAsia="仿宋" w:cs="宋体"/>
          <w:color w:val="auto"/>
          <w:kern w:val="0"/>
          <w:sz w:val="24"/>
          <w:highlight w:val="none"/>
        </w:rPr>
        <w:t> </w:t>
      </w:r>
      <w:r>
        <w:rPr>
          <w:rFonts w:hint="eastAsia" w:ascii="仿宋" w:hAnsi="仿宋" w:eastAsia="仿宋" w:cs="宋体"/>
          <w:color w:val="auto"/>
          <w:kern w:val="0"/>
          <w:sz w:val="24"/>
          <w:highlight w:val="none"/>
        </w:rPr>
        <w:t>话：0791-83898600</w:t>
      </w:r>
    </w:p>
    <w:p>
      <w:pPr>
        <w:pStyle w:val="21"/>
        <w:spacing w:line="520" w:lineRule="exact"/>
        <w:ind w:firstLine="720" w:firstLineChars="300"/>
        <w:rPr>
          <w:rFonts w:ascii="仿宋" w:hAnsi="仿宋" w:eastAsia="仿宋"/>
          <w:color w:val="auto"/>
          <w:sz w:val="24"/>
          <w:highlight w:val="none"/>
          <w:u w:val="single"/>
        </w:rPr>
      </w:pPr>
      <w:r>
        <w:rPr>
          <w:rFonts w:hint="eastAsia" w:ascii="仿宋" w:hAnsi="仿宋" w:eastAsia="仿宋" w:cs="宋体"/>
          <w:color w:val="auto"/>
          <w:kern w:val="0"/>
          <w:sz w:val="24"/>
          <w:highlight w:val="none"/>
        </w:rPr>
        <w:t xml:space="preserve">  电子邮箱：</w:t>
      </w:r>
      <w:r>
        <w:rPr>
          <w:rFonts w:ascii="仿宋" w:hAnsi="仿宋" w:eastAsia="仿宋" w:cs="宋体"/>
          <w:color w:val="auto"/>
          <w:kern w:val="0"/>
          <w:sz w:val="24"/>
          <w:highlight w:val="none"/>
        </w:rPr>
        <w:t>2163740931</w:t>
      </w:r>
      <w:r>
        <w:rPr>
          <w:rFonts w:hint="eastAsia" w:ascii="仿宋" w:hAnsi="仿宋" w:eastAsia="仿宋" w:cs="宋体"/>
          <w:color w:val="auto"/>
          <w:kern w:val="0"/>
          <w:sz w:val="24"/>
          <w:highlight w:val="none"/>
        </w:rPr>
        <w:t>@qq.com</w:t>
      </w:r>
    </w:p>
    <w:p>
      <w:pPr>
        <w:widowControl/>
        <w:spacing w:line="520" w:lineRule="exac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 xml:space="preserve">    </w:t>
      </w:r>
    </w:p>
    <w:p>
      <w:pPr>
        <w:widowControl/>
        <w:spacing w:line="520" w:lineRule="exact"/>
        <w:rPr>
          <w:rFonts w:ascii="仿宋" w:hAnsi="仿宋" w:eastAsia="仿宋" w:cs="宋体"/>
          <w:color w:val="auto"/>
          <w:kern w:val="0"/>
          <w:sz w:val="24"/>
          <w:highlight w:val="none"/>
        </w:rPr>
      </w:pPr>
    </w:p>
    <w:p>
      <w:pPr>
        <w:widowControl/>
        <w:spacing w:line="520" w:lineRule="exact"/>
        <w:jc w:val="right"/>
        <w:rPr>
          <w:rFonts w:ascii="仿宋" w:hAnsi="仿宋" w:eastAsia="仿宋"/>
          <w:b/>
          <w:color w:val="auto"/>
          <w:sz w:val="24"/>
          <w:highlight w:val="none"/>
        </w:rPr>
      </w:pPr>
      <w:r>
        <w:rPr>
          <w:rFonts w:hint="eastAsia" w:ascii="宋体" w:hAnsi="宋体" w:eastAsia="仿宋" w:cs="宋体"/>
          <w:color w:val="auto"/>
          <w:kern w:val="0"/>
          <w:sz w:val="24"/>
          <w:highlight w:val="none"/>
        </w:rPr>
        <w:t> </w:t>
      </w:r>
      <w:r>
        <w:rPr>
          <w:rFonts w:hint="eastAsia" w:ascii="仿宋" w:hAnsi="仿宋" w:eastAsia="仿宋" w:cs="宋体"/>
          <w:color w:val="auto"/>
          <w:kern w:val="0"/>
          <w:sz w:val="24"/>
          <w:highlight w:val="none"/>
        </w:rPr>
        <w:t>江西骏宏招标咨询有限公司</w:t>
      </w:r>
    </w:p>
    <w:p>
      <w:pPr>
        <w:widowControl/>
        <w:spacing w:line="520" w:lineRule="exact"/>
        <w:jc w:val="right"/>
        <w:rPr>
          <w:rFonts w:ascii="仿宋" w:hAnsi="仿宋" w:eastAsia="仿宋"/>
          <w:b/>
          <w:color w:val="auto"/>
          <w:sz w:val="24"/>
          <w:highlight w:val="none"/>
        </w:rPr>
      </w:pPr>
    </w:p>
    <w:bookmarkEnd w:id="6"/>
    <w:bookmarkEnd w:id="7"/>
    <w:bookmarkEnd w:id="8"/>
    <w:bookmarkEnd w:id="9"/>
    <w:p>
      <w:pPr>
        <w:pStyle w:val="2"/>
        <w:spacing w:line="720" w:lineRule="exact"/>
        <w:rPr>
          <w:rFonts w:ascii="仿宋" w:hAnsi="仿宋" w:eastAsia="仿宋"/>
          <w:color w:val="auto"/>
          <w:szCs w:val="36"/>
          <w:highlight w:val="none"/>
        </w:rPr>
      </w:pPr>
      <w:bookmarkStart w:id="45" w:name="_Toc508605827"/>
      <w:bookmarkStart w:id="46" w:name="_Toc508525025"/>
      <w:bookmarkStart w:id="47" w:name="_Toc508606813"/>
      <w:bookmarkStart w:id="48" w:name="_Toc508606035"/>
      <w:r>
        <w:rPr>
          <w:rFonts w:ascii="仿宋" w:hAnsi="仿宋" w:eastAsia="仿宋"/>
          <w:color w:val="auto"/>
          <w:highlight w:val="none"/>
        </w:rPr>
        <w:br w:type="page"/>
      </w:r>
      <w:bookmarkStart w:id="49" w:name="_Toc12128"/>
      <w:r>
        <w:rPr>
          <w:rFonts w:hint="eastAsia" w:ascii="仿宋" w:hAnsi="仿宋" w:eastAsia="仿宋"/>
          <w:color w:val="auto"/>
          <w:highlight w:val="none"/>
        </w:rPr>
        <w:t>第二章、供应商须知</w:t>
      </w:r>
      <w:bookmarkEnd w:id="45"/>
      <w:bookmarkEnd w:id="46"/>
      <w:bookmarkEnd w:id="47"/>
      <w:bookmarkEnd w:id="48"/>
      <w:bookmarkEnd w:id="49"/>
    </w:p>
    <w:p>
      <w:pPr>
        <w:pStyle w:val="3"/>
        <w:rPr>
          <w:rFonts w:ascii="仿宋" w:hAnsi="仿宋" w:eastAsia="仿宋"/>
          <w:color w:val="auto"/>
          <w:kern w:val="0"/>
          <w:highlight w:val="none"/>
        </w:rPr>
      </w:pPr>
      <w:bookmarkStart w:id="50" w:name="_Hlt28776984"/>
      <w:bookmarkEnd w:id="50"/>
      <w:bookmarkStart w:id="51" w:name="_Toc32208"/>
      <w:bookmarkStart w:id="52" w:name="_Toc373348636"/>
      <w:r>
        <w:rPr>
          <w:rFonts w:hint="eastAsia" w:ascii="仿宋" w:hAnsi="仿宋" w:eastAsia="仿宋"/>
          <w:color w:val="auto"/>
          <w:kern w:val="0"/>
          <w:highlight w:val="none"/>
        </w:rPr>
        <w:t>供应商须知前附表</w:t>
      </w:r>
      <w:bookmarkEnd w:id="51"/>
      <w:bookmarkEnd w:id="52"/>
    </w:p>
    <w:p>
      <w:pPr>
        <w:rPr>
          <w:rFonts w:ascii="仿宋" w:hAnsi="仿宋" w:eastAsia="仿宋"/>
          <w:color w:val="auto"/>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8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43" w:type="dxa"/>
            <w:vAlign w:val="center"/>
          </w:tcPr>
          <w:p>
            <w:pPr>
              <w:spacing w:line="520" w:lineRule="exact"/>
              <w:jc w:val="center"/>
              <w:rPr>
                <w:rFonts w:ascii="仿宋" w:hAnsi="仿宋" w:eastAsia="仿宋"/>
                <w:bCs/>
                <w:color w:val="auto"/>
                <w:sz w:val="24"/>
                <w:highlight w:val="none"/>
              </w:rPr>
            </w:pPr>
            <w:r>
              <w:rPr>
                <w:rFonts w:hint="eastAsia" w:ascii="仿宋" w:hAnsi="仿宋" w:eastAsia="仿宋"/>
                <w:bCs/>
                <w:color w:val="auto"/>
                <w:sz w:val="24"/>
                <w:highlight w:val="none"/>
              </w:rPr>
              <w:t>条款号</w:t>
            </w:r>
          </w:p>
        </w:tc>
        <w:tc>
          <w:tcPr>
            <w:tcW w:w="8512" w:type="dxa"/>
            <w:vAlign w:val="center"/>
          </w:tcPr>
          <w:p>
            <w:pPr>
              <w:spacing w:line="52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5" w:type="dxa"/>
            <w:gridSpan w:val="2"/>
            <w:vAlign w:val="center"/>
          </w:tcPr>
          <w:p>
            <w:pPr>
              <w:spacing w:line="520" w:lineRule="exact"/>
              <w:rPr>
                <w:rFonts w:ascii="仿宋" w:hAnsi="仿宋" w:eastAsia="仿宋"/>
                <w:b/>
                <w:bCs/>
                <w:color w:val="auto"/>
                <w:sz w:val="24"/>
                <w:highlight w:val="none"/>
              </w:rPr>
            </w:pPr>
            <w:r>
              <w:rPr>
                <w:rFonts w:hint="eastAsia" w:ascii="仿宋" w:hAnsi="仿宋" w:eastAsia="仿宋"/>
                <w:b/>
                <w:bCs/>
                <w:color w:val="auto"/>
                <w:sz w:val="24"/>
                <w:highlight w:val="none"/>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pStyle w:val="68"/>
              <w:ind w:left="7"/>
              <w:jc w:val="center"/>
              <w:rPr>
                <w:rFonts w:ascii="仿宋" w:hAnsi="仿宋" w:eastAsia="仿宋"/>
                <w:color w:val="auto"/>
                <w:sz w:val="21"/>
                <w:highlight w:val="none"/>
              </w:rPr>
            </w:pPr>
            <w:r>
              <w:rPr>
                <w:rFonts w:hint="eastAsia" w:ascii="仿宋" w:hAnsi="仿宋" w:eastAsia="仿宋"/>
                <w:color w:val="auto"/>
                <w:sz w:val="21"/>
                <w:highlight w:val="none"/>
              </w:rPr>
              <w:t>1</w:t>
            </w:r>
          </w:p>
        </w:tc>
        <w:tc>
          <w:tcPr>
            <w:tcW w:w="8512" w:type="dxa"/>
          </w:tcPr>
          <w:p>
            <w:pPr>
              <w:spacing w:line="520" w:lineRule="exact"/>
              <w:rPr>
                <w:rFonts w:hint="eastAsia" w:ascii="仿宋" w:hAnsi="仿宋" w:eastAsia="仿宋" w:cs="宋体"/>
                <w:bCs/>
                <w:color w:val="auto"/>
                <w:kern w:val="0"/>
                <w:sz w:val="24"/>
                <w:highlight w:val="none"/>
                <w:lang w:eastAsia="zh-CN"/>
              </w:rPr>
            </w:pPr>
            <w:r>
              <w:rPr>
                <w:rFonts w:ascii="仿宋" w:hAnsi="仿宋" w:eastAsia="仿宋"/>
                <w:color w:val="auto"/>
                <w:sz w:val="24"/>
                <w:highlight w:val="none"/>
              </w:rPr>
              <w:t>项目名称：</w:t>
            </w:r>
            <w:r>
              <w:rPr>
                <w:rFonts w:hint="eastAsia" w:ascii="仿宋" w:hAnsi="仿宋" w:eastAsia="仿宋"/>
                <w:color w:val="auto"/>
                <w:sz w:val="24"/>
                <w:highlight w:val="none"/>
                <w:lang w:eastAsia="zh-CN"/>
              </w:rPr>
              <w:t>2023年一带一路暨金砖国家技能发展与技术创新大赛婴幼儿照护赛项选拔赛项目采购</w:t>
            </w:r>
          </w:p>
          <w:p>
            <w:pPr>
              <w:spacing w:line="520" w:lineRule="exact"/>
              <w:rPr>
                <w:rFonts w:hint="eastAsia" w:ascii="仿宋" w:hAnsi="仿宋" w:eastAsia="仿宋"/>
                <w:color w:val="auto"/>
                <w:highlight w:val="none"/>
                <w:lang w:eastAsia="zh-CN"/>
              </w:rPr>
            </w:pPr>
            <w:r>
              <w:rPr>
                <w:rFonts w:hint="eastAsia" w:ascii="仿宋" w:hAnsi="仿宋" w:eastAsia="仿宋"/>
                <w:color w:val="auto"/>
                <w:sz w:val="24"/>
                <w:highlight w:val="none"/>
              </w:rPr>
              <w:t>项目编号：</w:t>
            </w:r>
            <w:r>
              <w:rPr>
                <w:rFonts w:hint="eastAsia" w:ascii="仿宋" w:hAnsi="仿宋" w:eastAsia="仿宋"/>
                <w:color w:val="auto"/>
                <w:sz w:val="24"/>
                <w:highlight w:val="none"/>
                <w:lang w:eastAsia="zh-CN"/>
              </w:rPr>
              <w:t>JXJH2023-XC040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pStyle w:val="68"/>
              <w:ind w:left="7"/>
              <w:jc w:val="center"/>
              <w:rPr>
                <w:rFonts w:ascii="仿宋" w:hAnsi="仿宋" w:eastAsia="仿宋"/>
                <w:color w:val="auto"/>
                <w:sz w:val="21"/>
                <w:highlight w:val="none"/>
              </w:rPr>
            </w:pPr>
            <w:r>
              <w:rPr>
                <w:rFonts w:hint="eastAsia" w:ascii="仿宋" w:hAnsi="仿宋" w:eastAsia="仿宋"/>
                <w:color w:val="auto"/>
                <w:sz w:val="21"/>
                <w:highlight w:val="none"/>
              </w:rPr>
              <w:t>2</w:t>
            </w:r>
          </w:p>
        </w:tc>
        <w:tc>
          <w:tcPr>
            <w:tcW w:w="8512" w:type="dxa"/>
            <w:vAlign w:val="center"/>
          </w:tcPr>
          <w:p>
            <w:pPr>
              <w:spacing w:line="520" w:lineRule="exact"/>
              <w:ind w:left="-5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采</w:t>
            </w:r>
            <w:r>
              <w:rPr>
                <w:rFonts w:hint="eastAsia" w:ascii="仿宋" w:hAnsi="仿宋" w:eastAsia="仿宋"/>
                <w:color w:val="auto"/>
                <w:sz w:val="24"/>
                <w:highlight w:val="none"/>
              </w:rPr>
              <w:t xml:space="preserve">购人：江西旅游商贸职业学院  </w:t>
            </w:r>
            <w:r>
              <w:rPr>
                <w:rFonts w:hint="eastAsia" w:ascii="仿宋" w:hAnsi="仿宋" w:eastAsia="仿宋" w:cs="宋体"/>
                <w:color w:val="auto"/>
                <w:kern w:val="0"/>
                <w:sz w:val="24"/>
                <w:highlight w:val="none"/>
              </w:rPr>
              <w:t xml:space="preserve">   </w:t>
            </w:r>
          </w:p>
          <w:p>
            <w:pPr>
              <w:spacing w:line="520" w:lineRule="exact"/>
              <w:ind w:left="-50"/>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详细地址：</w:t>
            </w:r>
            <w:r>
              <w:rPr>
                <w:rFonts w:hint="eastAsia" w:ascii="仿宋" w:hAnsi="仿宋" w:eastAsia="仿宋"/>
                <w:color w:val="auto"/>
                <w:sz w:val="24"/>
                <w:highlight w:val="none"/>
              </w:rPr>
              <w:t>南昌市经济技术开发区丁香路1号</w:t>
            </w:r>
          </w:p>
          <w:p>
            <w:pPr>
              <w:spacing w:line="520" w:lineRule="exact"/>
              <w:ind w:left="-50"/>
              <w:rPr>
                <w:rFonts w:ascii="仿宋" w:hAnsi="仿宋" w:eastAsia="仿宋" w:cs="宋体"/>
                <w:color w:val="auto"/>
                <w:kern w:val="0"/>
                <w:sz w:val="24"/>
                <w:highlight w:val="none"/>
              </w:rPr>
            </w:pPr>
            <w:r>
              <w:rPr>
                <w:rFonts w:hint="eastAsia" w:ascii="仿宋" w:hAnsi="仿宋" w:eastAsia="仿宋"/>
                <w:color w:val="auto"/>
                <w:sz w:val="24"/>
                <w:highlight w:val="none"/>
              </w:rPr>
              <w:t>联 系 人：龚老师</w:t>
            </w:r>
            <w:r>
              <w:rPr>
                <w:rFonts w:hint="eastAsia" w:ascii="仿宋" w:hAnsi="仿宋" w:eastAsia="仿宋" w:cs="宋体"/>
                <w:color w:val="auto"/>
                <w:kern w:val="0"/>
                <w:sz w:val="24"/>
                <w:highlight w:val="none"/>
              </w:rPr>
              <w:t xml:space="preserve">     联系电话：</w:t>
            </w:r>
            <w:r>
              <w:rPr>
                <w:rFonts w:hint="eastAsia" w:ascii="仿宋" w:hAnsi="仿宋" w:eastAsia="仿宋"/>
                <w:color w:val="auto"/>
                <w:sz w:val="24"/>
                <w:highlight w:val="none"/>
              </w:rPr>
              <w:t>13607006191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pStyle w:val="68"/>
              <w:ind w:left="7"/>
              <w:jc w:val="center"/>
              <w:rPr>
                <w:rFonts w:ascii="仿宋" w:hAnsi="仿宋" w:eastAsia="仿宋"/>
                <w:color w:val="auto"/>
                <w:sz w:val="21"/>
                <w:highlight w:val="none"/>
              </w:rPr>
            </w:pPr>
            <w:r>
              <w:rPr>
                <w:rFonts w:hint="eastAsia" w:ascii="仿宋" w:hAnsi="仿宋" w:eastAsia="仿宋"/>
                <w:color w:val="auto"/>
                <w:sz w:val="21"/>
                <w:highlight w:val="none"/>
              </w:rPr>
              <w:t>3</w:t>
            </w:r>
          </w:p>
        </w:tc>
        <w:tc>
          <w:tcPr>
            <w:tcW w:w="8512" w:type="dxa"/>
            <w:vAlign w:val="center"/>
          </w:tcPr>
          <w:p>
            <w:pPr>
              <w:spacing w:line="520" w:lineRule="exac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采购代理机构名称：江西骏宏招标咨询有限公司</w:t>
            </w:r>
          </w:p>
          <w:p>
            <w:pPr>
              <w:spacing w:line="520" w:lineRule="exac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详细地址：</w:t>
            </w:r>
            <w:r>
              <w:rPr>
                <w:rFonts w:ascii="仿宋" w:hAnsi="仿宋" w:eastAsia="仿宋" w:cs="宋体"/>
                <w:color w:val="auto"/>
                <w:kern w:val="0"/>
                <w:sz w:val="24"/>
                <w:highlight w:val="none"/>
              </w:rPr>
              <w:t>江西省南昌市红谷滩新区世贸路远帆大厦A座10楼1001-1004室</w:t>
            </w:r>
            <w:r>
              <w:rPr>
                <w:rFonts w:hint="eastAsia" w:ascii="仿宋" w:hAnsi="仿宋" w:eastAsia="仿宋" w:cs="宋体"/>
                <w:color w:val="auto"/>
                <w:kern w:val="0"/>
                <w:sz w:val="24"/>
                <w:highlight w:val="none"/>
              </w:rPr>
              <w:t xml:space="preserve">  </w:t>
            </w:r>
          </w:p>
          <w:p>
            <w:pPr>
              <w:spacing w:line="520" w:lineRule="exac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邮    编：330038</w:t>
            </w:r>
          </w:p>
          <w:p>
            <w:pPr>
              <w:widowControl/>
              <w:spacing w:line="520" w:lineRule="exac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联 系 人：</w:t>
            </w:r>
            <w:r>
              <w:rPr>
                <w:rFonts w:hint="eastAsia" w:ascii="仿宋" w:hAnsi="仿宋" w:eastAsia="仿宋"/>
                <w:color w:val="auto"/>
                <w:sz w:val="24"/>
                <w:highlight w:val="none"/>
              </w:rPr>
              <w:t xml:space="preserve">张芳芳、肖璐、周叶、陶芷君 </w:t>
            </w:r>
          </w:p>
          <w:p>
            <w:pPr>
              <w:widowControl/>
              <w:spacing w:line="520" w:lineRule="exac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电</w:t>
            </w:r>
            <w:r>
              <w:rPr>
                <w:rFonts w:hint="eastAsia" w:ascii="宋体" w:hAnsi="宋体" w:eastAsia="仿宋" w:cs="宋体"/>
                <w:color w:val="auto"/>
                <w:kern w:val="0"/>
                <w:sz w:val="24"/>
                <w:highlight w:val="none"/>
              </w:rPr>
              <w:t> </w:t>
            </w:r>
            <w:r>
              <w:rPr>
                <w:rFonts w:hint="eastAsia" w:ascii="仿宋" w:hAnsi="仿宋" w:eastAsia="仿宋" w:cs="宋体"/>
                <w:color w:val="auto"/>
                <w:kern w:val="0"/>
                <w:sz w:val="24"/>
                <w:highlight w:val="none"/>
              </w:rPr>
              <w:t>话：0791-83898600</w:t>
            </w:r>
          </w:p>
          <w:p>
            <w:pPr>
              <w:widowControl/>
              <w:spacing w:line="520" w:lineRule="exac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电子邮箱：</w:t>
            </w:r>
            <w:r>
              <w:rPr>
                <w:rFonts w:ascii="仿宋" w:hAnsi="仿宋" w:eastAsia="仿宋" w:cs="宋体"/>
                <w:color w:val="auto"/>
                <w:kern w:val="0"/>
                <w:sz w:val="24"/>
                <w:highlight w:val="none"/>
              </w:rPr>
              <w:t>2163740931</w:t>
            </w:r>
            <w:r>
              <w:rPr>
                <w:rFonts w:hint="eastAsia" w:ascii="仿宋" w:hAnsi="仿宋" w:eastAsia="仿宋" w:cs="宋体"/>
                <w:color w:val="auto"/>
                <w:kern w:val="0"/>
                <w:sz w:val="24"/>
                <w:highlight w:val="none"/>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pStyle w:val="68"/>
              <w:spacing w:before="1"/>
              <w:ind w:left="7"/>
              <w:jc w:val="center"/>
              <w:rPr>
                <w:rFonts w:ascii="仿宋" w:hAnsi="仿宋" w:eastAsia="仿宋"/>
                <w:color w:val="auto"/>
                <w:sz w:val="21"/>
                <w:highlight w:val="none"/>
              </w:rPr>
            </w:pPr>
            <w:r>
              <w:rPr>
                <w:rFonts w:hint="eastAsia" w:ascii="仿宋" w:hAnsi="仿宋" w:eastAsia="仿宋"/>
                <w:color w:val="auto"/>
                <w:sz w:val="21"/>
                <w:highlight w:val="none"/>
              </w:rPr>
              <w:t>4</w:t>
            </w:r>
          </w:p>
        </w:tc>
        <w:tc>
          <w:tcPr>
            <w:tcW w:w="8512" w:type="dxa"/>
          </w:tcPr>
          <w:p>
            <w:pPr>
              <w:pStyle w:val="68"/>
              <w:spacing w:line="520" w:lineRule="exact"/>
              <w:rPr>
                <w:rFonts w:ascii="仿宋" w:hAnsi="仿宋" w:eastAsia="仿宋" w:cs="Times New Roman"/>
                <w:b/>
                <w:color w:val="auto"/>
                <w:kern w:val="2"/>
                <w:sz w:val="24"/>
                <w:szCs w:val="24"/>
                <w:highlight w:val="none"/>
                <w:lang w:val="en-US" w:bidi="ar-SA"/>
              </w:rPr>
            </w:pPr>
            <w:r>
              <w:rPr>
                <w:rFonts w:ascii="仿宋" w:hAnsi="仿宋" w:eastAsia="仿宋" w:cs="Times New Roman"/>
                <w:b/>
                <w:color w:val="auto"/>
                <w:kern w:val="2"/>
                <w:sz w:val="24"/>
                <w:szCs w:val="24"/>
                <w:highlight w:val="none"/>
                <w:lang w:val="en-US" w:bidi="ar-SA"/>
              </w:rPr>
              <w:t>合格供应商的资格证明文件：</w:t>
            </w:r>
          </w:p>
          <w:p>
            <w:pPr>
              <w:pStyle w:val="68"/>
              <w:spacing w:line="520" w:lineRule="exact"/>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1）提供法人或者其他组织的有效营业执照等证明文件或自然人的身份证明；</w:t>
            </w:r>
            <w:r>
              <w:rPr>
                <w:rFonts w:hint="eastAsia" w:ascii="仿宋" w:hAnsi="仿宋" w:eastAsia="仿宋" w:cs="Times New Roman"/>
                <w:color w:val="auto"/>
                <w:kern w:val="2"/>
                <w:sz w:val="24"/>
                <w:szCs w:val="24"/>
                <w:highlight w:val="none"/>
                <w:lang w:val="en-US" w:bidi="ar-SA"/>
              </w:rPr>
              <w:t>（银行、保险、石油石化、电力、电信等有行业特殊情况的，取得营业执照的分支机构可以以分公司名义参与本项目，须提供有独立法人资格的总公司合法有效授权，招标文件中涉及的“法定代表人”在前述特殊行业中即对应为“分支机构负责人”。）</w:t>
            </w:r>
          </w:p>
          <w:p>
            <w:pPr>
              <w:pStyle w:val="68"/>
              <w:spacing w:line="520" w:lineRule="exact"/>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2）</w:t>
            </w:r>
            <w:r>
              <w:rPr>
                <w:rFonts w:hint="eastAsia" w:ascii="仿宋" w:hAnsi="仿宋" w:eastAsia="仿宋"/>
                <w:color w:val="auto"/>
                <w:sz w:val="24"/>
                <w:highlight w:val="none"/>
              </w:rPr>
              <w:t>提供谈判开始前两年内任意一年度经审计的财务报告</w:t>
            </w:r>
            <w:r>
              <w:rPr>
                <w:rFonts w:ascii="仿宋" w:hAnsi="仿宋" w:eastAsia="仿宋" w:cs="Times New Roman"/>
                <w:color w:val="auto"/>
                <w:kern w:val="2"/>
                <w:sz w:val="24"/>
                <w:szCs w:val="24"/>
                <w:highlight w:val="none"/>
                <w:lang w:val="en-US" w:bidi="ar-SA"/>
              </w:rPr>
              <w:t>；</w:t>
            </w:r>
            <w:r>
              <w:rPr>
                <w:rFonts w:hint="eastAsia" w:ascii="仿宋" w:hAnsi="仿宋" w:eastAsia="仿宋" w:cs="Times New Roman"/>
                <w:color w:val="auto"/>
                <w:kern w:val="2"/>
                <w:sz w:val="24"/>
                <w:szCs w:val="24"/>
                <w:highlight w:val="none"/>
                <w:lang w:val="en-US" w:bidi="ar-SA"/>
              </w:rPr>
              <w:t>或其开户银行出具的无不良记录的资信证明（开具时间应在招标/采购公告</w:t>
            </w:r>
            <w:r>
              <w:rPr>
                <w:rFonts w:ascii="仿宋" w:hAnsi="仿宋" w:eastAsia="仿宋" w:cs="Times New Roman"/>
                <w:color w:val="auto"/>
                <w:kern w:val="2"/>
                <w:sz w:val="24"/>
                <w:szCs w:val="24"/>
                <w:highlight w:val="none"/>
                <w:lang w:val="en-US" w:bidi="ar-SA"/>
              </w:rPr>
              <w:t>发布</w:t>
            </w:r>
            <w:r>
              <w:rPr>
                <w:rFonts w:hint="eastAsia" w:ascii="仿宋" w:hAnsi="仿宋" w:eastAsia="仿宋" w:cs="Times New Roman"/>
                <w:color w:val="auto"/>
                <w:kern w:val="2"/>
                <w:sz w:val="24"/>
                <w:szCs w:val="24"/>
                <w:highlight w:val="none"/>
                <w:lang w:val="en-US" w:bidi="ar-SA"/>
              </w:rPr>
              <w:t>日之后，或证明文件上注明在有效期内）；</w:t>
            </w:r>
            <w:r>
              <w:rPr>
                <w:rFonts w:hint="eastAsia" w:ascii="仿宋" w:hAnsi="仿宋" w:eastAsia="仿宋"/>
                <w:color w:val="auto"/>
                <w:sz w:val="24"/>
                <w:highlight w:val="none"/>
              </w:rPr>
              <w:t>或谈判开始前6个月内，任意一个月的财务报表（包含资产负债表、利润表或损益表）；</w:t>
            </w:r>
          </w:p>
          <w:p>
            <w:pPr>
              <w:pStyle w:val="68"/>
              <w:numPr>
                <w:ilvl w:val="0"/>
                <w:numId w:val="2"/>
              </w:numPr>
              <w:spacing w:line="520" w:lineRule="exact"/>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提供具备履行合同所必需的设备和专业技术能力的承诺函；</w:t>
            </w:r>
          </w:p>
          <w:p>
            <w:pPr>
              <w:pStyle w:val="68"/>
              <w:numPr>
                <w:ilvl w:val="0"/>
                <w:numId w:val="2"/>
              </w:numPr>
              <w:spacing w:line="520" w:lineRule="exact"/>
              <w:ind w:left="-66" w:firstLine="66"/>
              <w:rPr>
                <w:rFonts w:ascii="仿宋" w:hAnsi="仿宋" w:eastAsia="仿宋" w:cs="Times New Roman"/>
                <w:color w:val="auto"/>
                <w:kern w:val="2"/>
                <w:sz w:val="24"/>
                <w:szCs w:val="24"/>
                <w:highlight w:val="none"/>
                <w:lang w:val="en-US" w:bidi="ar-SA"/>
              </w:rPr>
            </w:pPr>
            <w:r>
              <w:rPr>
                <w:rFonts w:hint="eastAsia" w:ascii="仿宋" w:hAnsi="仿宋" w:eastAsia="仿宋" w:cs="Times New Roman"/>
                <w:color w:val="auto"/>
                <w:kern w:val="2"/>
                <w:sz w:val="24"/>
                <w:szCs w:val="24"/>
                <w:highlight w:val="none"/>
                <w:lang w:val="en-US" w:bidi="ar-SA"/>
              </w:rPr>
              <w:t>提供谈判开始前6个月内,供应商依法缴纳其中任意一个月税收的凭据（个人所得税除外）；提供谈判开始前6个月内，供应商</w:t>
            </w:r>
            <w:r>
              <w:rPr>
                <w:rFonts w:hint="eastAsia" w:ascii="仿宋" w:hAnsi="仿宋" w:eastAsia="仿宋"/>
                <w:color w:val="auto"/>
                <w:sz w:val="24"/>
                <w:highlight w:val="none"/>
              </w:rPr>
              <w:t>依法缴纳其中任意一个月社会保险的凭证或当地社会保障局出具的缴纳明细</w:t>
            </w:r>
            <w:r>
              <w:rPr>
                <w:rFonts w:hint="eastAsia" w:ascii="仿宋" w:hAnsi="仿宋" w:eastAsia="仿宋" w:cs="Times New Roman"/>
                <w:color w:val="auto"/>
                <w:kern w:val="2"/>
                <w:sz w:val="24"/>
                <w:szCs w:val="24"/>
                <w:highlight w:val="none"/>
                <w:lang w:val="en-US" w:bidi="ar-SA"/>
              </w:rPr>
              <w:t>；</w:t>
            </w:r>
            <w:r>
              <w:rPr>
                <w:rFonts w:ascii="仿宋" w:hAnsi="仿宋" w:eastAsia="仿宋" w:cs="Times New Roman"/>
                <w:color w:val="auto"/>
                <w:kern w:val="2"/>
                <w:sz w:val="24"/>
                <w:szCs w:val="24"/>
                <w:highlight w:val="none"/>
                <w:lang w:val="en-US" w:bidi="ar-SA"/>
              </w:rPr>
              <w:t>依法免税或不需要缴纳社会保障资金的供应商，须提供相应文件证明其依法免税或不需要缴纳社会保障资金；</w:t>
            </w:r>
          </w:p>
          <w:p>
            <w:pPr>
              <w:pStyle w:val="68"/>
              <w:spacing w:line="520" w:lineRule="exact"/>
              <w:rPr>
                <w:rFonts w:ascii="仿宋" w:hAnsi="仿宋" w:eastAsia="仿宋" w:cs="Times New Roman"/>
                <w:color w:val="auto"/>
                <w:kern w:val="2"/>
                <w:sz w:val="24"/>
                <w:szCs w:val="24"/>
                <w:highlight w:val="none"/>
                <w:lang w:val="en-US" w:bidi="ar-SA"/>
              </w:rPr>
            </w:pPr>
            <w:r>
              <w:rPr>
                <w:rFonts w:hint="eastAsia" w:ascii="仿宋" w:hAnsi="仿宋" w:eastAsia="仿宋" w:cs="Times New Roman"/>
                <w:color w:val="auto"/>
                <w:kern w:val="2"/>
                <w:sz w:val="24"/>
                <w:szCs w:val="24"/>
                <w:highlight w:val="none"/>
                <w:lang w:val="en-US" w:bidi="ar-SA"/>
              </w:rPr>
              <w:t>5</w:t>
            </w:r>
            <w:r>
              <w:rPr>
                <w:rFonts w:ascii="仿宋" w:hAnsi="仿宋" w:eastAsia="仿宋" w:cs="Times New Roman"/>
                <w:color w:val="auto"/>
                <w:kern w:val="2"/>
                <w:sz w:val="24"/>
                <w:szCs w:val="24"/>
                <w:highlight w:val="none"/>
                <w:lang w:val="en-US" w:bidi="ar-SA"/>
              </w:rPr>
              <w:t>）参加本次采购前三年内在经营活动中没有重大违法记录的声明函；</w:t>
            </w:r>
          </w:p>
          <w:p>
            <w:pPr>
              <w:pStyle w:val="68"/>
              <w:spacing w:line="520" w:lineRule="exact"/>
              <w:jc w:val="both"/>
              <w:rPr>
                <w:rFonts w:ascii="仿宋" w:hAnsi="仿宋" w:eastAsia="仿宋" w:cs="Times New Roman"/>
                <w:color w:val="auto"/>
                <w:kern w:val="2"/>
                <w:sz w:val="24"/>
                <w:szCs w:val="24"/>
                <w:highlight w:val="none"/>
                <w:lang w:val="en-US" w:bidi="ar-SA"/>
              </w:rPr>
            </w:pPr>
            <w:r>
              <w:rPr>
                <w:rFonts w:hint="eastAsia" w:ascii="仿宋" w:hAnsi="仿宋" w:eastAsia="仿宋" w:cs="Times New Roman"/>
                <w:color w:val="auto"/>
                <w:kern w:val="2"/>
                <w:sz w:val="24"/>
                <w:szCs w:val="24"/>
                <w:highlight w:val="none"/>
                <w:lang w:val="en-US" w:bidi="ar-SA"/>
              </w:rPr>
              <w:t>6</w:t>
            </w:r>
            <w:r>
              <w:rPr>
                <w:rFonts w:ascii="仿宋" w:hAnsi="仿宋" w:eastAsia="仿宋" w:cs="Times New Roman"/>
                <w:color w:val="auto"/>
                <w:kern w:val="2"/>
                <w:sz w:val="24"/>
                <w:szCs w:val="24"/>
                <w:highlight w:val="none"/>
                <w:lang w:val="en-US" w:bidi="ar-SA"/>
              </w:rPr>
              <w:t>)</w:t>
            </w:r>
            <w:r>
              <w:rPr>
                <w:rFonts w:hint="eastAsia" w:ascii="仿宋" w:hAnsi="仿宋" w:eastAsia="仿宋" w:cs="Times New Roman"/>
                <w:color w:val="auto"/>
                <w:kern w:val="2"/>
                <w:sz w:val="24"/>
                <w:szCs w:val="24"/>
                <w:highlight w:val="none"/>
                <w:lang w:val="en-US" w:bidi="ar-SA"/>
              </w:rPr>
              <w:t>谈判文件</w:t>
            </w:r>
            <w:r>
              <w:rPr>
                <w:rFonts w:ascii="仿宋" w:hAnsi="仿宋" w:eastAsia="仿宋" w:cs="Times New Roman"/>
                <w:color w:val="auto"/>
                <w:kern w:val="2"/>
                <w:sz w:val="24"/>
                <w:szCs w:val="24"/>
                <w:highlight w:val="none"/>
                <w:lang w:val="en-US" w:bidi="ar-SA"/>
              </w:rPr>
              <w:t>中要求的其他资格证明文件。</w:t>
            </w:r>
          </w:p>
          <w:p>
            <w:pPr>
              <w:spacing w:line="520" w:lineRule="exact"/>
              <w:rPr>
                <w:rFonts w:ascii="仿宋" w:hAnsi="仿宋" w:eastAsia="仿宋"/>
                <w:b/>
                <w:color w:val="auto"/>
                <w:sz w:val="24"/>
                <w:highlight w:val="none"/>
              </w:rPr>
            </w:pPr>
            <w:r>
              <w:rPr>
                <w:rFonts w:ascii="仿宋" w:hAnsi="仿宋" w:eastAsia="仿宋"/>
                <w:b/>
                <w:color w:val="auto"/>
                <w:sz w:val="24"/>
                <w:highlight w:val="none"/>
              </w:rPr>
              <w:t>注：</w:t>
            </w:r>
            <w:r>
              <w:rPr>
                <w:rFonts w:hint="eastAsia" w:ascii="仿宋" w:hAnsi="仿宋" w:eastAsia="仿宋"/>
                <w:b/>
                <w:color w:val="auto"/>
                <w:sz w:val="24"/>
                <w:highlight w:val="none"/>
              </w:rPr>
              <w:t>1.根据江西省财政厅关于推行政府采购供应商资格信用承诺制的通知【赣财购〔2023〕8号】，《中华人民共和国政府采购法》第二十二条规定的资格条件可以提供证明材料或按格式要求提供“江西省政府采购供应商资格信用承诺函”，承诺函格式要求详见谈判文件第五章</w:t>
            </w:r>
            <w:r>
              <w:rPr>
                <w:rFonts w:ascii="仿宋" w:hAnsi="仿宋" w:eastAsia="仿宋"/>
                <w:b/>
                <w:color w:val="auto"/>
                <w:sz w:val="24"/>
                <w:highlight w:val="none"/>
              </w:rPr>
              <w:t>。</w:t>
            </w:r>
          </w:p>
          <w:p>
            <w:pPr>
              <w:spacing w:line="520" w:lineRule="exact"/>
              <w:rPr>
                <w:rFonts w:ascii="仿宋" w:hAnsi="仿宋" w:eastAsia="仿宋"/>
                <w:b/>
                <w:color w:val="auto"/>
                <w:sz w:val="24"/>
                <w:highlight w:val="none"/>
              </w:rPr>
            </w:pPr>
            <w:r>
              <w:rPr>
                <w:rFonts w:hint="eastAsia" w:ascii="仿宋" w:hAnsi="仿宋" w:eastAsia="仿宋"/>
                <w:b/>
                <w:color w:val="auto"/>
                <w:sz w:val="24"/>
                <w:highlight w:val="none"/>
              </w:rPr>
              <w:t>2.供应商须在投标(响应)文件中按此模板提供承诺函，既未提供前述承诺函又未提供对应事项证明材料的，视为未实质响应招标文件要求，按无效投标(响应)处理。</w:t>
            </w:r>
          </w:p>
          <w:p>
            <w:pPr>
              <w:spacing w:line="520" w:lineRule="exact"/>
              <w:rPr>
                <w:rFonts w:ascii="仿宋" w:hAnsi="仿宋" w:eastAsia="仿宋"/>
                <w:color w:val="auto"/>
                <w:highlight w:val="none"/>
              </w:rPr>
            </w:pPr>
            <w:r>
              <w:rPr>
                <w:rFonts w:hint="eastAsia" w:ascii="仿宋" w:hAnsi="仿宋" w:eastAsia="仿宋"/>
                <w:b/>
                <w:color w:val="auto"/>
                <w:sz w:val="24"/>
                <w:highlight w:val="none"/>
              </w:rPr>
              <w:t>3.采购</w:t>
            </w:r>
            <w:r>
              <w:rPr>
                <w:rFonts w:hint="eastAsia" w:ascii="仿宋" w:hAnsi="仿宋" w:eastAsia="仿宋"/>
                <w:b/>
                <w:bCs/>
                <w:color w:val="auto"/>
                <w:sz w:val="24"/>
                <w:highlight w:val="none"/>
              </w:rPr>
              <w:t>人可以在确定中标(成交)结果后、签订政府采购合同前，核实中标(成交)供应商所作信用承诺事项的真实性</w:t>
            </w:r>
            <w:r>
              <w:rPr>
                <w:rFonts w:ascii="仿宋" w:hAnsi="仿宋" w:eastAsia="仿宋"/>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8512" w:type="dxa"/>
            <w:vAlign w:val="center"/>
          </w:tcPr>
          <w:p>
            <w:pPr>
              <w:spacing w:line="520" w:lineRule="exact"/>
              <w:rPr>
                <w:rFonts w:ascii="仿宋" w:hAnsi="仿宋" w:eastAsia="仿宋"/>
                <w:color w:val="auto"/>
                <w:sz w:val="24"/>
                <w:highlight w:val="none"/>
              </w:rPr>
            </w:pPr>
            <w:r>
              <w:rPr>
                <w:rFonts w:hint="eastAsia" w:ascii="仿宋" w:hAnsi="仿宋" w:eastAsia="仿宋"/>
                <w:color w:val="auto"/>
                <w:sz w:val="24"/>
                <w:highlight w:val="none"/>
              </w:rPr>
              <w:t xml:space="preserve">是否组织现场踏勘：否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5" w:type="dxa"/>
            <w:gridSpan w:val="2"/>
            <w:vAlign w:val="center"/>
          </w:tcPr>
          <w:p>
            <w:pPr>
              <w:spacing w:line="520" w:lineRule="exact"/>
              <w:rPr>
                <w:rFonts w:ascii="仿宋" w:hAnsi="仿宋" w:eastAsia="仿宋"/>
                <w:b/>
                <w:color w:val="auto"/>
                <w:sz w:val="24"/>
                <w:highlight w:val="none"/>
              </w:rPr>
            </w:pPr>
            <w:r>
              <w:rPr>
                <w:rFonts w:hint="eastAsia" w:ascii="仿宋" w:hAnsi="仿宋" w:eastAsia="仿宋"/>
                <w:b/>
                <w:color w:val="auto"/>
                <w:sz w:val="24"/>
                <w:highlight w:val="none"/>
              </w:rPr>
              <w:t>二、响应文件的编制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6</w:t>
            </w:r>
          </w:p>
        </w:tc>
        <w:tc>
          <w:tcPr>
            <w:tcW w:w="8512" w:type="dxa"/>
          </w:tcPr>
          <w:p>
            <w:pPr>
              <w:spacing w:line="520" w:lineRule="exact"/>
              <w:rPr>
                <w:rFonts w:ascii="仿宋" w:hAnsi="仿宋" w:eastAsia="仿宋"/>
                <w:color w:val="auto"/>
                <w:sz w:val="24"/>
                <w:highlight w:val="none"/>
              </w:rPr>
            </w:pPr>
            <w:r>
              <w:rPr>
                <w:rFonts w:ascii="仿宋" w:hAnsi="仿宋" w:eastAsia="仿宋"/>
                <w:color w:val="auto"/>
                <w:sz w:val="24"/>
                <w:highlight w:val="none"/>
              </w:rPr>
              <w:t>谈判语言：简体中文（有关产品型号、专用名词等除外）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7</w:t>
            </w:r>
          </w:p>
        </w:tc>
        <w:tc>
          <w:tcPr>
            <w:tcW w:w="8512" w:type="dxa"/>
          </w:tcPr>
          <w:p>
            <w:pPr>
              <w:spacing w:line="520" w:lineRule="exact"/>
              <w:rPr>
                <w:rFonts w:ascii="仿宋" w:hAnsi="仿宋" w:eastAsia="仿宋"/>
                <w:color w:val="auto"/>
                <w:sz w:val="24"/>
                <w:highlight w:val="none"/>
              </w:rPr>
            </w:pPr>
            <w:r>
              <w:rPr>
                <w:rFonts w:ascii="仿宋" w:hAnsi="仿宋" w:eastAsia="仿宋"/>
                <w:color w:val="auto"/>
                <w:sz w:val="24"/>
                <w:highlight w:val="none"/>
              </w:rPr>
              <w:t>是否允许提供备选方案：否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8</w:t>
            </w:r>
          </w:p>
        </w:tc>
        <w:tc>
          <w:tcPr>
            <w:tcW w:w="8512" w:type="dxa"/>
          </w:tcPr>
          <w:p>
            <w:pPr>
              <w:spacing w:line="520" w:lineRule="exact"/>
              <w:rPr>
                <w:rFonts w:ascii="仿宋" w:hAnsi="仿宋" w:eastAsia="仿宋"/>
                <w:color w:val="auto"/>
                <w:sz w:val="24"/>
                <w:highlight w:val="none"/>
              </w:rPr>
            </w:pPr>
            <w:r>
              <w:rPr>
                <w:rFonts w:ascii="仿宋" w:hAnsi="仿宋" w:eastAsia="仿宋"/>
                <w:color w:val="auto"/>
                <w:sz w:val="24"/>
                <w:highlight w:val="none"/>
              </w:rPr>
              <w:t>是否允许联合体</w:t>
            </w:r>
            <w:r>
              <w:rPr>
                <w:rFonts w:hint="eastAsia" w:ascii="仿宋" w:hAnsi="仿宋" w:eastAsia="仿宋"/>
                <w:color w:val="auto"/>
                <w:sz w:val="24"/>
                <w:highlight w:val="none"/>
              </w:rPr>
              <w:t>参加谈判</w:t>
            </w:r>
            <w:r>
              <w:rPr>
                <w:rFonts w:ascii="仿宋" w:hAnsi="仿宋" w:eastAsia="仿宋"/>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9</w:t>
            </w:r>
          </w:p>
        </w:tc>
        <w:tc>
          <w:tcPr>
            <w:tcW w:w="8512" w:type="dxa"/>
          </w:tcPr>
          <w:p>
            <w:pPr>
              <w:spacing w:line="440" w:lineRule="exact"/>
              <w:rPr>
                <w:rFonts w:ascii="仿宋" w:hAnsi="仿宋" w:eastAsia="仿宋"/>
                <w:b/>
                <w:color w:val="auto"/>
                <w:sz w:val="24"/>
                <w:highlight w:val="none"/>
              </w:rPr>
            </w:pPr>
            <w:r>
              <w:rPr>
                <w:rFonts w:hint="eastAsia" w:ascii="仿宋" w:hAnsi="仿宋" w:eastAsia="仿宋"/>
                <w:b/>
                <w:color w:val="auto"/>
                <w:sz w:val="24"/>
                <w:highlight w:val="none"/>
              </w:rPr>
              <w:t>报价：</w:t>
            </w:r>
          </w:p>
          <w:p>
            <w:pPr>
              <w:spacing w:line="440" w:lineRule="exact"/>
              <w:rPr>
                <w:rFonts w:ascii="仿宋" w:hAnsi="仿宋" w:eastAsia="仿宋"/>
                <w:color w:val="auto"/>
                <w:sz w:val="24"/>
                <w:highlight w:val="none"/>
              </w:rPr>
            </w:pPr>
            <w:r>
              <w:rPr>
                <w:rFonts w:hint="eastAsia" w:ascii="仿宋" w:hAnsi="仿宋" w:eastAsia="仿宋"/>
                <w:color w:val="auto"/>
                <w:sz w:val="24"/>
                <w:highlight w:val="none"/>
              </w:rPr>
              <w:t>本项目为</w:t>
            </w:r>
            <w:r>
              <w:rPr>
                <w:rFonts w:hint="eastAsia" w:ascii="仿宋" w:hAnsi="仿宋" w:eastAsia="仿宋"/>
                <w:b/>
                <w:color w:val="auto"/>
                <w:sz w:val="24"/>
                <w:highlight w:val="none"/>
              </w:rPr>
              <w:t>交钥匙项目</w:t>
            </w:r>
            <w:r>
              <w:rPr>
                <w:rFonts w:hint="eastAsia" w:ascii="仿宋" w:hAnsi="仿宋" w:eastAsia="仿宋"/>
                <w:color w:val="auto"/>
                <w:sz w:val="24"/>
                <w:highlight w:val="none"/>
              </w:rPr>
              <w:t>，即：报价内容包含但不限于谈判文件规定的货物；标准附件；备品备件；专用工具；安装、调试、检测（验）、培训、技术服务、运至最终目的地的运费和保险、质量技术监督部门检测费、验收</w:t>
            </w:r>
            <w:r>
              <w:rPr>
                <w:rFonts w:ascii="仿宋" w:hAnsi="仿宋" w:eastAsia="仿宋"/>
                <w:color w:val="auto"/>
                <w:sz w:val="24"/>
                <w:highlight w:val="none"/>
              </w:rPr>
              <w:t>和税费</w:t>
            </w:r>
            <w:r>
              <w:rPr>
                <w:rFonts w:hint="eastAsia" w:ascii="仿宋" w:hAnsi="仿宋" w:eastAsia="仿宋"/>
                <w:color w:val="auto"/>
                <w:sz w:val="24"/>
                <w:highlight w:val="none"/>
              </w:rPr>
              <w:t>等全部费用。采购人不再支付合同总价之外的其他费用。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10</w:t>
            </w:r>
          </w:p>
        </w:tc>
        <w:tc>
          <w:tcPr>
            <w:tcW w:w="8512" w:type="dxa"/>
            <w:vAlign w:val="center"/>
          </w:tcPr>
          <w:p>
            <w:pPr>
              <w:spacing w:line="440" w:lineRule="exact"/>
              <w:rPr>
                <w:rFonts w:ascii="仿宋" w:hAnsi="仿宋" w:eastAsia="仿宋"/>
                <w:color w:val="auto"/>
                <w:sz w:val="24"/>
                <w:highlight w:val="none"/>
              </w:rPr>
            </w:pPr>
            <w:r>
              <w:rPr>
                <w:rFonts w:hint="eastAsia" w:ascii="仿宋" w:hAnsi="仿宋" w:eastAsia="仿宋"/>
                <w:color w:val="auto"/>
                <w:sz w:val="24"/>
                <w:highlight w:val="none"/>
              </w:rPr>
              <w:t>12.1本项目谈判保证金：</w:t>
            </w:r>
            <w:r>
              <w:rPr>
                <w:rFonts w:hint="eastAsia" w:ascii="仿宋" w:hAnsi="仿宋" w:eastAsia="仿宋"/>
                <w:color w:val="auto"/>
                <w:sz w:val="23"/>
                <w:szCs w:val="23"/>
                <w:highlight w:val="none"/>
              </w:rPr>
              <w:t>￥</w:t>
            </w:r>
            <w:r>
              <w:rPr>
                <w:rFonts w:hint="eastAsia" w:ascii="仿宋" w:hAnsi="仿宋" w:eastAsia="仿宋"/>
                <w:color w:val="auto"/>
                <w:sz w:val="24"/>
                <w:highlight w:val="none"/>
                <w:lang w:val="en-US" w:eastAsia="zh-CN"/>
              </w:rPr>
              <w:t>2000</w:t>
            </w:r>
            <w:r>
              <w:rPr>
                <w:rFonts w:hint="eastAsia" w:ascii="仿宋" w:hAnsi="仿宋" w:eastAsia="仿宋"/>
                <w:color w:val="auto"/>
                <w:sz w:val="24"/>
                <w:highlight w:val="none"/>
              </w:rPr>
              <w:t>.00</w:t>
            </w:r>
            <w:r>
              <w:rPr>
                <w:rFonts w:hint="eastAsia" w:ascii="仿宋" w:hAnsi="仿宋" w:eastAsia="仿宋"/>
                <w:b/>
                <w:color w:val="auto"/>
                <w:sz w:val="24"/>
                <w:highlight w:val="none"/>
              </w:rPr>
              <w:t>元。</w:t>
            </w:r>
          </w:p>
          <w:p>
            <w:pPr>
              <w:spacing w:line="440" w:lineRule="exact"/>
              <w:rPr>
                <w:rFonts w:ascii="仿宋" w:hAnsi="仿宋" w:eastAsia="仿宋"/>
                <w:color w:val="auto"/>
                <w:sz w:val="24"/>
                <w:highlight w:val="none"/>
              </w:rPr>
            </w:pPr>
            <w:r>
              <w:rPr>
                <w:rFonts w:hint="eastAsia" w:ascii="仿宋" w:hAnsi="仿宋" w:eastAsia="仿宋"/>
                <w:color w:val="auto"/>
                <w:sz w:val="24"/>
                <w:highlight w:val="none"/>
              </w:rPr>
              <w:t>12.2上述谈判保证金必须在</w:t>
            </w:r>
            <w:r>
              <w:rPr>
                <w:rFonts w:hint="eastAsia" w:ascii="仿宋" w:hAnsi="仿宋" w:eastAsia="仿宋"/>
                <w:b/>
                <w:color w:val="auto"/>
                <w:sz w:val="24"/>
                <w:highlight w:val="none"/>
              </w:rPr>
              <w:t>递交谈判响应文件截止时间前</w:t>
            </w:r>
            <w:r>
              <w:rPr>
                <w:rFonts w:hint="eastAsia" w:ascii="仿宋" w:hAnsi="仿宋" w:eastAsia="仿宋"/>
                <w:color w:val="auto"/>
                <w:sz w:val="24"/>
                <w:highlight w:val="none"/>
              </w:rPr>
              <w:t>到达本谈判文件指定的银行账户，且必须由</w:t>
            </w:r>
            <w:r>
              <w:rPr>
                <w:rFonts w:hint="eastAsia" w:ascii="仿宋" w:hAnsi="仿宋" w:eastAsia="仿宋"/>
                <w:b/>
                <w:color w:val="auto"/>
                <w:sz w:val="24"/>
                <w:highlight w:val="none"/>
              </w:rPr>
              <w:t>供应商</w:t>
            </w:r>
            <w:r>
              <w:rPr>
                <w:rFonts w:hint="eastAsia" w:ascii="仿宋" w:hAnsi="仿宋" w:eastAsia="仿宋"/>
                <w:color w:val="auto"/>
                <w:sz w:val="24"/>
                <w:highlight w:val="none"/>
              </w:rPr>
              <w:t>支付，否则其响应文件无效；谈判保证金收取账户信息如下：</w:t>
            </w:r>
          </w:p>
          <w:p>
            <w:pPr>
              <w:numPr>
                <w:ilvl w:val="0"/>
                <w:numId w:val="3"/>
              </w:numPr>
              <w:tabs>
                <w:tab w:val="left" w:pos="926"/>
                <w:tab w:val="clear" w:pos="3092"/>
              </w:tabs>
              <w:spacing w:line="440" w:lineRule="exact"/>
              <w:ind w:hanging="2591"/>
              <w:rPr>
                <w:rFonts w:ascii="仿宋" w:hAnsi="仿宋" w:eastAsia="仿宋"/>
                <w:color w:val="auto"/>
                <w:sz w:val="24"/>
                <w:highlight w:val="none"/>
              </w:rPr>
            </w:pPr>
            <w:r>
              <w:rPr>
                <w:rFonts w:hint="eastAsia" w:ascii="仿宋" w:hAnsi="仿宋" w:eastAsia="仿宋"/>
                <w:color w:val="auto"/>
                <w:sz w:val="24"/>
                <w:highlight w:val="none"/>
              </w:rPr>
              <w:t>开户单位：江西骏宏招标咨询有限公司</w:t>
            </w:r>
          </w:p>
          <w:p>
            <w:pPr>
              <w:numPr>
                <w:ilvl w:val="0"/>
                <w:numId w:val="3"/>
              </w:numPr>
              <w:tabs>
                <w:tab w:val="left" w:pos="926"/>
                <w:tab w:val="clear" w:pos="3092"/>
              </w:tabs>
              <w:spacing w:line="440" w:lineRule="exact"/>
              <w:ind w:hanging="2591"/>
              <w:rPr>
                <w:rFonts w:ascii="仿宋" w:hAnsi="仿宋" w:eastAsia="仿宋"/>
                <w:color w:val="auto"/>
                <w:sz w:val="24"/>
                <w:highlight w:val="none"/>
              </w:rPr>
            </w:pPr>
            <w:r>
              <w:rPr>
                <w:rFonts w:hint="eastAsia" w:ascii="仿宋" w:hAnsi="仿宋" w:eastAsia="仿宋"/>
                <w:color w:val="auto"/>
                <w:sz w:val="24"/>
                <w:highlight w:val="none"/>
              </w:rPr>
              <w:t xml:space="preserve">开户银行：中国银行南昌市飞虹路支行  </w:t>
            </w:r>
          </w:p>
          <w:p>
            <w:pPr>
              <w:numPr>
                <w:ilvl w:val="0"/>
                <w:numId w:val="3"/>
              </w:numPr>
              <w:tabs>
                <w:tab w:val="left" w:pos="926"/>
                <w:tab w:val="clear" w:pos="3092"/>
              </w:tabs>
              <w:spacing w:line="440" w:lineRule="exact"/>
              <w:ind w:hanging="2591"/>
              <w:rPr>
                <w:rFonts w:ascii="仿宋" w:hAnsi="仿宋" w:eastAsia="仿宋"/>
                <w:color w:val="auto"/>
                <w:sz w:val="24"/>
                <w:highlight w:val="none"/>
              </w:rPr>
            </w:pPr>
            <w:r>
              <w:rPr>
                <w:rFonts w:hint="eastAsia" w:ascii="仿宋" w:hAnsi="仿宋" w:eastAsia="仿宋"/>
                <w:color w:val="auto"/>
                <w:sz w:val="24"/>
                <w:highlight w:val="none"/>
              </w:rPr>
              <w:t>账    号: 199227625251</w:t>
            </w:r>
          </w:p>
          <w:p>
            <w:pPr>
              <w:spacing w:line="440" w:lineRule="exact"/>
              <w:rPr>
                <w:rFonts w:ascii="仿宋" w:hAnsi="仿宋" w:eastAsia="仿宋"/>
                <w:color w:val="auto"/>
                <w:sz w:val="24"/>
                <w:highlight w:val="none"/>
              </w:rPr>
            </w:pPr>
            <w:r>
              <w:rPr>
                <w:rFonts w:hint="eastAsia" w:ascii="仿宋" w:hAnsi="仿宋" w:eastAsia="仿宋"/>
                <w:color w:val="auto"/>
                <w:sz w:val="24"/>
                <w:highlight w:val="none"/>
              </w:rPr>
              <w:t>12.3本项目保证金应当采用支票、汇票、本票、（网上）银行转账支付等非现金形式交纳(采用汇票、本票缴纳保证金的，须将汇票、本票的原件在</w:t>
            </w:r>
            <w:r>
              <w:rPr>
                <w:rFonts w:hint="eastAsia" w:ascii="仿宋" w:hAnsi="仿宋" w:eastAsia="仿宋"/>
                <w:b/>
                <w:color w:val="auto"/>
                <w:sz w:val="24"/>
                <w:highlight w:val="none"/>
              </w:rPr>
              <w:t>递交谈判响应文件截止时间前递交</w:t>
            </w:r>
            <w:r>
              <w:rPr>
                <w:rFonts w:hint="eastAsia" w:ascii="仿宋" w:hAnsi="仿宋" w:eastAsia="仿宋"/>
                <w:color w:val="auto"/>
                <w:sz w:val="24"/>
                <w:highlight w:val="none"/>
              </w:rPr>
              <w:t>)</w:t>
            </w:r>
            <w:r>
              <w:rPr>
                <w:rFonts w:ascii="仿宋" w:hAnsi="仿宋" w:eastAsia="仿宋"/>
                <w:color w:val="auto"/>
                <w:sz w:val="24"/>
                <w:highlight w:val="none"/>
              </w:rPr>
              <w:t>。</w:t>
            </w:r>
          </w:p>
          <w:p>
            <w:pPr>
              <w:spacing w:line="440" w:lineRule="exact"/>
              <w:rPr>
                <w:rFonts w:ascii="仿宋" w:hAnsi="仿宋" w:eastAsia="仿宋"/>
                <w:color w:val="auto"/>
                <w:sz w:val="24"/>
                <w:highlight w:val="none"/>
              </w:rPr>
            </w:pPr>
            <w:r>
              <w:rPr>
                <w:rFonts w:hint="eastAsia" w:ascii="仿宋" w:hAnsi="仿宋" w:eastAsia="仿宋"/>
                <w:color w:val="auto"/>
                <w:sz w:val="24"/>
                <w:highlight w:val="none"/>
              </w:rPr>
              <w:t>12.4请供应商在汇款时务必注明项目编号，否则，因款项用途不明导致响应文件无效等后果由供应商自行承担。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11</w:t>
            </w:r>
          </w:p>
        </w:tc>
        <w:tc>
          <w:tcPr>
            <w:tcW w:w="8512" w:type="dxa"/>
            <w:vAlign w:val="center"/>
          </w:tcPr>
          <w:p>
            <w:pPr>
              <w:spacing w:line="520" w:lineRule="exact"/>
              <w:rPr>
                <w:rFonts w:ascii="仿宋" w:hAnsi="仿宋" w:eastAsia="仿宋"/>
                <w:color w:val="auto"/>
                <w:sz w:val="24"/>
                <w:highlight w:val="none"/>
              </w:rPr>
            </w:pPr>
            <w:r>
              <w:rPr>
                <w:rFonts w:ascii="仿宋" w:hAnsi="仿宋" w:eastAsia="仿宋"/>
                <w:b/>
                <w:color w:val="auto"/>
                <w:spacing w:val="-13"/>
                <w:sz w:val="24"/>
                <w:highlight w:val="none"/>
              </w:rPr>
              <w:t xml:space="preserve">谈判有效期：从提交响应文件的截止之日起 </w:t>
            </w:r>
            <w:r>
              <w:rPr>
                <w:rFonts w:ascii="仿宋" w:hAnsi="仿宋" w:eastAsia="仿宋"/>
                <w:b/>
                <w:color w:val="auto"/>
                <w:sz w:val="24"/>
                <w:highlight w:val="none"/>
              </w:rPr>
              <w:t>90</w:t>
            </w:r>
            <w:r>
              <w:rPr>
                <w:rFonts w:ascii="仿宋" w:hAnsi="仿宋" w:eastAsia="仿宋"/>
                <w:b/>
                <w:color w:val="auto"/>
                <w:spacing w:val="-67"/>
                <w:sz w:val="24"/>
                <w:highlight w:val="none"/>
              </w:rPr>
              <w:t xml:space="preserve"> 天</w:t>
            </w:r>
            <w:r>
              <w:rPr>
                <w:rFonts w:ascii="仿宋" w:hAnsi="仿宋" w:eastAsia="仿宋"/>
                <w:color w:val="auto"/>
                <w:spacing w:val="-3"/>
                <w:sz w:val="24"/>
                <w:highlight w:val="none"/>
              </w:rPr>
              <w:t>（谈判保证金有效期应当与谈判有效期一致）</w:t>
            </w:r>
            <w:r>
              <w:rPr>
                <w:rFonts w:hint="eastAsia" w:ascii="仿宋" w:hAnsi="仿宋" w:eastAsia="仿宋"/>
                <w:color w:val="auto"/>
                <w:spacing w:val="-3"/>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5" w:type="dxa"/>
            <w:gridSpan w:val="2"/>
            <w:vAlign w:val="center"/>
          </w:tcPr>
          <w:p>
            <w:pPr>
              <w:spacing w:line="520" w:lineRule="exact"/>
              <w:rPr>
                <w:rFonts w:ascii="仿宋" w:hAnsi="仿宋" w:eastAsia="仿宋"/>
                <w:b/>
                <w:color w:val="auto"/>
                <w:spacing w:val="-13"/>
                <w:sz w:val="24"/>
                <w:highlight w:val="none"/>
              </w:rPr>
            </w:pPr>
            <w:r>
              <w:rPr>
                <w:rFonts w:hint="eastAsia" w:ascii="仿宋" w:hAnsi="仿宋" w:eastAsia="仿宋"/>
                <w:b/>
                <w:color w:val="auto"/>
                <w:spacing w:val="-13"/>
                <w:sz w:val="24"/>
                <w:highlight w:val="none"/>
              </w:rPr>
              <w:t>三、</w:t>
            </w:r>
            <w:r>
              <w:rPr>
                <w:rFonts w:ascii="仿宋" w:hAnsi="仿宋" w:eastAsia="仿宋"/>
                <w:b/>
                <w:color w:val="auto"/>
                <w:sz w:val="24"/>
                <w:highlight w:val="none"/>
              </w:rPr>
              <w:t>响应文件的递交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12</w:t>
            </w:r>
          </w:p>
        </w:tc>
        <w:tc>
          <w:tcPr>
            <w:tcW w:w="8512" w:type="dxa"/>
            <w:vAlign w:val="center"/>
          </w:tcPr>
          <w:p>
            <w:pPr>
              <w:spacing w:line="520" w:lineRule="exact"/>
              <w:rPr>
                <w:rFonts w:ascii="仿宋" w:hAnsi="仿宋" w:eastAsia="仿宋"/>
                <w:color w:val="auto"/>
                <w:sz w:val="24"/>
                <w:highlight w:val="none"/>
              </w:rPr>
            </w:pPr>
            <w:r>
              <w:rPr>
                <w:rFonts w:ascii="仿宋" w:hAnsi="仿宋" w:eastAsia="仿宋"/>
                <w:b/>
                <w:color w:val="auto"/>
                <w:spacing w:val="-9"/>
                <w:sz w:val="24"/>
                <w:highlight w:val="none"/>
              </w:rPr>
              <w:t>响应文件的递交：</w:t>
            </w:r>
            <w:r>
              <w:rPr>
                <w:rFonts w:hint="eastAsia" w:ascii="仿宋" w:hAnsi="仿宋" w:eastAsia="仿宋"/>
                <w:color w:val="auto"/>
                <w:sz w:val="24"/>
                <w:highlight w:val="none"/>
              </w:rPr>
              <w:t>响应文件的份数：正本1份、 副本4份，并整体制作成册。</w:t>
            </w:r>
          </w:p>
          <w:p>
            <w:pPr>
              <w:pStyle w:val="68"/>
              <w:spacing w:before="77" w:line="374" w:lineRule="auto"/>
              <w:ind w:right="95"/>
              <w:rPr>
                <w:rFonts w:ascii="仿宋" w:hAnsi="仿宋" w:eastAsia="仿宋"/>
                <w:color w:val="auto"/>
                <w:sz w:val="24"/>
                <w:highlight w:val="none"/>
              </w:rPr>
            </w:pPr>
            <w:r>
              <w:rPr>
                <w:rFonts w:hint="eastAsia" w:ascii="仿宋" w:hAnsi="仿宋" w:eastAsia="仿宋"/>
                <w:color w:val="auto"/>
                <w:sz w:val="24"/>
                <w:highlight w:val="none"/>
              </w:rPr>
              <w:t>响应文件必须用不褪色的蓝黑或黑色墨水填写或打印并加盖公章，并由法定代表人或其授权代表人签字。所有响应文件应封装在一个包装袋中，并在封签处加盖公章，由法定代表人或其授权代表人签字。装响应文件的外层</w:t>
            </w:r>
            <w:r>
              <w:rPr>
                <w:rFonts w:ascii="仿宋" w:hAnsi="仿宋" w:eastAsia="仿宋"/>
                <w:color w:val="auto"/>
                <w:sz w:val="24"/>
                <w:highlight w:val="none"/>
              </w:rPr>
              <w:t>密封袋</w:t>
            </w:r>
            <w:r>
              <w:rPr>
                <w:rFonts w:hint="eastAsia" w:ascii="仿宋" w:hAnsi="仿宋" w:eastAsia="仿宋"/>
                <w:color w:val="auto"/>
                <w:sz w:val="24"/>
                <w:highlight w:val="none"/>
              </w:rPr>
              <w:t>上均应注明：项目名称、项目编号、供应商名称、地址、邮政编码、电话、联系人，并注明“谈判时启封”字样。如果外层</w:t>
            </w:r>
            <w:r>
              <w:rPr>
                <w:rFonts w:ascii="仿宋" w:hAnsi="仿宋" w:eastAsia="仿宋"/>
                <w:color w:val="auto"/>
                <w:sz w:val="24"/>
                <w:highlight w:val="none"/>
              </w:rPr>
              <w:t>密封袋</w:t>
            </w:r>
            <w:r>
              <w:rPr>
                <w:rFonts w:hint="eastAsia" w:ascii="仿宋" w:hAnsi="仿宋" w:eastAsia="仿宋"/>
                <w:color w:val="auto"/>
                <w:sz w:val="24"/>
                <w:highlight w:val="none"/>
              </w:rPr>
              <w:t>未按上述要求密封或加写标记，代理机构对误投或过早启封概不负责。</w:t>
            </w:r>
          </w:p>
          <w:p>
            <w:pPr>
              <w:pStyle w:val="68"/>
              <w:spacing w:before="77" w:line="374" w:lineRule="auto"/>
              <w:ind w:right="95"/>
              <w:rPr>
                <w:rFonts w:ascii="仿宋" w:hAnsi="仿宋" w:eastAsia="仿宋"/>
                <w:color w:val="auto"/>
                <w:sz w:val="24"/>
                <w:szCs w:val="24"/>
                <w:highlight w:val="none"/>
              </w:rPr>
            </w:pPr>
            <w:r>
              <w:rPr>
                <w:rFonts w:hint="eastAsia" w:ascii="仿宋" w:hAnsi="仿宋" w:eastAsia="仿宋"/>
                <w:b/>
                <w:color w:val="auto"/>
                <w:sz w:val="24"/>
                <w:highlight w:val="none"/>
              </w:rPr>
              <w:t>供应商在递交响应文件时，需同时以U盘形式递交1份加盖单位公章的响应文件扫描件，在项目公示期结束后一周内（公示期一个工作日），供应商自行前往招标代理公司领取U盘，过期未领取的遗失概不负责。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13</w:t>
            </w:r>
          </w:p>
        </w:tc>
        <w:tc>
          <w:tcPr>
            <w:tcW w:w="8512" w:type="dxa"/>
            <w:vAlign w:val="center"/>
          </w:tcPr>
          <w:p>
            <w:pPr>
              <w:pStyle w:val="68"/>
              <w:spacing w:before="77" w:line="374" w:lineRule="auto"/>
              <w:ind w:right="95"/>
              <w:rPr>
                <w:rFonts w:ascii="仿宋" w:hAnsi="仿宋" w:eastAsia="仿宋"/>
                <w:b/>
                <w:color w:val="auto"/>
                <w:spacing w:val="-9"/>
                <w:sz w:val="24"/>
                <w:szCs w:val="24"/>
                <w:highlight w:val="none"/>
              </w:rPr>
            </w:pPr>
            <w:r>
              <w:rPr>
                <w:rFonts w:hint="eastAsia" w:ascii="仿宋" w:hAnsi="仿宋" w:eastAsia="仿宋" w:cs="Times New Roman"/>
                <w:b/>
                <w:color w:val="auto"/>
                <w:spacing w:val="-13"/>
                <w:kern w:val="2"/>
                <w:sz w:val="24"/>
                <w:szCs w:val="24"/>
                <w:highlight w:val="none"/>
                <w:lang w:val="en-US" w:bidi="ar-SA"/>
              </w:rPr>
              <w:t>原件递交要求：谈判文件要求提供材料原件核查（查验）的，所提供的材料原件必须在递交谈判响应文件截止时间前递交至谈判地点，逾期不予接收。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5" w:type="dxa"/>
            <w:gridSpan w:val="2"/>
            <w:vAlign w:val="center"/>
          </w:tcPr>
          <w:p>
            <w:pPr>
              <w:pStyle w:val="68"/>
              <w:spacing w:before="78"/>
              <w:ind w:left="107"/>
              <w:rPr>
                <w:rFonts w:ascii="仿宋" w:hAnsi="仿宋" w:eastAsia="仿宋"/>
                <w:color w:val="auto"/>
                <w:sz w:val="24"/>
                <w:szCs w:val="24"/>
                <w:highlight w:val="none"/>
              </w:rPr>
            </w:pPr>
            <w:r>
              <w:rPr>
                <w:rFonts w:hint="eastAsia" w:ascii="仿宋" w:hAnsi="仿宋" w:eastAsia="仿宋"/>
                <w:b/>
                <w:color w:val="auto"/>
                <w:sz w:val="24"/>
                <w:szCs w:val="24"/>
                <w:highlight w:val="none"/>
              </w:rPr>
              <w:t>四</w:t>
            </w:r>
            <w:r>
              <w:rPr>
                <w:rFonts w:ascii="仿宋" w:hAnsi="仿宋" w:eastAsia="仿宋"/>
                <w:b/>
                <w:color w:val="auto"/>
                <w:sz w:val="24"/>
                <w:szCs w:val="24"/>
                <w:highlight w:val="none"/>
              </w:rPr>
              <w:t>、</w:t>
            </w:r>
            <w:r>
              <w:rPr>
                <w:rFonts w:hint="eastAsia" w:ascii="仿宋" w:hAnsi="仿宋" w:eastAsia="仿宋"/>
                <w:b/>
                <w:color w:val="auto"/>
                <w:sz w:val="24"/>
                <w:szCs w:val="24"/>
                <w:highlight w:val="none"/>
              </w:rPr>
              <w:t>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14</w:t>
            </w:r>
          </w:p>
        </w:tc>
        <w:tc>
          <w:tcPr>
            <w:tcW w:w="8512" w:type="dxa"/>
          </w:tcPr>
          <w:p>
            <w:pPr>
              <w:pStyle w:val="68"/>
              <w:spacing w:before="77"/>
              <w:ind w:left="1" w:hanging="1"/>
              <w:rPr>
                <w:rFonts w:ascii="仿宋" w:hAnsi="仿宋" w:eastAsia="仿宋"/>
                <w:color w:val="auto"/>
                <w:sz w:val="24"/>
                <w:szCs w:val="24"/>
                <w:highlight w:val="none"/>
              </w:rPr>
            </w:pPr>
            <w:r>
              <w:rPr>
                <w:rFonts w:hint="eastAsia" w:ascii="仿宋" w:hAnsi="仿宋" w:eastAsia="仿宋" w:cs="Times New Roman"/>
                <w:b/>
                <w:color w:val="auto"/>
                <w:spacing w:val="-13"/>
                <w:kern w:val="2"/>
                <w:sz w:val="24"/>
                <w:szCs w:val="24"/>
                <w:highlight w:val="none"/>
                <w:lang w:val="en-US" w:bidi="ar-SA"/>
              </w:rPr>
              <w:t>递交谈判响应文件截止时间</w:t>
            </w:r>
            <w:r>
              <w:rPr>
                <w:rFonts w:ascii="仿宋" w:hAnsi="仿宋" w:eastAsia="仿宋"/>
                <w:b/>
                <w:color w:val="auto"/>
                <w:sz w:val="24"/>
                <w:szCs w:val="24"/>
                <w:highlight w:val="none"/>
              </w:rPr>
              <w:t>：</w:t>
            </w:r>
            <w:r>
              <w:rPr>
                <w:rFonts w:ascii="仿宋" w:hAnsi="仿宋" w:eastAsia="仿宋"/>
                <w:color w:val="auto"/>
                <w:sz w:val="24"/>
                <w:szCs w:val="24"/>
                <w:highlight w:val="none"/>
              </w:rPr>
              <w:t>详见“</w:t>
            </w:r>
            <w:r>
              <w:rPr>
                <w:rFonts w:hint="eastAsia" w:ascii="仿宋" w:hAnsi="仿宋" w:eastAsia="仿宋"/>
                <w:color w:val="auto"/>
                <w:sz w:val="24"/>
                <w:szCs w:val="24"/>
                <w:highlight w:val="none"/>
              </w:rPr>
              <w:t>谈判</w:t>
            </w:r>
            <w:r>
              <w:rPr>
                <w:rFonts w:ascii="仿宋" w:hAnsi="仿宋" w:eastAsia="仿宋"/>
                <w:color w:val="auto"/>
                <w:sz w:val="24"/>
                <w:szCs w:val="24"/>
                <w:highlight w:val="none"/>
              </w:rPr>
              <w:t>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15</w:t>
            </w:r>
          </w:p>
        </w:tc>
        <w:tc>
          <w:tcPr>
            <w:tcW w:w="8512" w:type="dxa"/>
          </w:tcPr>
          <w:p>
            <w:pPr>
              <w:pStyle w:val="68"/>
              <w:spacing w:before="77"/>
              <w:ind w:left="1" w:hanging="1"/>
              <w:rPr>
                <w:rFonts w:ascii="仿宋" w:hAnsi="仿宋" w:eastAsia="仿宋"/>
                <w:color w:val="auto"/>
                <w:sz w:val="24"/>
                <w:szCs w:val="24"/>
                <w:highlight w:val="none"/>
              </w:rPr>
            </w:pPr>
            <w:r>
              <w:rPr>
                <w:rFonts w:hint="eastAsia" w:ascii="仿宋" w:hAnsi="仿宋" w:eastAsia="仿宋"/>
                <w:b/>
                <w:color w:val="auto"/>
                <w:sz w:val="24"/>
                <w:szCs w:val="24"/>
                <w:highlight w:val="none"/>
              </w:rPr>
              <w:t>谈判开始</w:t>
            </w:r>
            <w:r>
              <w:rPr>
                <w:rFonts w:ascii="仿宋" w:hAnsi="仿宋" w:eastAsia="仿宋"/>
                <w:b/>
                <w:color w:val="auto"/>
                <w:sz w:val="24"/>
                <w:szCs w:val="24"/>
                <w:highlight w:val="none"/>
              </w:rPr>
              <w:t>时间：</w:t>
            </w:r>
            <w:r>
              <w:rPr>
                <w:rFonts w:ascii="仿宋" w:hAnsi="仿宋" w:eastAsia="仿宋"/>
                <w:color w:val="auto"/>
                <w:spacing w:val="-3"/>
                <w:sz w:val="24"/>
                <w:szCs w:val="24"/>
                <w:highlight w:val="none"/>
              </w:rPr>
              <w:t>详见“谈判邀请函”</w:t>
            </w:r>
          </w:p>
          <w:p>
            <w:pPr>
              <w:pStyle w:val="68"/>
              <w:spacing w:before="77"/>
              <w:ind w:left="1" w:hanging="1"/>
              <w:rPr>
                <w:rFonts w:ascii="仿宋" w:hAnsi="仿宋" w:eastAsia="仿宋"/>
                <w:b/>
                <w:color w:val="auto"/>
                <w:sz w:val="24"/>
                <w:szCs w:val="24"/>
                <w:highlight w:val="none"/>
              </w:rPr>
            </w:pPr>
            <w:r>
              <w:rPr>
                <w:rFonts w:ascii="仿宋" w:hAnsi="仿宋" w:eastAsia="仿宋"/>
                <w:b/>
                <w:color w:val="auto"/>
                <w:sz w:val="24"/>
                <w:szCs w:val="24"/>
                <w:highlight w:val="none"/>
              </w:rPr>
              <w:t>谈判地点：详见“谈判邀请函”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16</w:t>
            </w:r>
          </w:p>
        </w:tc>
        <w:tc>
          <w:tcPr>
            <w:tcW w:w="8512" w:type="dxa"/>
          </w:tcPr>
          <w:p>
            <w:pPr>
              <w:pStyle w:val="68"/>
              <w:spacing w:before="77"/>
              <w:ind w:left="1" w:hanging="1"/>
              <w:rPr>
                <w:rFonts w:ascii="仿宋" w:hAnsi="仿宋" w:eastAsia="仿宋"/>
                <w:b/>
                <w:color w:val="auto"/>
                <w:sz w:val="24"/>
                <w:szCs w:val="24"/>
                <w:highlight w:val="none"/>
              </w:rPr>
            </w:pPr>
            <w:r>
              <w:rPr>
                <w:rFonts w:ascii="仿宋" w:hAnsi="仿宋" w:eastAsia="仿宋"/>
                <w:b/>
                <w:color w:val="auto"/>
                <w:sz w:val="24"/>
                <w:szCs w:val="24"/>
                <w:highlight w:val="none"/>
              </w:rPr>
              <w:t>资格性检查过程中，出现以下情形之一的，其谈判被视为无效</w:t>
            </w:r>
            <w:r>
              <w:rPr>
                <w:rFonts w:hint="eastAsia" w:ascii="仿宋" w:hAnsi="仿宋" w:eastAsia="仿宋"/>
                <w:b/>
                <w:color w:val="auto"/>
                <w:sz w:val="24"/>
                <w:szCs w:val="24"/>
                <w:highlight w:val="none"/>
              </w:rPr>
              <w:t>响应</w:t>
            </w:r>
            <w:r>
              <w:rPr>
                <w:rFonts w:ascii="仿宋" w:hAnsi="仿宋" w:eastAsia="仿宋"/>
                <w:b/>
                <w:color w:val="auto"/>
                <w:sz w:val="24"/>
                <w:szCs w:val="24"/>
                <w:highlight w:val="none"/>
              </w:rPr>
              <w:t>：</w:t>
            </w:r>
          </w:p>
          <w:p>
            <w:pPr>
              <w:pStyle w:val="68"/>
              <w:numPr>
                <w:ilvl w:val="0"/>
                <w:numId w:val="4"/>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不具备谈判文件</w:t>
            </w:r>
            <w:r>
              <w:rPr>
                <w:rFonts w:hint="eastAsia" w:ascii="仿宋" w:hAnsi="仿宋" w:eastAsia="仿宋" w:cs="Times New Roman"/>
                <w:color w:val="auto"/>
                <w:kern w:val="2"/>
                <w:sz w:val="24"/>
                <w:szCs w:val="24"/>
                <w:highlight w:val="none"/>
                <w:lang w:val="en-US" w:bidi="ar-SA"/>
              </w:rPr>
              <w:t>“</w:t>
            </w:r>
            <w:r>
              <w:rPr>
                <w:rFonts w:ascii="仿宋" w:hAnsi="仿宋" w:eastAsia="仿宋" w:cs="Times New Roman"/>
                <w:color w:val="auto"/>
                <w:kern w:val="2"/>
                <w:sz w:val="24"/>
                <w:szCs w:val="24"/>
                <w:highlight w:val="none"/>
                <w:lang w:val="en-US" w:bidi="ar-SA"/>
              </w:rPr>
              <w:t>供应商须知前附表”中规定的合格供应商资格要求的；</w:t>
            </w:r>
          </w:p>
          <w:p>
            <w:pPr>
              <w:pStyle w:val="68"/>
              <w:numPr>
                <w:ilvl w:val="0"/>
                <w:numId w:val="4"/>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未按谈判文件要求提供法定代表人资格证明书的；</w:t>
            </w:r>
          </w:p>
          <w:p>
            <w:pPr>
              <w:pStyle w:val="68"/>
              <w:numPr>
                <w:ilvl w:val="0"/>
                <w:numId w:val="4"/>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非法定代表人参加谈判，未按谈判文件要求提供法定代表人授权委托书的；</w:t>
            </w:r>
          </w:p>
          <w:p>
            <w:pPr>
              <w:pStyle w:val="68"/>
              <w:numPr>
                <w:ilvl w:val="0"/>
                <w:numId w:val="4"/>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未按谈判文件要求提交谈判保证金或保证金金额不足、有效期不足、谈判保证金形式不符合谈判文件要求的。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17</w:t>
            </w:r>
          </w:p>
        </w:tc>
        <w:tc>
          <w:tcPr>
            <w:tcW w:w="8512" w:type="dxa"/>
          </w:tcPr>
          <w:p>
            <w:pPr>
              <w:pStyle w:val="68"/>
              <w:spacing w:before="77"/>
              <w:ind w:left="1" w:hanging="1"/>
              <w:rPr>
                <w:rFonts w:ascii="仿宋" w:hAnsi="仿宋" w:eastAsia="仿宋"/>
                <w:b/>
                <w:color w:val="auto"/>
                <w:sz w:val="24"/>
                <w:szCs w:val="24"/>
                <w:highlight w:val="none"/>
              </w:rPr>
            </w:pPr>
            <w:r>
              <w:rPr>
                <w:rFonts w:ascii="仿宋" w:hAnsi="仿宋" w:eastAsia="仿宋"/>
                <w:b/>
                <w:color w:val="auto"/>
                <w:sz w:val="24"/>
                <w:szCs w:val="24"/>
                <w:highlight w:val="none"/>
              </w:rPr>
              <w:t>符合性检查过程中，出现以下情形之一的，将按照无效响应处理：</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未按谈判文件规定的格式制作谈判响应文件的；</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谈判响应文件未按照谈判文件规定要求签署、盖章的，或签章人无法定代表人有效授权书的；</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未按谈判文件要求提供谈判</w:t>
            </w:r>
            <w:r>
              <w:rPr>
                <w:rFonts w:hint="eastAsia" w:ascii="仿宋" w:hAnsi="仿宋" w:eastAsia="仿宋" w:cs="Times New Roman"/>
                <w:color w:val="auto"/>
                <w:kern w:val="2"/>
                <w:sz w:val="24"/>
                <w:szCs w:val="24"/>
                <w:highlight w:val="none"/>
                <w:lang w:val="en-US" w:bidi="ar-SA"/>
              </w:rPr>
              <w:t>响应书</w:t>
            </w:r>
            <w:r>
              <w:rPr>
                <w:rFonts w:ascii="仿宋" w:hAnsi="仿宋" w:eastAsia="仿宋" w:cs="Times New Roman"/>
                <w:color w:val="auto"/>
                <w:kern w:val="2"/>
                <w:sz w:val="24"/>
                <w:szCs w:val="24"/>
                <w:highlight w:val="none"/>
                <w:lang w:val="en-US" w:bidi="ar-SA"/>
              </w:rPr>
              <w:t>、报价一览表、报价一览明细表</w:t>
            </w:r>
            <w:r>
              <w:rPr>
                <w:rFonts w:hint="eastAsia" w:ascii="仿宋" w:hAnsi="仿宋" w:eastAsia="仿宋" w:cs="Times New Roman"/>
                <w:color w:val="auto"/>
                <w:kern w:val="2"/>
                <w:sz w:val="24"/>
                <w:szCs w:val="24"/>
                <w:highlight w:val="none"/>
                <w:lang w:val="en-US" w:bidi="ar-SA"/>
              </w:rPr>
              <w:t>、技术响应/偏离表、商务响应/偏离表</w:t>
            </w:r>
            <w:r>
              <w:rPr>
                <w:rFonts w:ascii="仿宋" w:hAnsi="仿宋" w:eastAsia="仿宋" w:cs="Times New Roman"/>
                <w:color w:val="auto"/>
                <w:kern w:val="2"/>
                <w:sz w:val="24"/>
                <w:szCs w:val="24"/>
                <w:highlight w:val="none"/>
                <w:lang w:val="en-US" w:bidi="ar-SA"/>
              </w:rPr>
              <w:t>；</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谈判报价高于谈判文件</w:t>
            </w:r>
            <w:r>
              <w:rPr>
                <w:rFonts w:hint="eastAsia" w:ascii="仿宋" w:hAnsi="仿宋" w:eastAsia="仿宋" w:cs="Times New Roman"/>
                <w:color w:val="auto"/>
                <w:kern w:val="2"/>
                <w:sz w:val="24"/>
                <w:szCs w:val="24"/>
                <w:highlight w:val="none"/>
                <w:lang w:val="en-US" w:bidi="ar-SA"/>
              </w:rPr>
              <w:t>中</w:t>
            </w:r>
            <w:r>
              <w:rPr>
                <w:rFonts w:ascii="仿宋" w:hAnsi="仿宋" w:eastAsia="仿宋" w:cs="Times New Roman"/>
                <w:color w:val="auto"/>
                <w:kern w:val="2"/>
                <w:sz w:val="24"/>
                <w:szCs w:val="24"/>
                <w:highlight w:val="none"/>
                <w:lang w:val="en-US" w:bidi="ar-SA"/>
              </w:rPr>
              <w:t>预算价格</w:t>
            </w:r>
            <w:r>
              <w:rPr>
                <w:rFonts w:hint="eastAsia" w:ascii="仿宋" w:hAnsi="仿宋" w:eastAsia="仿宋" w:cs="Times New Roman"/>
                <w:color w:val="auto"/>
                <w:kern w:val="2"/>
                <w:sz w:val="24"/>
                <w:szCs w:val="24"/>
                <w:highlight w:val="none"/>
                <w:lang w:val="en-US" w:bidi="ar-SA"/>
              </w:rPr>
              <w:t>和</w:t>
            </w:r>
            <w:r>
              <w:rPr>
                <w:rFonts w:ascii="仿宋" w:hAnsi="仿宋" w:eastAsia="仿宋" w:cs="Times New Roman"/>
                <w:color w:val="auto"/>
                <w:kern w:val="2"/>
                <w:sz w:val="24"/>
                <w:szCs w:val="24"/>
                <w:highlight w:val="none"/>
                <w:lang w:val="en-US" w:bidi="ar-SA"/>
              </w:rPr>
              <w:t>最高限价的（</w:t>
            </w:r>
            <w:r>
              <w:rPr>
                <w:rFonts w:hint="eastAsia" w:ascii="仿宋" w:hAnsi="仿宋" w:eastAsia="仿宋" w:cs="Times New Roman"/>
                <w:color w:val="auto"/>
                <w:kern w:val="2"/>
                <w:sz w:val="24"/>
                <w:szCs w:val="24"/>
                <w:highlight w:val="none"/>
                <w:lang w:val="en-US" w:bidi="ar-SA"/>
              </w:rPr>
              <w:t>如谈判文件中设置</w:t>
            </w:r>
            <w:r>
              <w:rPr>
                <w:rFonts w:ascii="仿宋" w:hAnsi="仿宋" w:eastAsia="仿宋" w:cs="Times New Roman"/>
                <w:color w:val="auto"/>
                <w:kern w:val="2"/>
                <w:sz w:val="24"/>
                <w:szCs w:val="24"/>
                <w:highlight w:val="none"/>
                <w:lang w:val="en-US" w:bidi="ar-SA"/>
              </w:rPr>
              <w:t>最高限价</w:t>
            </w:r>
            <w:r>
              <w:rPr>
                <w:rFonts w:hint="eastAsia" w:ascii="仿宋" w:hAnsi="仿宋" w:eastAsia="仿宋" w:cs="Times New Roman"/>
                <w:color w:val="auto"/>
                <w:kern w:val="2"/>
                <w:sz w:val="24"/>
                <w:szCs w:val="24"/>
                <w:highlight w:val="none"/>
                <w:lang w:val="en-US" w:bidi="ar-SA"/>
              </w:rPr>
              <w:t>的</w:t>
            </w:r>
            <w:r>
              <w:rPr>
                <w:rFonts w:ascii="仿宋" w:hAnsi="仿宋" w:eastAsia="仿宋" w:cs="Times New Roman"/>
                <w:color w:val="auto"/>
                <w:kern w:val="2"/>
                <w:sz w:val="24"/>
                <w:szCs w:val="24"/>
                <w:highlight w:val="none"/>
                <w:lang w:val="en-US" w:bidi="ar-SA"/>
              </w:rPr>
              <w:t>）；</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不同意对谈判响应文件中算术计算错误进行更正的；</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不满足谈判文件中</w:t>
            </w:r>
            <w:r>
              <w:rPr>
                <w:rFonts w:hint="eastAsia" w:ascii="仿宋" w:hAnsi="仿宋" w:eastAsia="仿宋" w:cs="Times New Roman"/>
                <w:color w:val="auto"/>
                <w:kern w:val="2"/>
                <w:sz w:val="24"/>
                <w:szCs w:val="24"/>
                <w:highlight w:val="none"/>
                <w:lang w:val="en-US" w:bidi="ar-SA"/>
              </w:rPr>
              <w:t>技术</w:t>
            </w:r>
            <w:r>
              <w:rPr>
                <w:rFonts w:ascii="仿宋" w:hAnsi="仿宋" w:eastAsia="仿宋" w:cs="Times New Roman"/>
                <w:color w:val="auto"/>
                <w:kern w:val="2"/>
                <w:sz w:val="24"/>
                <w:szCs w:val="24"/>
                <w:highlight w:val="none"/>
                <w:lang w:val="en-US" w:bidi="ar-SA"/>
              </w:rPr>
              <w:t>要求、商务条款中实质性要求的；</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谈判有效期不满足谈判文件要求的；</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谈判报价明显不合理或者低于成本，有可能影响产品质量和不能诚信履约的，且供应商不能合理说明和不能按时提供相关证明材料的；</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同一供应商提交两个以上不同的谈判方案或者谈判报价的，但谈判文件要求提交备选方案的除外；</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谈判总价中不得包含谈判文件要求以外的内容，否则，在谈判时不予核减。若供应商不同意的；</w:t>
            </w:r>
          </w:p>
          <w:p>
            <w:pPr>
              <w:pStyle w:val="68"/>
              <w:numPr>
                <w:ilvl w:val="0"/>
                <w:numId w:val="5"/>
              </w:numPr>
              <w:tabs>
                <w:tab w:val="left" w:pos="359"/>
              </w:tabs>
              <w:spacing w:before="151"/>
              <w:ind w:hanging="702"/>
              <w:rPr>
                <w:rFonts w:ascii="仿宋" w:hAnsi="仿宋" w:eastAsia="仿宋" w:cs="Times New Roman"/>
                <w:color w:val="auto"/>
                <w:kern w:val="2"/>
                <w:sz w:val="24"/>
                <w:szCs w:val="24"/>
                <w:highlight w:val="none"/>
                <w:lang w:val="en-US" w:bidi="ar-SA"/>
              </w:rPr>
            </w:pPr>
            <w:r>
              <w:rPr>
                <w:rFonts w:ascii="仿宋" w:hAnsi="仿宋" w:eastAsia="仿宋" w:cs="Times New Roman"/>
                <w:color w:val="auto"/>
                <w:kern w:val="2"/>
                <w:sz w:val="24"/>
                <w:szCs w:val="24"/>
                <w:highlight w:val="none"/>
                <w:lang w:val="en-US" w:bidi="ar-SA"/>
              </w:rPr>
              <w:t>谈判文件或法律法规规定的其他无效响应情形。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18</w:t>
            </w:r>
          </w:p>
        </w:tc>
        <w:tc>
          <w:tcPr>
            <w:tcW w:w="8512" w:type="dxa"/>
          </w:tcPr>
          <w:p>
            <w:pPr>
              <w:pStyle w:val="68"/>
              <w:spacing w:before="125"/>
              <w:ind w:left="76"/>
              <w:rPr>
                <w:rFonts w:ascii="仿宋" w:hAnsi="仿宋" w:eastAsia="仿宋"/>
                <w:b/>
                <w:color w:val="auto"/>
                <w:sz w:val="24"/>
                <w:szCs w:val="24"/>
                <w:highlight w:val="none"/>
              </w:rPr>
            </w:pPr>
            <w:r>
              <w:rPr>
                <w:rFonts w:ascii="仿宋" w:hAnsi="仿宋" w:eastAsia="仿宋"/>
                <w:b/>
                <w:color w:val="auto"/>
                <w:sz w:val="24"/>
                <w:szCs w:val="24"/>
                <w:highlight w:val="none"/>
              </w:rPr>
              <w:t>本次采购活动中，出现下列情况之一的，应予以废标：</w:t>
            </w:r>
          </w:p>
          <w:p>
            <w:pPr>
              <w:pStyle w:val="68"/>
              <w:spacing w:before="151"/>
              <w:ind w:left="76"/>
              <w:rPr>
                <w:rFonts w:ascii="仿宋" w:hAnsi="仿宋" w:eastAsia="仿宋"/>
                <w:color w:val="auto"/>
                <w:sz w:val="24"/>
                <w:szCs w:val="24"/>
                <w:highlight w:val="none"/>
              </w:rPr>
            </w:pPr>
            <w:r>
              <w:rPr>
                <w:rFonts w:ascii="仿宋" w:hAnsi="仿宋" w:eastAsia="仿宋"/>
                <w:color w:val="auto"/>
                <w:sz w:val="24"/>
                <w:szCs w:val="24"/>
                <w:highlight w:val="none"/>
              </w:rPr>
              <w:t>（1)符合专业条件的供应商或者对谈判文件作实质响应的供应商不足三家的；</w:t>
            </w:r>
          </w:p>
          <w:p>
            <w:pPr>
              <w:pStyle w:val="68"/>
              <w:spacing w:before="126"/>
              <w:ind w:left="76"/>
              <w:rPr>
                <w:rFonts w:ascii="仿宋" w:hAnsi="仿宋" w:eastAsia="仿宋"/>
                <w:color w:val="auto"/>
                <w:sz w:val="24"/>
                <w:szCs w:val="24"/>
                <w:highlight w:val="none"/>
              </w:rPr>
            </w:pPr>
            <w:r>
              <w:rPr>
                <w:rFonts w:ascii="仿宋" w:hAnsi="仿宋" w:eastAsia="仿宋"/>
                <w:color w:val="auto"/>
                <w:sz w:val="24"/>
                <w:szCs w:val="24"/>
                <w:highlight w:val="none"/>
              </w:rPr>
              <w:t>（2)出现影响采购公正的违法、违规行为的；</w:t>
            </w:r>
          </w:p>
          <w:p>
            <w:pPr>
              <w:pStyle w:val="68"/>
              <w:spacing w:before="126"/>
              <w:ind w:left="76"/>
              <w:rPr>
                <w:rFonts w:ascii="仿宋" w:hAnsi="仿宋" w:eastAsia="仿宋"/>
                <w:color w:val="auto"/>
                <w:sz w:val="24"/>
                <w:szCs w:val="24"/>
                <w:highlight w:val="none"/>
              </w:rPr>
            </w:pPr>
            <w:r>
              <w:rPr>
                <w:rFonts w:ascii="仿宋" w:hAnsi="仿宋" w:eastAsia="仿宋"/>
                <w:color w:val="auto"/>
                <w:sz w:val="24"/>
                <w:szCs w:val="24"/>
                <w:highlight w:val="none"/>
              </w:rPr>
              <w:t>（3)供应商的报价均超过了采购预算，采购人不能支付的；</w:t>
            </w:r>
          </w:p>
          <w:p>
            <w:pPr>
              <w:pStyle w:val="68"/>
              <w:spacing w:before="125"/>
              <w:ind w:left="76"/>
              <w:rPr>
                <w:rFonts w:ascii="仿宋" w:hAnsi="仿宋" w:eastAsia="仿宋"/>
                <w:b/>
                <w:color w:val="auto"/>
                <w:sz w:val="24"/>
                <w:szCs w:val="24"/>
                <w:highlight w:val="none"/>
              </w:rPr>
            </w:pPr>
            <w:r>
              <w:rPr>
                <w:rFonts w:ascii="仿宋" w:hAnsi="仿宋" w:eastAsia="仿宋"/>
                <w:color w:val="auto"/>
                <w:sz w:val="24"/>
                <w:szCs w:val="24"/>
                <w:highlight w:val="none"/>
              </w:rPr>
              <w:t>（4)因重大变故，采购任务取消的。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5" w:type="dxa"/>
            <w:gridSpan w:val="2"/>
            <w:vAlign w:val="center"/>
          </w:tcPr>
          <w:p>
            <w:pPr>
              <w:pStyle w:val="68"/>
              <w:spacing w:before="151"/>
              <w:ind w:left="107"/>
              <w:rPr>
                <w:rFonts w:ascii="仿宋" w:hAnsi="仿宋" w:eastAsia="仿宋"/>
                <w:color w:val="auto"/>
                <w:sz w:val="24"/>
                <w:szCs w:val="24"/>
                <w:highlight w:val="none"/>
              </w:rPr>
            </w:pPr>
            <w:r>
              <w:rPr>
                <w:rFonts w:ascii="仿宋" w:hAnsi="仿宋" w:eastAsia="仿宋"/>
                <w:b/>
                <w:color w:val="auto"/>
                <w:sz w:val="24"/>
                <w:szCs w:val="24"/>
                <w:highlight w:val="none"/>
              </w:rPr>
              <w:t>六、确定成交供应商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spacing w:line="520" w:lineRule="exact"/>
              <w:jc w:val="center"/>
              <w:rPr>
                <w:rFonts w:ascii="仿宋" w:hAnsi="仿宋" w:eastAsia="仿宋"/>
                <w:color w:val="auto"/>
                <w:sz w:val="24"/>
                <w:highlight w:val="none"/>
              </w:rPr>
            </w:pPr>
            <w:r>
              <w:rPr>
                <w:rFonts w:hint="eastAsia" w:ascii="仿宋" w:hAnsi="仿宋" w:eastAsia="仿宋"/>
                <w:color w:val="auto"/>
                <w:sz w:val="24"/>
                <w:highlight w:val="none"/>
              </w:rPr>
              <w:t>19</w:t>
            </w:r>
          </w:p>
        </w:tc>
        <w:tc>
          <w:tcPr>
            <w:tcW w:w="8512" w:type="dxa"/>
          </w:tcPr>
          <w:p>
            <w:pPr>
              <w:pStyle w:val="68"/>
              <w:spacing w:line="307" w:lineRule="exact"/>
              <w:rPr>
                <w:rFonts w:ascii="仿宋" w:hAnsi="仿宋" w:eastAsia="仿宋"/>
                <w:b/>
                <w:color w:val="auto"/>
                <w:sz w:val="24"/>
                <w:highlight w:val="none"/>
              </w:rPr>
            </w:pPr>
            <w:r>
              <w:rPr>
                <w:rFonts w:ascii="仿宋" w:hAnsi="仿宋" w:eastAsia="仿宋"/>
                <w:b/>
                <w:color w:val="auto"/>
                <w:sz w:val="24"/>
                <w:szCs w:val="24"/>
                <w:highlight w:val="none"/>
              </w:rPr>
              <w:t>成交标准：</w:t>
            </w:r>
          </w:p>
          <w:p>
            <w:pPr>
              <w:pStyle w:val="68"/>
              <w:spacing w:line="307" w:lineRule="exact"/>
              <w:ind w:firstLine="482" w:firstLineChars="200"/>
              <w:rPr>
                <w:rFonts w:ascii="仿宋" w:hAnsi="仿宋" w:eastAsia="仿宋"/>
                <w:b/>
                <w:color w:val="auto"/>
                <w:sz w:val="24"/>
                <w:szCs w:val="24"/>
                <w:highlight w:val="none"/>
              </w:rPr>
            </w:pPr>
            <w:r>
              <w:rPr>
                <w:rFonts w:ascii="仿宋" w:hAnsi="仿宋" w:eastAsia="仿宋"/>
                <w:b/>
                <w:color w:val="auto"/>
                <w:sz w:val="24"/>
                <w:szCs w:val="24"/>
                <w:highlight w:val="none"/>
              </w:rPr>
              <w:t>根据质量和服务均能满足谈判文件实质性响应要求且最后报价最低的原则确定成交供应商。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5" w:type="dxa"/>
            <w:gridSpan w:val="2"/>
            <w:vAlign w:val="center"/>
          </w:tcPr>
          <w:p>
            <w:pPr>
              <w:pStyle w:val="68"/>
              <w:spacing w:before="151"/>
              <w:ind w:left="107"/>
              <w:rPr>
                <w:rFonts w:ascii="仿宋" w:hAnsi="仿宋" w:eastAsia="仿宋"/>
                <w:color w:val="auto"/>
                <w:sz w:val="24"/>
                <w:szCs w:val="24"/>
                <w:highlight w:val="none"/>
              </w:rPr>
            </w:pPr>
            <w:r>
              <w:rPr>
                <w:rFonts w:ascii="仿宋" w:hAnsi="仿宋" w:eastAsia="仿宋"/>
                <w:b/>
                <w:color w:val="auto"/>
                <w:sz w:val="21"/>
                <w:highlight w:val="none"/>
              </w:rPr>
              <w:t>七、授予合同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pStyle w:val="68"/>
              <w:spacing w:before="1"/>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20</w:t>
            </w:r>
          </w:p>
        </w:tc>
        <w:tc>
          <w:tcPr>
            <w:tcW w:w="8512" w:type="dxa"/>
          </w:tcPr>
          <w:p>
            <w:pPr>
              <w:pStyle w:val="68"/>
              <w:spacing w:before="77"/>
              <w:ind w:left="107"/>
              <w:rPr>
                <w:rFonts w:ascii="仿宋" w:hAnsi="仿宋" w:eastAsia="仿宋"/>
                <w:b/>
                <w:color w:val="auto"/>
                <w:spacing w:val="-6"/>
                <w:sz w:val="24"/>
                <w:szCs w:val="24"/>
                <w:highlight w:val="none"/>
              </w:rPr>
            </w:pPr>
            <w:r>
              <w:rPr>
                <w:rFonts w:ascii="仿宋" w:hAnsi="仿宋" w:eastAsia="仿宋"/>
                <w:b/>
                <w:color w:val="auto"/>
                <w:sz w:val="24"/>
                <w:szCs w:val="24"/>
                <w:highlight w:val="none"/>
              </w:rPr>
              <w:t>履约保证金：详见商务条款要求。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Align w:val="center"/>
          </w:tcPr>
          <w:p>
            <w:pPr>
              <w:pStyle w:val="68"/>
              <w:spacing w:before="1"/>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21</w:t>
            </w:r>
          </w:p>
        </w:tc>
        <w:tc>
          <w:tcPr>
            <w:tcW w:w="8512" w:type="dxa"/>
            <w:vAlign w:val="center"/>
          </w:tcPr>
          <w:p>
            <w:pPr>
              <w:pStyle w:val="23"/>
              <w:spacing w:line="520" w:lineRule="exact"/>
              <w:ind w:left="1"/>
              <w:rPr>
                <w:rFonts w:ascii="仿宋" w:hAnsi="仿宋" w:eastAsia="仿宋"/>
                <w:color w:val="auto"/>
                <w:sz w:val="24"/>
                <w:highlight w:val="none"/>
              </w:rPr>
            </w:pPr>
            <w:r>
              <w:rPr>
                <w:rFonts w:hint="eastAsia" w:ascii="仿宋" w:hAnsi="仿宋" w:eastAsia="仿宋"/>
                <w:color w:val="auto"/>
                <w:sz w:val="24"/>
                <w:highlight w:val="none"/>
              </w:rPr>
              <w:t>采购代理服务费：成交供应商在领取成交通知书时，采购代理机构向成交供应商收取</w:t>
            </w:r>
            <w:r>
              <w:rPr>
                <w:rFonts w:hint="eastAsia" w:ascii="仿宋" w:hAnsi="仿宋" w:eastAsia="仿宋"/>
                <w:color w:val="auto"/>
                <w:sz w:val="24"/>
                <w:highlight w:val="none"/>
                <w:lang w:val="en-US" w:eastAsia="zh-CN"/>
              </w:rPr>
              <w:t>3000</w:t>
            </w:r>
            <w:r>
              <w:rPr>
                <w:rFonts w:hint="eastAsia" w:ascii="仿宋" w:hAnsi="仿宋" w:eastAsia="仿宋"/>
                <w:color w:val="auto"/>
                <w:sz w:val="24"/>
                <w:highlight w:val="none"/>
              </w:rPr>
              <w:t>元采购代理服务费，采购需求及采购实施计划编制、一般性审查费</w:t>
            </w:r>
            <w:r>
              <w:rPr>
                <w:rFonts w:hint="eastAsia" w:ascii="仿宋" w:hAnsi="仿宋" w:eastAsia="仿宋"/>
                <w:color w:val="auto"/>
                <w:sz w:val="24"/>
                <w:highlight w:val="none"/>
                <w:lang w:val="en-US" w:eastAsia="zh-CN"/>
              </w:rPr>
              <w:t>3000</w:t>
            </w:r>
            <w:r>
              <w:rPr>
                <w:rFonts w:hint="eastAsia" w:ascii="仿宋" w:hAnsi="仿宋" w:eastAsia="仿宋"/>
                <w:color w:val="auto"/>
                <w:sz w:val="24"/>
                <w:highlight w:val="none"/>
              </w:rPr>
              <w:t>元。</w:t>
            </w:r>
          </w:p>
          <w:p>
            <w:pPr>
              <w:spacing w:line="520" w:lineRule="exact"/>
              <w:rPr>
                <w:rFonts w:ascii="仿宋" w:hAnsi="仿宋" w:eastAsia="仿宋"/>
                <w:color w:val="auto"/>
                <w:sz w:val="24"/>
                <w:highlight w:val="none"/>
              </w:rPr>
            </w:pPr>
            <w:r>
              <w:rPr>
                <w:rFonts w:hint="eastAsia" w:ascii="仿宋" w:hAnsi="仿宋" w:eastAsia="仿宋"/>
                <w:color w:val="auto"/>
                <w:sz w:val="24"/>
                <w:highlight w:val="none"/>
              </w:rPr>
              <w:t>采购代理费转入以下账户</w:t>
            </w:r>
            <w:r>
              <w:rPr>
                <w:rFonts w:hint="eastAsia" w:ascii="仿宋" w:hAnsi="仿宋" w:eastAsia="仿宋"/>
                <w:b/>
                <w:color w:val="auto"/>
                <w:sz w:val="24"/>
                <w:highlight w:val="none"/>
              </w:rPr>
              <w:t>（注：非保证金转入账户）</w:t>
            </w:r>
            <w:r>
              <w:rPr>
                <w:rFonts w:hint="eastAsia" w:ascii="仿宋" w:hAnsi="仿宋" w:eastAsia="仿宋"/>
                <w:color w:val="auto"/>
                <w:sz w:val="24"/>
                <w:highlight w:val="none"/>
              </w:rPr>
              <w:t>：</w:t>
            </w:r>
          </w:p>
          <w:p>
            <w:pPr>
              <w:tabs>
                <w:tab w:val="left" w:pos="1620"/>
              </w:tabs>
              <w:spacing w:line="420" w:lineRule="exact"/>
              <w:rPr>
                <w:rFonts w:ascii="仿宋" w:hAnsi="仿宋" w:eastAsia="仿宋"/>
                <w:color w:val="auto"/>
                <w:sz w:val="24"/>
                <w:highlight w:val="none"/>
              </w:rPr>
            </w:pPr>
            <w:r>
              <w:rPr>
                <w:rFonts w:hint="eastAsia" w:ascii="仿宋" w:hAnsi="仿宋" w:eastAsia="仿宋"/>
                <w:color w:val="auto"/>
                <w:sz w:val="24"/>
                <w:highlight w:val="none"/>
              </w:rPr>
              <w:t>开户单位：江西骏宏招标咨询有限公司</w:t>
            </w:r>
          </w:p>
          <w:p>
            <w:pPr>
              <w:tabs>
                <w:tab w:val="left" w:pos="1620"/>
              </w:tabs>
              <w:spacing w:line="420" w:lineRule="exact"/>
              <w:rPr>
                <w:rFonts w:ascii="仿宋" w:hAnsi="仿宋" w:eastAsia="仿宋"/>
                <w:color w:val="auto"/>
                <w:sz w:val="24"/>
                <w:highlight w:val="none"/>
              </w:rPr>
            </w:pPr>
            <w:r>
              <w:rPr>
                <w:rFonts w:hint="eastAsia" w:ascii="仿宋" w:hAnsi="仿宋" w:eastAsia="仿宋"/>
                <w:color w:val="auto"/>
                <w:sz w:val="24"/>
                <w:highlight w:val="none"/>
              </w:rPr>
              <w:t xml:space="preserve">开户银行：中国银行南昌市会展路支行 </w:t>
            </w:r>
          </w:p>
          <w:p>
            <w:pPr>
              <w:rPr>
                <w:color w:val="auto"/>
                <w:highlight w:val="none"/>
              </w:rPr>
            </w:pPr>
            <w:r>
              <w:rPr>
                <w:rFonts w:hint="eastAsia" w:ascii="仿宋" w:hAnsi="仿宋" w:eastAsia="仿宋"/>
                <w:color w:val="auto"/>
                <w:sz w:val="24"/>
                <w:highlight w:val="none"/>
              </w:rPr>
              <w:t>账    号:  203727935076</w:t>
            </w:r>
          </w:p>
        </w:tc>
      </w:tr>
    </w:tbl>
    <w:p>
      <w:pPr>
        <w:rPr>
          <w:rFonts w:ascii="仿宋" w:hAnsi="仿宋" w:eastAsia="仿宋"/>
          <w:color w:val="auto"/>
          <w:highlight w:val="none"/>
        </w:rPr>
      </w:pPr>
    </w:p>
    <w:p>
      <w:pPr>
        <w:rPr>
          <w:rFonts w:ascii="仿宋" w:hAnsi="仿宋" w:eastAsia="仿宋"/>
          <w:color w:val="auto"/>
          <w:highlight w:val="none"/>
        </w:rPr>
      </w:pPr>
      <w:r>
        <w:rPr>
          <w:rFonts w:ascii="仿宋" w:hAnsi="仿宋" w:eastAsia="仿宋"/>
          <w:b/>
          <w:color w:val="auto"/>
          <w:highlight w:val="none"/>
        </w:rPr>
        <w:t>注：本表是对谈判文件“供应商须知”的具体补充和修改，如与谈判文件其他部分内容有差异，应以本资料表为准</w:t>
      </w:r>
      <w:r>
        <w:rPr>
          <w:rFonts w:ascii="仿宋" w:hAnsi="仿宋" w:eastAsia="仿宋"/>
          <w:color w:val="auto"/>
          <w:highlight w:val="none"/>
        </w:rPr>
        <w:t>。</w:t>
      </w:r>
    </w:p>
    <w:p>
      <w:pPr>
        <w:rPr>
          <w:rFonts w:ascii="仿宋" w:hAnsi="仿宋" w:eastAsia="仿宋"/>
          <w:color w:val="auto"/>
          <w:highlight w:val="none"/>
        </w:rPr>
      </w:pPr>
    </w:p>
    <w:p>
      <w:pPr>
        <w:rPr>
          <w:rFonts w:ascii="仿宋" w:hAnsi="仿宋" w:eastAsia="仿宋"/>
          <w:color w:val="auto"/>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rPr>
          <w:rFonts w:ascii="仿宋" w:hAnsi="仿宋" w:eastAsia="仿宋"/>
          <w:color w:val="auto"/>
          <w:sz w:val="24"/>
          <w:highlight w:val="none"/>
        </w:rPr>
      </w:pPr>
    </w:p>
    <w:p>
      <w:pPr>
        <w:pStyle w:val="3"/>
        <w:rPr>
          <w:rFonts w:ascii="仿宋" w:hAnsi="仿宋" w:eastAsia="仿宋"/>
          <w:color w:val="auto"/>
          <w:highlight w:val="none"/>
        </w:rPr>
      </w:pPr>
      <w:r>
        <w:rPr>
          <w:rFonts w:ascii="仿宋" w:hAnsi="仿宋" w:eastAsia="仿宋"/>
          <w:b w:val="0"/>
          <w:bCs w:val="0"/>
          <w:color w:val="auto"/>
          <w:sz w:val="24"/>
          <w:szCs w:val="24"/>
          <w:highlight w:val="none"/>
        </w:rPr>
        <w:br w:type="page"/>
      </w:r>
      <w:bookmarkStart w:id="53" w:name="_Toc21391"/>
      <w:r>
        <w:rPr>
          <w:rFonts w:hint="eastAsia" w:ascii="仿宋" w:hAnsi="仿宋" w:eastAsia="仿宋"/>
          <w:color w:val="auto"/>
          <w:highlight w:val="none"/>
        </w:rPr>
        <w:t>一、说明</w:t>
      </w:r>
      <w:bookmarkEnd w:id="53"/>
    </w:p>
    <w:p>
      <w:pPr>
        <w:numPr>
          <w:ilvl w:val="0"/>
          <w:numId w:val="6"/>
        </w:numPr>
        <w:tabs>
          <w:tab w:val="left" w:pos="720"/>
        </w:tabs>
        <w:spacing w:line="520" w:lineRule="exact"/>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适用范围</w:t>
      </w:r>
    </w:p>
    <w:p>
      <w:pPr>
        <w:pStyle w:val="67"/>
        <w:tabs>
          <w:tab w:val="left" w:pos="1063"/>
        </w:tabs>
        <w:autoSpaceDE w:val="0"/>
        <w:autoSpaceDN w:val="0"/>
        <w:spacing w:line="520" w:lineRule="exact"/>
        <w:ind w:left="907" w:firstLine="0" w:firstLineChars="0"/>
        <w:rPr>
          <w:rFonts w:ascii="仿宋" w:hAnsi="仿宋" w:eastAsia="仿宋"/>
          <w:color w:val="auto"/>
          <w:sz w:val="24"/>
          <w:highlight w:val="none"/>
        </w:rPr>
      </w:pPr>
      <w:r>
        <w:rPr>
          <w:rFonts w:ascii="仿宋" w:hAnsi="仿宋" w:eastAsia="仿宋"/>
          <w:color w:val="auto"/>
          <w:sz w:val="24"/>
          <w:highlight w:val="none"/>
        </w:rPr>
        <w:t>本谈判文件仅适用于本项目所述货物及相关服务的采购。</w:t>
      </w:r>
    </w:p>
    <w:p>
      <w:pPr>
        <w:numPr>
          <w:ilvl w:val="0"/>
          <w:numId w:val="6"/>
        </w:numPr>
        <w:tabs>
          <w:tab w:val="left" w:pos="720"/>
        </w:tabs>
        <w:spacing w:line="520" w:lineRule="exact"/>
        <w:rPr>
          <w:rFonts w:ascii="仿宋" w:hAnsi="仿宋" w:eastAsia="仿宋" w:cs="宋体"/>
          <w:b/>
          <w:bCs/>
          <w:color w:val="auto"/>
          <w:kern w:val="0"/>
          <w:sz w:val="24"/>
          <w:highlight w:val="none"/>
        </w:rPr>
      </w:pPr>
      <w:bookmarkStart w:id="54" w:name="_Toc286758306"/>
      <w:r>
        <w:rPr>
          <w:rFonts w:hint="eastAsia" w:ascii="仿宋" w:hAnsi="仿宋" w:eastAsia="仿宋" w:cs="宋体"/>
          <w:b/>
          <w:bCs/>
          <w:color w:val="auto"/>
          <w:kern w:val="0"/>
          <w:sz w:val="24"/>
          <w:highlight w:val="none"/>
        </w:rPr>
        <w:t>定义</w:t>
      </w:r>
      <w:bookmarkEnd w:id="54"/>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“采购人”详见“供应商须知前附表”。</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“采购代理机构” 详见“供应商须知前附表”。</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“供应商”是指参加谈判活动的法人、其它组织或者自然人。</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货物或产品：系指本谈判文件中第四章所述货物及与之相关的服务。</w:t>
      </w:r>
    </w:p>
    <w:p>
      <w:pPr>
        <w:numPr>
          <w:ilvl w:val="0"/>
          <w:numId w:val="6"/>
        </w:numPr>
        <w:tabs>
          <w:tab w:val="left" w:pos="720"/>
        </w:tabs>
        <w:spacing w:line="520" w:lineRule="exact"/>
        <w:rPr>
          <w:rFonts w:ascii="仿宋" w:hAnsi="仿宋" w:eastAsia="仿宋" w:cs="宋体"/>
          <w:b/>
          <w:bCs/>
          <w:color w:val="auto"/>
          <w:kern w:val="0"/>
          <w:sz w:val="24"/>
          <w:highlight w:val="none"/>
        </w:rPr>
      </w:pPr>
      <w:r>
        <w:rPr>
          <w:rFonts w:ascii="仿宋" w:hAnsi="仿宋" w:eastAsia="仿宋" w:cs="宋体"/>
          <w:b/>
          <w:bCs/>
          <w:color w:val="auto"/>
          <w:kern w:val="0"/>
          <w:sz w:val="24"/>
          <w:highlight w:val="none"/>
        </w:rPr>
        <w:t>资金来源</w:t>
      </w:r>
    </w:p>
    <w:p>
      <w:pPr>
        <w:spacing w:line="520" w:lineRule="exact"/>
        <w:ind w:left="907"/>
        <w:rPr>
          <w:rFonts w:ascii="仿宋" w:hAnsi="仿宋" w:eastAsia="仿宋"/>
          <w:color w:val="auto"/>
          <w:sz w:val="24"/>
          <w:highlight w:val="none"/>
        </w:rPr>
      </w:pPr>
      <w:r>
        <w:rPr>
          <w:rFonts w:ascii="仿宋" w:hAnsi="仿宋" w:eastAsia="仿宋"/>
          <w:color w:val="auto"/>
          <w:sz w:val="24"/>
          <w:highlight w:val="none"/>
        </w:rPr>
        <w:t>采购人已获得足以支付本次</w:t>
      </w:r>
      <w:r>
        <w:rPr>
          <w:rFonts w:hint="eastAsia" w:ascii="仿宋" w:hAnsi="仿宋" w:eastAsia="仿宋"/>
          <w:color w:val="auto"/>
          <w:sz w:val="24"/>
          <w:highlight w:val="none"/>
        </w:rPr>
        <w:t>谈判采购</w:t>
      </w:r>
      <w:r>
        <w:rPr>
          <w:rFonts w:ascii="仿宋" w:hAnsi="仿宋" w:eastAsia="仿宋"/>
          <w:color w:val="auto"/>
          <w:sz w:val="24"/>
          <w:highlight w:val="none"/>
        </w:rPr>
        <w:t>后所签订合同项下的款项。</w:t>
      </w:r>
      <w:bookmarkStart w:id="55" w:name="_TOC_250061"/>
      <w:bookmarkEnd w:id="55"/>
      <w:bookmarkStart w:id="56" w:name="_TOC_250060"/>
      <w:bookmarkEnd w:id="56"/>
    </w:p>
    <w:p>
      <w:pPr>
        <w:numPr>
          <w:ilvl w:val="0"/>
          <w:numId w:val="6"/>
        </w:numPr>
        <w:tabs>
          <w:tab w:val="left" w:pos="720"/>
        </w:tabs>
        <w:spacing w:line="520" w:lineRule="exact"/>
        <w:rPr>
          <w:rFonts w:ascii="仿宋" w:hAnsi="仿宋" w:eastAsia="仿宋" w:cs="宋体"/>
          <w:b/>
          <w:bCs/>
          <w:color w:val="auto"/>
          <w:kern w:val="0"/>
          <w:sz w:val="24"/>
          <w:highlight w:val="none"/>
        </w:rPr>
      </w:pPr>
      <w:bookmarkStart w:id="57" w:name="_Toc286758307"/>
      <w:r>
        <w:rPr>
          <w:rFonts w:hint="eastAsia" w:ascii="仿宋" w:hAnsi="仿宋" w:eastAsia="仿宋" w:cs="宋体"/>
          <w:b/>
          <w:bCs/>
          <w:color w:val="auto"/>
          <w:kern w:val="0"/>
          <w:sz w:val="24"/>
          <w:highlight w:val="none"/>
        </w:rPr>
        <w:t>合格供应商</w:t>
      </w:r>
      <w:bookmarkEnd w:id="57"/>
    </w:p>
    <w:p>
      <w:pPr>
        <w:numPr>
          <w:ilvl w:val="1"/>
          <w:numId w:val="6"/>
        </w:numPr>
        <w:spacing w:line="520" w:lineRule="exact"/>
        <w:rPr>
          <w:rFonts w:ascii="仿宋" w:hAnsi="仿宋" w:eastAsia="仿宋"/>
          <w:color w:val="auto"/>
          <w:sz w:val="24"/>
          <w:highlight w:val="none"/>
        </w:rPr>
      </w:pPr>
      <w:bookmarkStart w:id="58" w:name="_Toc286758308"/>
      <w:r>
        <w:rPr>
          <w:rFonts w:ascii="仿宋" w:hAnsi="仿宋" w:eastAsia="仿宋"/>
          <w:color w:val="auto"/>
          <w:sz w:val="24"/>
          <w:highlight w:val="none"/>
        </w:rPr>
        <w:t>合格供应商的资格要求详见</w:t>
      </w:r>
      <w:r>
        <w:rPr>
          <w:rFonts w:hint="eastAsia" w:ascii="仿宋" w:hAnsi="仿宋" w:eastAsia="仿宋"/>
          <w:color w:val="auto"/>
          <w:sz w:val="24"/>
          <w:highlight w:val="none"/>
        </w:rPr>
        <w:t>“供应商须知前附表”</w:t>
      </w:r>
      <w:r>
        <w:rPr>
          <w:rFonts w:ascii="仿宋" w:hAnsi="仿宋" w:eastAsia="仿宋"/>
          <w:color w:val="auto"/>
          <w:sz w:val="24"/>
          <w:highlight w:val="none"/>
        </w:rPr>
        <w:t>。</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除非谈判文件另有规定，本次</w:t>
      </w:r>
      <w:r>
        <w:rPr>
          <w:rFonts w:hint="eastAsia" w:ascii="仿宋" w:hAnsi="仿宋" w:eastAsia="仿宋"/>
          <w:color w:val="auto"/>
          <w:sz w:val="24"/>
          <w:highlight w:val="none"/>
        </w:rPr>
        <w:t>采购</w:t>
      </w:r>
      <w:r>
        <w:rPr>
          <w:rFonts w:ascii="仿宋" w:hAnsi="仿宋" w:eastAsia="仿宋"/>
          <w:color w:val="auto"/>
          <w:sz w:val="24"/>
          <w:highlight w:val="none"/>
        </w:rPr>
        <w:t>不允许转包及违法分包。</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单位负责人为同一人或者存在直接控股、管理关系的不同供应商，不得参加同一合同项下的采购活动。</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为本项目提供整体设计、规范编制或者项目管理、监理、检查等服务的供应商，不得参加本次采购活动。</w:t>
      </w:r>
    </w:p>
    <w:p>
      <w:pPr>
        <w:numPr>
          <w:ilvl w:val="1"/>
          <w:numId w:val="6"/>
        </w:numPr>
        <w:spacing w:line="520" w:lineRule="exact"/>
        <w:rPr>
          <w:rFonts w:ascii="仿宋" w:hAnsi="仿宋" w:eastAsia="仿宋"/>
          <w:b/>
          <w:color w:val="auto"/>
          <w:sz w:val="24"/>
          <w:highlight w:val="none"/>
        </w:rPr>
      </w:pPr>
      <w:r>
        <w:rPr>
          <w:rFonts w:ascii="仿宋" w:hAnsi="仿宋" w:eastAsia="仿宋"/>
          <w:b/>
          <w:color w:val="auto"/>
          <w:sz w:val="24"/>
          <w:highlight w:val="none"/>
        </w:rPr>
        <w:t>供应商家数认定</w:t>
      </w:r>
    </w:p>
    <w:p>
      <w:pPr>
        <w:pStyle w:val="67"/>
        <w:numPr>
          <w:ilvl w:val="2"/>
          <w:numId w:val="6"/>
        </w:numPr>
        <w:tabs>
          <w:tab w:val="left" w:pos="879"/>
        </w:tabs>
        <w:autoSpaceDE w:val="0"/>
        <w:autoSpaceDN w:val="0"/>
        <w:spacing w:line="520" w:lineRule="exact"/>
        <w:ind w:left="142" w:firstLine="992" w:firstLineChars="0"/>
        <w:jc w:val="left"/>
        <w:rPr>
          <w:rFonts w:ascii="仿宋" w:hAnsi="仿宋" w:eastAsia="仿宋"/>
          <w:color w:val="auto"/>
          <w:sz w:val="24"/>
          <w:highlight w:val="none"/>
        </w:rPr>
      </w:pPr>
      <w:r>
        <w:rPr>
          <w:rFonts w:ascii="仿宋" w:hAnsi="仿宋" w:eastAsia="仿宋"/>
          <w:color w:val="auto"/>
          <w:sz w:val="24"/>
          <w:highlight w:val="none"/>
        </w:rPr>
        <w:t>采用最低价法的，提供相同品牌产品的不同供应商参加同一合同项下谈判的，以其中通过资格审查、符合性审查且报价最低的参加谈判；报价相同的，由采购人随机抽取确定一个参加谈判的供应商，其他谈判响应文件无效。</w:t>
      </w:r>
    </w:p>
    <w:p>
      <w:pPr>
        <w:pStyle w:val="67"/>
        <w:numPr>
          <w:ilvl w:val="2"/>
          <w:numId w:val="6"/>
        </w:numPr>
        <w:tabs>
          <w:tab w:val="left" w:pos="879"/>
        </w:tabs>
        <w:autoSpaceDE w:val="0"/>
        <w:autoSpaceDN w:val="0"/>
        <w:spacing w:line="520" w:lineRule="exact"/>
        <w:ind w:left="142" w:firstLine="992" w:firstLineChars="0"/>
        <w:jc w:val="left"/>
        <w:rPr>
          <w:rFonts w:ascii="仿宋" w:hAnsi="仿宋" w:eastAsia="仿宋"/>
          <w:color w:val="auto"/>
          <w:sz w:val="24"/>
          <w:highlight w:val="none"/>
        </w:rPr>
      </w:pPr>
      <w:r>
        <w:rPr>
          <w:rFonts w:ascii="仿宋" w:hAnsi="仿宋" w:eastAsia="仿宋"/>
          <w:color w:val="auto"/>
          <w:sz w:val="24"/>
          <w:highlight w:val="none"/>
        </w:rPr>
        <w:t>若该项目或该包有两种及两种以上货物时，将按照谈判文件规定的核心产品及前两款规定处理。多家供应商提供的核心产品品牌相同的，按前款规定处理。</w:t>
      </w:r>
    </w:p>
    <w:p>
      <w:pPr>
        <w:numPr>
          <w:ilvl w:val="1"/>
          <w:numId w:val="6"/>
        </w:numPr>
        <w:spacing w:line="520" w:lineRule="exact"/>
        <w:rPr>
          <w:rFonts w:ascii="仿宋" w:hAnsi="仿宋" w:eastAsia="仿宋"/>
          <w:b/>
          <w:color w:val="auto"/>
          <w:sz w:val="24"/>
          <w:highlight w:val="none"/>
        </w:rPr>
      </w:pPr>
      <w:r>
        <w:rPr>
          <w:rFonts w:ascii="仿宋" w:hAnsi="仿宋" w:eastAsia="仿宋"/>
          <w:b/>
          <w:color w:val="auto"/>
          <w:sz w:val="24"/>
          <w:highlight w:val="none"/>
        </w:rPr>
        <w:t>联合体谈判</w:t>
      </w:r>
    </w:p>
    <w:p>
      <w:pPr>
        <w:pStyle w:val="67"/>
        <w:numPr>
          <w:ilvl w:val="2"/>
          <w:numId w:val="6"/>
        </w:numPr>
        <w:tabs>
          <w:tab w:val="left" w:pos="879"/>
        </w:tabs>
        <w:autoSpaceDE w:val="0"/>
        <w:autoSpaceDN w:val="0"/>
        <w:spacing w:line="520" w:lineRule="exact"/>
        <w:ind w:firstLineChars="0"/>
        <w:jc w:val="left"/>
        <w:rPr>
          <w:rFonts w:ascii="仿宋" w:hAnsi="仿宋" w:eastAsia="仿宋"/>
          <w:color w:val="auto"/>
          <w:sz w:val="24"/>
          <w:highlight w:val="none"/>
        </w:rPr>
      </w:pPr>
      <w:r>
        <w:rPr>
          <w:rFonts w:ascii="仿宋" w:hAnsi="仿宋" w:eastAsia="仿宋"/>
          <w:color w:val="auto"/>
          <w:sz w:val="24"/>
          <w:highlight w:val="none"/>
        </w:rPr>
        <w:t>是否接受联合体谈判，详见</w:t>
      </w:r>
      <w:r>
        <w:rPr>
          <w:rFonts w:hint="eastAsia" w:ascii="仿宋" w:hAnsi="仿宋" w:eastAsia="仿宋"/>
          <w:color w:val="auto"/>
          <w:sz w:val="24"/>
          <w:highlight w:val="none"/>
        </w:rPr>
        <w:t>本谈判文件“供应商须知前附表”。</w:t>
      </w:r>
    </w:p>
    <w:p>
      <w:pPr>
        <w:pStyle w:val="67"/>
        <w:numPr>
          <w:ilvl w:val="2"/>
          <w:numId w:val="6"/>
        </w:numPr>
        <w:tabs>
          <w:tab w:val="left" w:pos="879"/>
        </w:tabs>
        <w:autoSpaceDE w:val="0"/>
        <w:autoSpaceDN w:val="0"/>
        <w:spacing w:line="520" w:lineRule="exact"/>
        <w:ind w:left="142" w:firstLine="992" w:firstLineChars="0"/>
        <w:jc w:val="left"/>
        <w:rPr>
          <w:rFonts w:ascii="仿宋" w:hAnsi="仿宋" w:eastAsia="仿宋"/>
          <w:color w:val="auto"/>
          <w:sz w:val="24"/>
          <w:highlight w:val="none"/>
        </w:rPr>
      </w:pPr>
      <w:r>
        <w:rPr>
          <w:rFonts w:ascii="仿宋" w:hAnsi="仿宋" w:eastAsia="仿宋"/>
          <w:color w:val="auto"/>
          <w:sz w:val="24"/>
          <w:highlight w:val="none"/>
        </w:rPr>
        <w:t>两个以上的自然人、法人或者其他组织可以组成一个联合体，以一个供应商的身份共同参加采购。以联合体形式进行采购的，并应当提交联合体协议，载明联合体各方承担的工作和义务。联合体各方应当共同与采购人签订采购合同，就采购合同约定的事项对采购人承担连带责任。否则，将导致其谈判响应文件无效（适用联合体谈判）；</w:t>
      </w:r>
    </w:p>
    <w:p>
      <w:pPr>
        <w:pStyle w:val="67"/>
        <w:numPr>
          <w:ilvl w:val="2"/>
          <w:numId w:val="6"/>
        </w:numPr>
        <w:tabs>
          <w:tab w:val="left" w:pos="879"/>
        </w:tabs>
        <w:autoSpaceDE w:val="0"/>
        <w:autoSpaceDN w:val="0"/>
        <w:spacing w:line="520" w:lineRule="exact"/>
        <w:ind w:left="142" w:firstLine="992" w:firstLineChars="0"/>
        <w:jc w:val="left"/>
        <w:rPr>
          <w:rFonts w:ascii="仿宋" w:hAnsi="仿宋" w:eastAsia="仿宋"/>
          <w:color w:val="auto"/>
          <w:sz w:val="24"/>
          <w:highlight w:val="none"/>
        </w:rPr>
      </w:pPr>
      <w:r>
        <w:rPr>
          <w:rFonts w:ascii="仿宋" w:hAnsi="仿宋" w:eastAsia="仿宋"/>
          <w:color w:val="auto"/>
          <w:sz w:val="24"/>
          <w:highlight w:val="none"/>
        </w:rPr>
        <w:t>联合体各方均应当满足相应的资格条件，项目当中有资质要求，联合体当中从事这方面工作的供应商必须具备相应的资质。联合体</w:t>
      </w:r>
      <w:r>
        <w:rPr>
          <w:rFonts w:hint="eastAsia" w:ascii="仿宋" w:hAnsi="仿宋" w:eastAsia="仿宋"/>
          <w:color w:val="auto"/>
          <w:sz w:val="24"/>
          <w:highlight w:val="none"/>
        </w:rPr>
        <w:t>成交</w:t>
      </w:r>
      <w:r>
        <w:rPr>
          <w:rFonts w:ascii="仿宋" w:hAnsi="仿宋" w:eastAsia="仿宋"/>
          <w:color w:val="auto"/>
          <w:sz w:val="24"/>
          <w:highlight w:val="none"/>
        </w:rPr>
        <w:t>后，必须由联合体中具备“相应”资质的供应商承担，否则将承担违约责任，并赔偿因违约给采购人造成的一切损失。</w:t>
      </w:r>
    </w:p>
    <w:p>
      <w:pPr>
        <w:pStyle w:val="67"/>
        <w:numPr>
          <w:ilvl w:val="2"/>
          <w:numId w:val="6"/>
        </w:numPr>
        <w:tabs>
          <w:tab w:val="left" w:pos="879"/>
        </w:tabs>
        <w:autoSpaceDE w:val="0"/>
        <w:autoSpaceDN w:val="0"/>
        <w:spacing w:line="520" w:lineRule="exact"/>
        <w:ind w:left="142" w:firstLine="992" w:firstLineChars="0"/>
        <w:jc w:val="left"/>
        <w:rPr>
          <w:rFonts w:ascii="仿宋" w:hAnsi="仿宋" w:eastAsia="仿宋"/>
          <w:color w:val="auto"/>
          <w:sz w:val="24"/>
          <w:highlight w:val="none"/>
        </w:rPr>
      </w:pPr>
      <w:r>
        <w:rPr>
          <w:rFonts w:ascii="仿宋" w:hAnsi="仿宋" w:eastAsia="仿宋"/>
          <w:color w:val="auto"/>
          <w:sz w:val="24"/>
          <w:highlight w:val="none"/>
        </w:rPr>
        <w:t>以联合体参加谈判的，联合体中有同类资质的供应商按联合体分工承担相同工作的， 应当按照资质等级较低的供应商确定资质等级（适用联合体谈判）；</w:t>
      </w:r>
    </w:p>
    <w:p>
      <w:pPr>
        <w:pStyle w:val="67"/>
        <w:numPr>
          <w:ilvl w:val="2"/>
          <w:numId w:val="6"/>
        </w:numPr>
        <w:tabs>
          <w:tab w:val="left" w:pos="879"/>
        </w:tabs>
        <w:autoSpaceDE w:val="0"/>
        <w:autoSpaceDN w:val="0"/>
        <w:spacing w:line="520" w:lineRule="exact"/>
        <w:ind w:left="142" w:firstLine="992" w:firstLineChars="0"/>
        <w:jc w:val="left"/>
        <w:rPr>
          <w:rFonts w:ascii="仿宋" w:hAnsi="仿宋" w:eastAsia="仿宋"/>
          <w:color w:val="auto"/>
          <w:sz w:val="24"/>
          <w:highlight w:val="none"/>
        </w:rPr>
      </w:pPr>
      <w:r>
        <w:rPr>
          <w:rFonts w:ascii="仿宋" w:hAnsi="仿宋" w:eastAsia="仿宋"/>
          <w:color w:val="auto"/>
          <w:sz w:val="24"/>
          <w:highlight w:val="none"/>
        </w:rPr>
        <w:t>联合体各方不得再单独参加或者与其他供应商另外组成联合体参加同一合同项下的采购活动（适用联合体谈判）。</w:t>
      </w:r>
    </w:p>
    <w:p>
      <w:pPr>
        <w:numPr>
          <w:ilvl w:val="0"/>
          <w:numId w:val="6"/>
        </w:numPr>
        <w:tabs>
          <w:tab w:val="left" w:pos="720"/>
        </w:tabs>
        <w:spacing w:line="520" w:lineRule="exact"/>
        <w:rPr>
          <w:rFonts w:ascii="仿宋" w:hAnsi="仿宋" w:eastAsia="仿宋"/>
          <w:b/>
          <w:color w:val="auto"/>
          <w:sz w:val="24"/>
          <w:highlight w:val="none"/>
        </w:rPr>
      </w:pPr>
      <w:r>
        <w:rPr>
          <w:rFonts w:ascii="仿宋" w:hAnsi="仿宋" w:eastAsia="仿宋"/>
          <w:b/>
          <w:color w:val="auto"/>
          <w:sz w:val="24"/>
          <w:highlight w:val="none"/>
        </w:rPr>
        <w:t>供应商授权委托</w:t>
      </w:r>
    </w:p>
    <w:p>
      <w:pPr>
        <w:spacing w:line="520" w:lineRule="exact"/>
        <w:ind w:firstLine="573" w:firstLineChars="239"/>
        <w:rPr>
          <w:rFonts w:ascii="仿宋" w:hAnsi="仿宋" w:eastAsia="仿宋"/>
          <w:color w:val="auto"/>
          <w:sz w:val="24"/>
          <w:highlight w:val="none"/>
        </w:rPr>
      </w:pPr>
      <w:r>
        <w:rPr>
          <w:rFonts w:ascii="仿宋" w:hAnsi="仿宋" w:eastAsia="仿宋"/>
          <w:color w:val="auto"/>
          <w:sz w:val="24"/>
          <w:highlight w:val="none"/>
        </w:rPr>
        <w:t>供应商代表为法定代表人的，谈判时需提供《法定代表人资格证明书》（格式详见谈判文件第</w:t>
      </w:r>
      <w:r>
        <w:rPr>
          <w:rFonts w:hint="eastAsia" w:ascii="仿宋" w:hAnsi="仿宋" w:eastAsia="仿宋"/>
          <w:color w:val="auto"/>
          <w:sz w:val="24"/>
          <w:highlight w:val="none"/>
        </w:rPr>
        <w:t>五</w:t>
      </w:r>
      <w:r>
        <w:rPr>
          <w:rFonts w:ascii="仿宋" w:hAnsi="仿宋" w:eastAsia="仿宋"/>
          <w:color w:val="auto"/>
          <w:sz w:val="24"/>
          <w:highlight w:val="none"/>
        </w:rPr>
        <w:t>章）；非法定代表人参与谈判的，需提供《法定代表人资格证明书》和《法定代表人授权委托书》（格式详见谈判文件第</w:t>
      </w:r>
      <w:r>
        <w:rPr>
          <w:rFonts w:hint="eastAsia" w:ascii="仿宋" w:hAnsi="仿宋" w:eastAsia="仿宋"/>
          <w:color w:val="auto"/>
          <w:sz w:val="24"/>
          <w:highlight w:val="none"/>
        </w:rPr>
        <w:t>五</w:t>
      </w:r>
      <w:r>
        <w:rPr>
          <w:rFonts w:ascii="仿宋" w:hAnsi="仿宋" w:eastAsia="仿宋"/>
          <w:color w:val="auto"/>
          <w:sz w:val="24"/>
          <w:highlight w:val="none"/>
        </w:rPr>
        <w:t>章）。</w:t>
      </w:r>
    </w:p>
    <w:p>
      <w:pPr>
        <w:numPr>
          <w:ilvl w:val="0"/>
          <w:numId w:val="6"/>
        </w:numPr>
        <w:tabs>
          <w:tab w:val="left" w:pos="720"/>
        </w:tabs>
        <w:spacing w:line="520" w:lineRule="exact"/>
        <w:rPr>
          <w:rFonts w:ascii="仿宋" w:hAnsi="仿宋" w:eastAsia="仿宋"/>
          <w:b/>
          <w:color w:val="auto"/>
          <w:sz w:val="24"/>
          <w:highlight w:val="none"/>
        </w:rPr>
      </w:pPr>
      <w:r>
        <w:rPr>
          <w:rFonts w:hint="eastAsia" w:ascii="仿宋" w:hAnsi="仿宋" w:eastAsia="仿宋"/>
          <w:b/>
          <w:color w:val="auto"/>
          <w:sz w:val="24"/>
          <w:highlight w:val="none"/>
        </w:rPr>
        <w:t>谈判费用</w:t>
      </w:r>
      <w:bookmarkEnd w:id="58"/>
    </w:p>
    <w:p>
      <w:pPr>
        <w:spacing w:line="520" w:lineRule="exact"/>
        <w:ind w:firstLine="573" w:firstLineChars="239"/>
        <w:rPr>
          <w:rFonts w:ascii="仿宋" w:hAnsi="仿宋" w:eastAsia="仿宋"/>
          <w:color w:val="auto"/>
          <w:sz w:val="24"/>
          <w:highlight w:val="none"/>
        </w:rPr>
      </w:pPr>
      <w:r>
        <w:rPr>
          <w:rFonts w:hint="eastAsia" w:ascii="仿宋" w:hAnsi="仿宋" w:eastAsia="仿宋"/>
          <w:color w:val="auto"/>
          <w:sz w:val="24"/>
          <w:highlight w:val="none"/>
        </w:rPr>
        <w:t>供应商应自行承担所有与准备和参加谈判有关的全部费用。不论谈判的结果如何，采购代理机构和采购人均无义务和责任承担这些费用。</w:t>
      </w:r>
    </w:p>
    <w:p>
      <w:pPr>
        <w:numPr>
          <w:ilvl w:val="0"/>
          <w:numId w:val="6"/>
        </w:numPr>
        <w:tabs>
          <w:tab w:val="left" w:pos="720"/>
        </w:tabs>
        <w:spacing w:line="520" w:lineRule="exact"/>
        <w:rPr>
          <w:rFonts w:ascii="仿宋" w:hAnsi="仿宋" w:eastAsia="仿宋" w:cs="宋体"/>
          <w:b/>
          <w:bCs/>
          <w:color w:val="auto"/>
          <w:kern w:val="0"/>
          <w:sz w:val="24"/>
          <w:highlight w:val="none"/>
        </w:rPr>
      </w:pPr>
      <w:bookmarkStart w:id="59" w:name="_Toc286758309"/>
      <w:r>
        <w:rPr>
          <w:rFonts w:hint="eastAsia" w:ascii="仿宋" w:hAnsi="仿宋" w:eastAsia="仿宋"/>
          <w:b/>
          <w:color w:val="auto"/>
          <w:sz w:val="24"/>
          <w:highlight w:val="none"/>
        </w:rPr>
        <w:t>现场踏勘</w:t>
      </w:r>
    </w:p>
    <w:p>
      <w:pPr>
        <w:tabs>
          <w:tab w:val="left" w:pos="720"/>
        </w:tabs>
        <w:spacing w:line="520" w:lineRule="exact"/>
        <w:ind w:left="567"/>
        <w:rPr>
          <w:rFonts w:ascii="仿宋" w:hAnsi="仿宋" w:eastAsia="仿宋" w:cs="宋体"/>
          <w:b/>
          <w:bCs/>
          <w:color w:val="auto"/>
          <w:kern w:val="0"/>
          <w:sz w:val="24"/>
          <w:highlight w:val="none"/>
        </w:rPr>
      </w:pPr>
      <w:r>
        <w:rPr>
          <w:rFonts w:ascii="仿宋" w:hAnsi="仿宋" w:eastAsia="仿宋"/>
          <w:color w:val="auto"/>
          <w:sz w:val="24"/>
          <w:highlight w:val="none"/>
        </w:rPr>
        <w:t>本项目是否</w:t>
      </w:r>
      <w:r>
        <w:rPr>
          <w:rFonts w:hint="eastAsia" w:ascii="仿宋" w:hAnsi="仿宋" w:eastAsia="仿宋"/>
          <w:color w:val="auto"/>
          <w:sz w:val="24"/>
          <w:highlight w:val="none"/>
        </w:rPr>
        <w:t>现场踏勘</w:t>
      </w:r>
      <w:r>
        <w:rPr>
          <w:rFonts w:ascii="仿宋" w:hAnsi="仿宋" w:eastAsia="仿宋"/>
          <w:color w:val="auto"/>
          <w:sz w:val="24"/>
          <w:highlight w:val="none"/>
        </w:rPr>
        <w:t>：详见“供应商须知前附表”。</w:t>
      </w:r>
    </w:p>
    <w:bookmarkEnd w:id="59"/>
    <w:p>
      <w:pPr>
        <w:pStyle w:val="3"/>
        <w:rPr>
          <w:rFonts w:ascii="仿宋" w:hAnsi="仿宋" w:eastAsia="仿宋"/>
          <w:color w:val="auto"/>
          <w:highlight w:val="none"/>
        </w:rPr>
      </w:pPr>
      <w:bookmarkStart w:id="60" w:name="_Toc12884"/>
      <w:bookmarkStart w:id="61" w:name="_Toc85603405"/>
      <w:bookmarkStart w:id="62" w:name="_Toc508606037"/>
      <w:bookmarkStart w:id="63" w:name="_Toc508605829"/>
      <w:bookmarkStart w:id="64" w:name="_Toc508525027"/>
      <w:bookmarkStart w:id="65" w:name="_Toc508606815"/>
      <w:r>
        <w:rPr>
          <w:rFonts w:hint="eastAsia" w:ascii="仿宋" w:hAnsi="仿宋" w:eastAsia="仿宋"/>
          <w:color w:val="auto"/>
          <w:highlight w:val="none"/>
        </w:rPr>
        <w:t>二、谈判文件</w:t>
      </w:r>
      <w:bookmarkEnd w:id="60"/>
      <w:bookmarkEnd w:id="61"/>
      <w:bookmarkEnd w:id="62"/>
      <w:bookmarkEnd w:id="63"/>
      <w:bookmarkEnd w:id="64"/>
      <w:bookmarkEnd w:id="65"/>
    </w:p>
    <w:p>
      <w:pPr>
        <w:numPr>
          <w:ilvl w:val="0"/>
          <w:numId w:val="6"/>
        </w:numPr>
        <w:tabs>
          <w:tab w:val="left" w:pos="720"/>
        </w:tabs>
        <w:spacing w:line="520" w:lineRule="exact"/>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谈判文件的构成</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 xml:space="preserve"> 谈判文件用以阐明所需货物及服务、谈判程序以及合同主要条款等。本谈判文件共</w:t>
      </w:r>
      <w:r>
        <w:rPr>
          <w:rFonts w:hint="eastAsia" w:ascii="仿宋" w:hAnsi="仿宋" w:eastAsia="仿宋"/>
          <w:color w:val="auto"/>
          <w:sz w:val="24"/>
          <w:highlight w:val="none"/>
        </w:rPr>
        <w:t>五</w:t>
      </w:r>
      <w:r>
        <w:rPr>
          <w:rFonts w:ascii="仿宋" w:hAnsi="仿宋" w:eastAsia="仿宋"/>
          <w:color w:val="auto"/>
          <w:sz w:val="24"/>
          <w:highlight w:val="none"/>
        </w:rPr>
        <w:t>章，各章的内容如下：</w:t>
      </w:r>
    </w:p>
    <w:p>
      <w:pPr>
        <w:spacing w:line="520" w:lineRule="exact"/>
        <w:ind w:left="567" w:right="-59"/>
        <w:rPr>
          <w:rFonts w:ascii="仿宋" w:hAnsi="仿宋" w:eastAsia="仿宋"/>
          <w:color w:val="auto"/>
          <w:sz w:val="24"/>
          <w:highlight w:val="none"/>
        </w:rPr>
      </w:pPr>
      <w:r>
        <w:rPr>
          <w:rFonts w:ascii="仿宋" w:hAnsi="仿宋" w:eastAsia="仿宋"/>
          <w:color w:val="auto"/>
          <w:sz w:val="24"/>
          <w:highlight w:val="none"/>
        </w:rPr>
        <w:t>第一章</w:t>
      </w:r>
      <w:r>
        <w:rPr>
          <w:rFonts w:ascii="仿宋" w:hAnsi="仿宋" w:eastAsia="仿宋"/>
          <w:color w:val="auto"/>
          <w:sz w:val="24"/>
          <w:highlight w:val="none"/>
        </w:rPr>
        <w:tab/>
      </w:r>
      <w:r>
        <w:rPr>
          <w:rFonts w:ascii="仿宋" w:hAnsi="仿宋" w:eastAsia="仿宋"/>
          <w:color w:val="auto"/>
          <w:sz w:val="24"/>
          <w:highlight w:val="none"/>
        </w:rPr>
        <w:t xml:space="preserve">谈判邀请函 </w:t>
      </w:r>
    </w:p>
    <w:p>
      <w:pPr>
        <w:tabs>
          <w:tab w:val="left" w:pos="1322"/>
        </w:tabs>
        <w:spacing w:line="520" w:lineRule="exact"/>
        <w:ind w:left="567" w:right="-59"/>
        <w:rPr>
          <w:rFonts w:ascii="仿宋" w:hAnsi="仿宋" w:eastAsia="仿宋"/>
          <w:color w:val="auto"/>
          <w:sz w:val="24"/>
          <w:highlight w:val="none"/>
        </w:rPr>
      </w:pPr>
      <w:r>
        <w:rPr>
          <w:rFonts w:ascii="仿宋" w:hAnsi="仿宋" w:eastAsia="仿宋"/>
          <w:color w:val="auto"/>
          <w:sz w:val="24"/>
          <w:highlight w:val="none"/>
        </w:rPr>
        <w:t>第二章</w:t>
      </w:r>
      <w:r>
        <w:rPr>
          <w:rFonts w:hint="eastAsia" w:ascii="仿宋" w:hAnsi="仿宋" w:eastAsia="仿宋"/>
          <w:color w:val="auto"/>
          <w:sz w:val="24"/>
          <w:highlight w:val="none"/>
        </w:rPr>
        <w:t xml:space="preserve"> </w:t>
      </w:r>
      <w:r>
        <w:rPr>
          <w:rFonts w:ascii="仿宋" w:hAnsi="仿宋" w:eastAsia="仿宋"/>
          <w:color w:val="auto"/>
          <w:sz w:val="24"/>
          <w:highlight w:val="none"/>
        </w:rPr>
        <w:tab/>
      </w:r>
      <w:r>
        <w:rPr>
          <w:rFonts w:ascii="仿宋" w:hAnsi="仿宋" w:eastAsia="仿宋"/>
          <w:color w:val="auto"/>
          <w:sz w:val="24"/>
          <w:highlight w:val="none"/>
        </w:rPr>
        <w:t>供应商须知</w:t>
      </w:r>
    </w:p>
    <w:p>
      <w:pPr>
        <w:spacing w:line="520" w:lineRule="exact"/>
        <w:ind w:left="567" w:right="-59"/>
        <w:rPr>
          <w:rFonts w:ascii="仿宋" w:hAnsi="仿宋" w:eastAsia="仿宋"/>
          <w:color w:val="auto"/>
          <w:sz w:val="24"/>
          <w:highlight w:val="none"/>
        </w:rPr>
      </w:pPr>
      <w:r>
        <w:rPr>
          <w:rFonts w:ascii="仿宋" w:hAnsi="仿宋" w:eastAsia="仿宋"/>
          <w:color w:val="auto"/>
          <w:sz w:val="24"/>
          <w:highlight w:val="none"/>
        </w:rPr>
        <w:t>第三章</w:t>
      </w:r>
      <w:r>
        <w:rPr>
          <w:rFonts w:ascii="仿宋" w:hAnsi="仿宋" w:eastAsia="仿宋"/>
          <w:color w:val="auto"/>
          <w:sz w:val="24"/>
          <w:highlight w:val="none"/>
        </w:rPr>
        <w:tab/>
      </w:r>
      <w:r>
        <w:rPr>
          <w:rFonts w:ascii="仿宋" w:hAnsi="仿宋" w:eastAsia="仿宋"/>
          <w:color w:val="auto"/>
          <w:sz w:val="24"/>
          <w:highlight w:val="none"/>
        </w:rPr>
        <w:t>项目采购需求</w:t>
      </w:r>
    </w:p>
    <w:p>
      <w:pPr>
        <w:spacing w:line="520" w:lineRule="exact"/>
        <w:ind w:left="567"/>
        <w:rPr>
          <w:rFonts w:ascii="仿宋" w:hAnsi="仿宋" w:eastAsia="仿宋"/>
          <w:color w:val="auto"/>
          <w:sz w:val="24"/>
          <w:highlight w:val="none"/>
        </w:rPr>
      </w:pPr>
      <w:r>
        <w:rPr>
          <w:rFonts w:ascii="仿宋" w:hAnsi="仿宋" w:eastAsia="仿宋"/>
          <w:color w:val="auto"/>
          <w:sz w:val="24"/>
          <w:highlight w:val="none"/>
        </w:rPr>
        <w:t>第四章</w:t>
      </w:r>
      <w:r>
        <w:rPr>
          <w:rFonts w:ascii="仿宋" w:hAnsi="仿宋" w:eastAsia="仿宋"/>
          <w:color w:val="auto"/>
          <w:sz w:val="24"/>
          <w:highlight w:val="none"/>
        </w:rPr>
        <w:tab/>
      </w:r>
      <w:r>
        <w:rPr>
          <w:rFonts w:ascii="仿宋" w:hAnsi="仿宋" w:eastAsia="仿宋"/>
          <w:color w:val="auto"/>
          <w:sz w:val="24"/>
          <w:highlight w:val="none"/>
        </w:rPr>
        <w:t>合同格式</w:t>
      </w:r>
    </w:p>
    <w:p>
      <w:pPr>
        <w:tabs>
          <w:tab w:val="left" w:pos="1322"/>
        </w:tabs>
        <w:spacing w:line="520" w:lineRule="exact"/>
        <w:ind w:left="567"/>
        <w:rPr>
          <w:rFonts w:ascii="仿宋" w:hAnsi="仿宋" w:eastAsia="仿宋"/>
          <w:color w:val="auto"/>
          <w:sz w:val="24"/>
          <w:highlight w:val="none"/>
        </w:rPr>
      </w:pPr>
      <w:r>
        <w:rPr>
          <w:rFonts w:ascii="仿宋" w:hAnsi="仿宋" w:eastAsia="仿宋"/>
          <w:color w:val="auto"/>
          <w:sz w:val="24"/>
          <w:highlight w:val="none"/>
        </w:rPr>
        <w:t>第五章</w:t>
      </w:r>
      <w:r>
        <w:rPr>
          <w:rFonts w:hint="eastAsia" w:ascii="仿宋" w:hAnsi="仿宋" w:eastAsia="仿宋"/>
          <w:color w:val="auto"/>
          <w:sz w:val="24"/>
          <w:highlight w:val="none"/>
        </w:rPr>
        <w:t xml:space="preserve"> </w:t>
      </w:r>
      <w:r>
        <w:rPr>
          <w:rFonts w:ascii="仿宋" w:hAnsi="仿宋" w:eastAsia="仿宋"/>
          <w:color w:val="auto"/>
          <w:sz w:val="24"/>
          <w:highlight w:val="none"/>
        </w:rPr>
        <w:tab/>
      </w:r>
      <w:r>
        <w:rPr>
          <w:rFonts w:ascii="仿宋" w:hAnsi="仿宋" w:eastAsia="仿宋"/>
          <w:color w:val="auto"/>
          <w:sz w:val="24"/>
          <w:highlight w:val="none"/>
        </w:rPr>
        <w:t>谈判响应文件格式</w:t>
      </w:r>
    </w:p>
    <w:p>
      <w:pPr>
        <w:spacing w:line="520" w:lineRule="exact"/>
        <w:ind w:firstLine="573" w:firstLineChars="239"/>
        <w:rPr>
          <w:rFonts w:ascii="仿宋" w:hAnsi="仿宋" w:eastAsia="仿宋"/>
          <w:color w:val="auto"/>
          <w:sz w:val="24"/>
          <w:highlight w:val="none"/>
        </w:rPr>
      </w:pPr>
      <w:r>
        <w:rPr>
          <w:rFonts w:ascii="仿宋" w:hAnsi="仿宋" w:eastAsia="仿宋"/>
          <w:color w:val="auto"/>
          <w:sz w:val="24"/>
          <w:highlight w:val="none"/>
        </w:rPr>
        <w:t>除上述内容外，采购人或采购代理机构发出的补充通知和其它正式有效函件均是谈判文件的组成部分</w:t>
      </w:r>
      <w:r>
        <w:rPr>
          <w:rFonts w:hint="eastAsia" w:ascii="仿宋" w:hAnsi="仿宋" w:eastAsia="仿宋"/>
          <w:color w:val="auto"/>
          <w:sz w:val="24"/>
          <w:highlight w:val="none"/>
        </w:rPr>
        <w:t>。</w:t>
      </w:r>
    </w:p>
    <w:p>
      <w:pPr>
        <w:spacing w:line="520" w:lineRule="exact"/>
        <w:ind w:firstLine="576" w:firstLineChars="239"/>
        <w:rPr>
          <w:rFonts w:ascii="仿宋" w:hAnsi="仿宋" w:eastAsia="仿宋"/>
          <w:b/>
          <w:color w:val="auto"/>
          <w:sz w:val="24"/>
          <w:highlight w:val="none"/>
        </w:rPr>
      </w:pPr>
      <w:r>
        <w:rPr>
          <w:rFonts w:hint="eastAsia" w:ascii="仿宋" w:hAnsi="仿宋" w:eastAsia="仿宋"/>
          <w:b/>
          <w:color w:val="auto"/>
          <w:sz w:val="24"/>
          <w:highlight w:val="none"/>
        </w:rPr>
        <w:t>供应商应仔细阅读全部竞争性谈判文件，按竞争性谈判文件的要求递交谈判响应文件，并保证所提供资料的真实性、合法性和有效性，以使其谈判响应文件可以对谈判文件作出实质性响应。否则其谈判响应文件将被否决。如谈判响应文件存在弄虚作假，将</w:t>
      </w:r>
      <w:r>
        <w:rPr>
          <w:rFonts w:ascii="仿宋" w:hAnsi="仿宋" w:eastAsia="仿宋"/>
          <w:b/>
          <w:color w:val="auto"/>
          <w:sz w:val="24"/>
          <w:highlight w:val="none"/>
        </w:rPr>
        <w:t>承担相应的法律责任</w:t>
      </w:r>
      <w:r>
        <w:rPr>
          <w:rFonts w:hint="eastAsia" w:ascii="仿宋" w:hAnsi="仿宋" w:eastAsia="仿宋"/>
          <w:b/>
          <w:color w:val="auto"/>
          <w:sz w:val="24"/>
          <w:highlight w:val="none"/>
        </w:rPr>
        <w:t>。</w:t>
      </w:r>
    </w:p>
    <w:p>
      <w:pPr>
        <w:numPr>
          <w:ilvl w:val="0"/>
          <w:numId w:val="6"/>
        </w:numPr>
        <w:tabs>
          <w:tab w:val="left" w:pos="720"/>
        </w:tabs>
        <w:spacing w:line="520" w:lineRule="exact"/>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谈判文件的澄清或修改</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潜在供应商对谈判文件（含变更文件）有疑问的，可要求澄清。但需按谈判邀请函中载明的地址以书面形式（须加盖供应商公章）送达采购代理机构。</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在</w:t>
      </w:r>
      <w:r>
        <w:rPr>
          <w:rFonts w:hint="eastAsia" w:ascii="仿宋" w:hAnsi="仿宋" w:eastAsia="仿宋"/>
          <w:color w:val="auto"/>
          <w:sz w:val="24"/>
          <w:highlight w:val="none"/>
        </w:rPr>
        <w:t>提交首次谈判响应文件</w:t>
      </w:r>
      <w:r>
        <w:rPr>
          <w:rFonts w:ascii="仿宋" w:hAnsi="仿宋" w:eastAsia="仿宋"/>
          <w:color w:val="auto"/>
          <w:sz w:val="24"/>
          <w:highlight w:val="none"/>
        </w:rPr>
        <w:t>截止期前的任何时候，无论出于何种原因，</w:t>
      </w:r>
      <w:r>
        <w:rPr>
          <w:rFonts w:hint="eastAsia" w:ascii="仿宋" w:hAnsi="仿宋" w:eastAsia="仿宋"/>
          <w:color w:val="auto"/>
          <w:sz w:val="24"/>
          <w:highlight w:val="none"/>
        </w:rPr>
        <w:t>采购人、</w:t>
      </w:r>
      <w:r>
        <w:rPr>
          <w:rFonts w:ascii="仿宋" w:hAnsi="仿宋" w:eastAsia="仿宋"/>
          <w:color w:val="auto"/>
          <w:sz w:val="24"/>
          <w:highlight w:val="none"/>
        </w:rPr>
        <w:t>采购代理机构</w:t>
      </w:r>
      <w:r>
        <w:rPr>
          <w:rFonts w:hint="eastAsia" w:ascii="仿宋" w:hAnsi="仿宋" w:eastAsia="仿宋"/>
          <w:color w:val="auto"/>
          <w:sz w:val="24"/>
          <w:highlight w:val="none"/>
        </w:rPr>
        <w:t>、谈判小组</w:t>
      </w:r>
      <w:r>
        <w:rPr>
          <w:rFonts w:ascii="仿宋" w:hAnsi="仿宋" w:eastAsia="仿宋"/>
          <w:color w:val="auto"/>
          <w:sz w:val="24"/>
          <w:highlight w:val="none"/>
        </w:rPr>
        <w:t>可</w:t>
      </w:r>
      <w:r>
        <w:rPr>
          <w:rFonts w:hint="eastAsia" w:ascii="仿宋" w:hAnsi="仿宋" w:eastAsia="仿宋"/>
          <w:color w:val="auto"/>
          <w:sz w:val="24"/>
          <w:highlight w:val="none"/>
        </w:rPr>
        <w:t>以</w:t>
      </w:r>
      <w:r>
        <w:rPr>
          <w:rFonts w:ascii="仿宋" w:hAnsi="仿宋" w:eastAsia="仿宋"/>
          <w:color w:val="auto"/>
          <w:sz w:val="24"/>
          <w:highlight w:val="none"/>
        </w:rPr>
        <w:t>对</w:t>
      </w:r>
      <w:r>
        <w:rPr>
          <w:rFonts w:hint="eastAsia" w:ascii="仿宋" w:hAnsi="仿宋" w:eastAsia="仿宋"/>
          <w:color w:val="auto"/>
          <w:sz w:val="24"/>
          <w:highlight w:val="none"/>
        </w:rPr>
        <w:t>已发出的</w:t>
      </w:r>
      <w:r>
        <w:rPr>
          <w:rFonts w:ascii="仿宋" w:hAnsi="仿宋" w:eastAsia="仿宋"/>
          <w:color w:val="auto"/>
          <w:sz w:val="24"/>
          <w:highlight w:val="none"/>
        </w:rPr>
        <w:t>谈判文件进行澄清或修改。澄清或修改的内容是谈判文件的组成部分，并对所有潜在供应商具有约束力</w:t>
      </w:r>
      <w:r>
        <w:rPr>
          <w:rFonts w:hint="eastAsia" w:ascii="仿宋" w:hAnsi="仿宋" w:eastAsia="仿宋"/>
          <w:color w:val="auto"/>
          <w:sz w:val="24"/>
          <w:highlight w:val="none"/>
        </w:rPr>
        <w:t>。</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澄清或者修改的内容可能影响谈判响应文件编制的，采购人或采购代理机构应当在谈判截止时间至少</w:t>
      </w:r>
      <w:r>
        <w:rPr>
          <w:rFonts w:hint="eastAsia" w:ascii="仿宋" w:hAnsi="仿宋" w:eastAsia="仿宋"/>
          <w:color w:val="auto"/>
          <w:sz w:val="24"/>
          <w:highlight w:val="none"/>
        </w:rPr>
        <w:t>3</w:t>
      </w:r>
      <w:r>
        <w:rPr>
          <w:rFonts w:ascii="仿宋" w:hAnsi="仿宋" w:eastAsia="仿宋"/>
          <w:color w:val="auto"/>
          <w:sz w:val="24"/>
          <w:highlight w:val="none"/>
        </w:rPr>
        <w:t>日前，通知所有获取谈判文件的潜在供应商；不足</w:t>
      </w:r>
      <w:r>
        <w:rPr>
          <w:rFonts w:hint="eastAsia" w:ascii="仿宋" w:hAnsi="仿宋" w:eastAsia="仿宋"/>
          <w:color w:val="auto"/>
          <w:sz w:val="24"/>
          <w:highlight w:val="none"/>
        </w:rPr>
        <w:t>3</w:t>
      </w:r>
      <w:r>
        <w:rPr>
          <w:rFonts w:ascii="仿宋" w:hAnsi="仿宋" w:eastAsia="仿宋"/>
          <w:color w:val="auto"/>
          <w:sz w:val="24"/>
          <w:highlight w:val="none"/>
        </w:rPr>
        <w:t>日的，采购人或采购代理机构可适当顺延提交谈判响应文件的截止时间</w:t>
      </w:r>
      <w:r>
        <w:rPr>
          <w:rFonts w:hint="eastAsia" w:ascii="仿宋" w:hAnsi="仿宋" w:eastAsia="仿宋"/>
          <w:color w:val="auto"/>
          <w:sz w:val="24"/>
          <w:highlight w:val="none"/>
        </w:rPr>
        <w:t>。</w:t>
      </w:r>
    </w:p>
    <w:p>
      <w:pPr>
        <w:pStyle w:val="3"/>
        <w:rPr>
          <w:rFonts w:ascii="仿宋" w:hAnsi="仿宋" w:eastAsia="仿宋"/>
          <w:color w:val="auto"/>
          <w:highlight w:val="none"/>
        </w:rPr>
      </w:pPr>
      <w:bookmarkStart w:id="66" w:name="_Toc508606816"/>
      <w:bookmarkStart w:id="67" w:name="_Toc85603406"/>
      <w:bookmarkStart w:id="68" w:name="_Toc19563"/>
      <w:bookmarkStart w:id="69" w:name="_Toc508606038"/>
      <w:bookmarkStart w:id="70" w:name="_Toc508525028"/>
      <w:bookmarkStart w:id="71" w:name="_Toc508605830"/>
      <w:r>
        <w:rPr>
          <w:rFonts w:hint="eastAsia" w:ascii="仿宋" w:hAnsi="仿宋" w:eastAsia="仿宋"/>
          <w:color w:val="auto"/>
          <w:highlight w:val="none"/>
        </w:rPr>
        <w:t>三、谈判响应文件的编制</w:t>
      </w:r>
      <w:bookmarkEnd w:id="66"/>
      <w:bookmarkEnd w:id="67"/>
      <w:bookmarkEnd w:id="68"/>
      <w:bookmarkEnd w:id="69"/>
      <w:bookmarkEnd w:id="70"/>
      <w:bookmarkEnd w:id="71"/>
    </w:p>
    <w:p>
      <w:pPr>
        <w:numPr>
          <w:ilvl w:val="0"/>
          <w:numId w:val="6"/>
        </w:numPr>
        <w:tabs>
          <w:tab w:val="left" w:pos="720"/>
        </w:tabs>
        <w:spacing w:line="520" w:lineRule="exact"/>
        <w:rPr>
          <w:rFonts w:ascii="仿宋" w:hAnsi="仿宋" w:eastAsia="仿宋" w:cs="宋体"/>
          <w:b/>
          <w:bCs/>
          <w:color w:val="auto"/>
          <w:kern w:val="0"/>
          <w:sz w:val="24"/>
          <w:highlight w:val="none"/>
        </w:rPr>
      </w:pPr>
      <w:r>
        <w:rPr>
          <w:rFonts w:ascii="仿宋" w:hAnsi="仿宋" w:eastAsia="仿宋" w:cs="宋体"/>
          <w:b/>
          <w:bCs/>
          <w:color w:val="auto"/>
          <w:kern w:val="0"/>
          <w:sz w:val="24"/>
          <w:highlight w:val="none"/>
        </w:rPr>
        <w:t>谈判响应文件</w:t>
      </w:r>
      <w:r>
        <w:rPr>
          <w:rFonts w:hint="eastAsia" w:ascii="仿宋" w:hAnsi="仿宋" w:eastAsia="仿宋" w:cs="宋体"/>
          <w:b/>
          <w:bCs/>
          <w:color w:val="auto"/>
          <w:kern w:val="0"/>
          <w:sz w:val="24"/>
          <w:highlight w:val="none"/>
        </w:rPr>
        <w:t>编制要求和</w:t>
      </w:r>
      <w:r>
        <w:rPr>
          <w:rFonts w:ascii="仿宋" w:hAnsi="仿宋" w:eastAsia="仿宋" w:cs="宋体"/>
          <w:b/>
          <w:bCs/>
          <w:color w:val="auto"/>
          <w:kern w:val="0"/>
          <w:sz w:val="24"/>
          <w:highlight w:val="none"/>
        </w:rPr>
        <w:t>谈判响应文件中语言和计量单位的使用</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应当认真审阅和全面理解本采购文件中所有的须知、条件、格式和条款。如供应商没有按照竞争性谈判文件要求提交全部资料，或者谈判响应文件没有对竞争性谈判文件在各方面都做出实质性响应是供应商的风险，并可能导致谈判响应文件无效。</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供应商提交的谈判响应文件以及供应商与采购人或采购代理机构就有关谈判的所有来往函电均应以中文书写。供应商提交的支持资料和已印制的文献可以用另一种语言，但相应内容应附有中文翻译本</w:t>
      </w:r>
      <w:r>
        <w:rPr>
          <w:rFonts w:hint="eastAsia" w:ascii="仿宋" w:hAnsi="仿宋" w:eastAsia="仿宋"/>
          <w:color w:val="auto"/>
          <w:sz w:val="24"/>
          <w:highlight w:val="none"/>
        </w:rPr>
        <w:t>。</w:t>
      </w:r>
      <w:r>
        <w:rPr>
          <w:rFonts w:ascii="仿宋" w:hAnsi="仿宋" w:eastAsia="仿宋"/>
          <w:color w:val="auto"/>
          <w:sz w:val="24"/>
          <w:highlight w:val="none"/>
        </w:rPr>
        <w:t>在解释谈判响应文件时以中文翻译本为准</w:t>
      </w:r>
      <w:r>
        <w:rPr>
          <w:rFonts w:hint="eastAsia" w:ascii="仿宋" w:hAnsi="仿宋" w:eastAsia="仿宋"/>
          <w:color w:val="auto"/>
          <w:sz w:val="24"/>
          <w:highlight w:val="none"/>
        </w:rPr>
        <w:t>，</w:t>
      </w:r>
      <w:r>
        <w:rPr>
          <w:rFonts w:ascii="仿宋" w:hAnsi="仿宋" w:eastAsia="仿宋"/>
          <w:color w:val="auto"/>
          <w:sz w:val="24"/>
          <w:highlight w:val="none"/>
        </w:rPr>
        <w:t>但不能故意错误翻译，否则谈判响应文件无效。</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谈判响应文件中所使用的计量单位，除谈判文件中有特殊要求外，应采用中华人民共和国法定计量单位。</w:t>
      </w:r>
    </w:p>
    <w:p>
      <w:pPr>
        <w:numPr>
          <w:ilvl w:val="0"/>
          <w:numId w:val="6"/>
        </w:numPr>
        <w:tabs>
          <w:tab w:val="left" w:pos="720"/>
        </w:tabs>
        <w:spacing w:line="520" w:lineRule="exact"/>
        <w:rPr>
          <w:rFonts w:ascii="仿宋" w:hAnsi="仿宋" w:eastAsia="仿宋" w:cs="宋体"/>
          <w:b/>
          <w:bCs/>
          <w:color w:val="auto"/>
          <w:kern w:val="0"/>
          <w:sz w:val="24"/>
          <w:highlight w:val="none"/>
        </w:rPr>
      </w:pPr>
      <w:bookmarkStart w:id="72" w:name="_TOC_250054"/>
      <w:bookmarkEnd w:id="72"/>
      <w:r>
        <w:rPr>
          <w:rFonts w:ascii="仿宋" w:hAnsi="仿宋" w:eastAsia="仿宋" w:cs="宋体"/>
          <w:b/>
          <w:bCs/>
          <w:color w:val="auto"/>
          <w:kern w:val="0"/>
          <w:sz w:val="24"/>
          <w:highlight w:val="none"/>
        </w:rPr>
        <w:t>谈判响应文件的构成</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供应商应按照竞争性谈判文件提供的谈判响应文件格式及顺序编写谈判响应文件，供应商提交的首次谈判响应文件应包括以下内容（但不仅限于下列部分）：</w:t>
      </w:r>
    </w:p>
    <w:p>
      <w:pPr>
        <w:spacing w:line="520" w:lineRule="exact"/>
        <w:ind w:left="1168"/>
        <w:rPr>
          <w:rFonts w:ascii="仿宋" w:hAnsi="仿宋" w:eastAsia="仿宋"/>
          <w:b/>
          <w:color w:val="auto"/>
          <w:sz w:val="24"/>
          <w:highlight w:val="none"/>
        </w:rPr>
      </w:pPr>
      <w:r>
        <w:rPr>
          <w:rFonts w:ascii="仿宋" w:hAnsi="仿宋" w:eastAsia="仿宋"/>
          <w:b/>
          <w:color w:val="auto"/>
          <w:sz w:val="24"/>
          <w:highlight w:val="none"/>
        </w:rPr>
        <w:t>*1）谈判</w:t>
      </w:r>
      <w:r>
        <w:rPr>
          <w:rFonts w:hint="eastAsia" w:ascii="仿宋" w:hAnsi="仿宋" w:eastAsia="仿宋"/>
          <w:b/>
          <w:color w:val="auto"/>
          <w:sz w:val="24"/>
          <w:highlight w:val="none"/>
        </w:rPr>
        <w:t>响应</w:t>
      </w:r>
      <w:r>
        <w:rPr>
          <w:rFonts w:ascii="仿宋" w:hAnsi="仿宋" w:eastAsia="仿宋"/>
          <w:b/>
          <w:color w:val="auto"/>
          <w:sz w:val="24"/>
          <w:highlight w:val="none"/>
        </w:rPr>
        <w:t>书</w:t>
      </w:r>
    </w:p>
    <w:p>
      <w:pPr>
        <w:spacing w:line="520" w:lineRule="exact"/>
        <w:ind w:left="1168"/>
        <w:rPr>
          <w:rFonts w:ascii="仿宋" w:hAnsi="仿宋" w:eastAsia="仿宋"/>
          <w:b/>
          <w:color w:val="auto"/>
          <w:sz w:val="24"/>
          <w:highlight w:val="none"/>
        </w:rPr>
      </w:pPr>
      <w:r>
        <w:rPr>
          <w:rFonts w:ascii="仿宋" w:hAnsi="仿宋" w:eastAsia="仿宋"/>
          <w:b/>
          <w:color w:val="auto"/>
          <w:sz w:val="24"/>
          <w:highlight w:val="none"/>
        </w:rPr>
        <w:t>*2）报价一览表</w:t>
      </w:r>
    </w:p>
    <w:p>
      <w:pPr>
        <w:spacing w:line="520" w:lineRule="exact"/>
        <w:ind w:left="1168"/>
        <w:rPr>
          <w:rFonts w:ascii="仿宋" w:hAnsi="仿宋" w:eastAsia="仿宋"/>
          <w:b/>
          <w:color w:val="auto"/>
          <w:sz w:val="24"/>
          <w:highlight w:val="none"/>
        </w:rPr>
      </w:pPr>
      <w:r>
        <w:rPr>
          <w:rFonts w:ascii="仿宋" w:hAnsi="仿宋" w:eastAsia="仿宋"/>
          <w:b/>
          <w:color w:val="auto"/>
          <w:sz w:val="24"/>
          <w:highlight w:val="none"/>
        </w:rPr>
        <w:t>*3）报价一览明细表</w:t>
      </w:r>
    </w:p>
    <w:p>
      <w:pPr>
        <w:spacing w:line="520" w:lineRule="exact"/>
        <w:ind w:left="1168"/>
        <w:rPr>
          <w:rFonts w:ascii="仿宋" w:hAnsi="仿宋" w:eastAsia="仿宋"/>
          <w:b/>
          <w:color w:val="auto"/>
          <w:sz w:val="24"/>
          <w:highlight w:val="none"/>
        </w:rPr>
      </w:pPr>
      <w:r>
        <w:rPr>
          <w:rFonts w:ascii="仿宋" w:hAnsi="仿宋" w:eastAsia="仿宋"/>
          <w:b/>
          <w:color w:val="auto"/>
          <w:sz w:val="24"/>
          <w:highlight w:val="none"/>
        </w:rPr>
        <w:t>*</w:t>
      </w:r>
      <w:r>
        <w:rPr>
          <w:rFonts w:hint="eastAsia" w:ascii="仿宋" w:hAnsi="仿宋" w:eastAsia="仿宋"/>
          <w:b/>
          <w:color w:val="auto"/>
          <w:sz w:val="24"/>
          <w:highlight w:val="none"/>
        </w:rPr>
        <w:t>4</w:t>
      </w:r>
      <w:r>
        <w:rPr>
          <w:rFonts w:ascii="仿宋" w:hAnsi="仿宋" w:eastAsia="仿宋"/>
          <w:b/>
          <w:color w:val="auto"/>
          <w:sz w:val="24"/>
          <w:highlight w:val="none"/>
        </w:rPr>
        <w:t>）技术规格响应/偏离表</w:t>
      </w:r>
    </w:p>
    <w:p>
      <w:pPr>
        <w:spacing w:line="520" w:lineRule="exact"/>
        <w:ind w:left="1168"/>
        <w:rPr>
          <w:rFonts w:ascii="仿宋" w:hAnsi="仿宋" w:eastAsia="仿宋"/>
          <w:b/>
          <w:color w:val="auto"/>
          <w:sz w:val="24"/>
          <w:highlight w:val="none"/>
        </w:rPr>
      </w:pPr>
      <w:r>
        <w:rPr>
          <w:rFonts w:ascii="仿宋" w:hAnsi="仿宋" w:eastAsia="仿宋"/>
          <w:b/>
          <w:color w:val="auto"/>
          <w:sz w:val="24"/>
          <w:highlight w:val="none"/>
        </w:rPr>
        <w:t>*</w:t>
      </w:r>
      <w:r>
        <w:rPr>
          <w:rFonts w:hint="eastAsia" w:ascii="仿宋" w:hAnsi="仿宋" w:eastAsia="仿宋"/>
          <w:b/>
          <w:color w:val="auto"/>
          <w:sz w:val="24"/>
          <w:highlight w:val="none"/>
        </w:rPr>
        <w:t>5</w:t>
      </w:r>
      <w:r>
        <w:rPr>
          <w:rFonts w:ascii="仿宋" w:hAnsi="仿宋" w:eastAsia="仿宋"/>
          <w:b/>
          <w:color w:val="auto"/>
          <w:sz w:val="24"/>
          <w:highlight w:val="none"/>
        </w:rPr>
        <w:t>）商务条款响应/偏离表</w:t>
      </w:r>
    </w:p>
    <w:p>
      <w:pPr>
        <w:spacing w:line="520" w:lineRule="exact"/>
        <w:ind w:left="1168"/>
        <w:rPr>
          <w:rFonts w:ascii="仿宋" w:hAnsi="仿宋" w:eastAsia="仿宋"/>
          <w:b/>
          <w:color w:val="auto"/>
          <w:sz w:val="24"/>
          <w:highlight w:val="none"/>
        </w:rPr>
      </w:pPr>
      <w:r>
        <w:rPr>
          <w:rFonts w:ascii="仿宋" w:hAnsi="仿宋" w:eastAsia="仿宋"/>
          <w:b/>
          <w:color w:val="auto"/>
          <w:sz w:val="24"/>
          <w:highlight w:val="none"/>
        </w:rPr>
        <w:t>*</w:t>
      </w:r>
      <w:r>
        <w:rPr>
          <w:rFonts w:hint="eastAsia" w:ascii="仿宋" w:hAnsi="仿宋" w:eastAsia="仿宋"/>
          <w:b/>
          <w:color w:val="auto"/>
          <w:sz w:val="24"/>
          <w:highlight w:val="none"/>
        </w:rPr>
        <w:t>6</w:t>
      </w:r>
      <w:r>
        <w:rPr>
          <w:rFonts w:ascii="仿宋" w:hAnsi="仿宋" w:eastAsia="仿宋"/>
          <w:b/>
          <w:color w:val="auto"/>
          <w:sz w:val="24"/>
          <w:highlight w:val="none"/>
        </w:rPr>
        <w:t>）供应商的资格声明</w:t>
      </w:r>
    </w:p>
    <w:p>
      <w:pPr>
        <w:spacing w:line="520" w:lineRule="exact"/>
        <w:ind w:left="1168"/>
        <w:rPr>
          <w:rFonts w:ascii="仿宋" w:hAnsi="仿宋" w:eastAsia="仿宋"/>
          <w:b/>
          <w:color w:val="auto"/>
          <w:sz w:val="24"/>
          <w:highlight w:val="none"/>
        </w:rPr>
      </w:pPr>
      <w:r>
        <w:rPr>
          <w:rFonts w:ascii="仿宋" w:hAnsi="仿宋" w:eastAsia="仿宋"/>
          <w:b/>
          <w:color w:val="auto"/>
          <w:sz w:val="24"/>
          <w:highlight w:val="none"/>
        </w:rPr>
        <w:t>*</w:t>
      </w:r>
      <w:r>
        <w:rPr>
          <w:rFonts w:hint="eastAsia" w:ascii="仿宋" w:hAnsi="仿宋" w:eastAsia="仿宋"/>
          <w:b/>
          <w:color w:val="auto"/>
          <w:sz w:val="24"/>
          <w:highlight w:val="none"/>
        </w:rPr>
        <w:t>7</w:t>
      </w:r>
      <w:r>
        <w:rPr>
          <w:rFonts w:ascii="仿宋" w:hAnsi="仿宋" w:eastAsia="仿宋"/>
          <w:b/>
          <w:color w:val="auto"/>
          <w:sz w:val="24"/>
          <w:highlight w:val="none"/>
        </w:rPr>
        <w:t>）资格证明文件</w:t>
      </w:r>
    </w:p>
    <w:p>
      <w:pPr>
        <w:pStyle w:val="17"/>
        <w:spacing w:line="520" w:lineRule="exact"/>
        <w:ind w:left="1166"/>
        <w:rPr>
          <w:rFonts w:ascii="仿宋" w:hAnsi="仿宋" w:eastAsia="仿宋"/>
          <w:color w:val="auto"/>
          <w:sz w:val="24"/>
          <w:szCs w:val="24"/>
          <w:highlight w:val="none"/>
        </w:rPr>
      </w:pPr>
      <w:r>
        <w:rPr>
          <w:rFonts w:hint="eastAsia" w:ascii="仿宋" w:hAnsi="仿宋" w:eastAsia="仿宋"/>
          <w:color w:val="auto"/>
          <w:sz w:val="24"/>
          <w:szCs w:val="24"/>
          <w:highlight w:val="none"/>
        </w:rPr>
        <w:t>具体</w:t>
      </w:r>
      <w:r>
        <w:rPr>
          <w:rFonts w:ascii="仿宋" w:hAnsi="仿宋" w:eastAsia="仿宋"/>
          <w:color w:val="auto"/>
          <w:sz w:val="24"/>
          <w:szCs w:val="24"/>
          <w:highlight w:val="none"/>
        </w:rPr>
        <w:t>详见“第</w:t>
      </w:r>
      <w:r>
        <w:rPr>
          <w:rFonts w:hint="eastAsia" w:ascii="仿宋" w:hAnsi="仿宋" w:eastAsia="仿宋"/>
          <w:color w:val="auto"/>
          <w:sz w:val="24"/>
          <w:szCs w:val="24"/>
          <w:highlight w:val="none"/>
        </w:rPr>
        <w:t>五</w:t>
      </w:r>
      <w:r>
        <w:rPr>
          <w:rFonts w:ascii="仿宋" w:hAnsi="仿宋" w:eastAsia="仿宋"/>
          <w:color w:val="auto"/>
          <w:sz w:val="24"/>
          <w:szCs w:val="24"/>
          <w:highlight w:val="none"/>
        </w:rPr>
        <w:t xml:space="preserve">章 </w:t>
      </w:r>
      <w:r>
        <w:rPr>
          <w:rFonts w:hint="eastAsia" w:ascii="仿宋" w:hAnsi="仿宋" w:eastAsia="仿宋"/>
          <w:color w:val="auto"/>
          <w:sz w:val="24"/>
          <w:szCs w:val="24"/>
          <w:highlight w:val="none"/>
        </w:rPr>
        <w:t>谈判响应</w:t>
      </w:r>
      <w:r>
        <w:rPr>
          <w:rFonts w:ascii="仿宋" w:hAnsi="仿宋" w:eastAsia="仿宋"/>
          <w:color w:val="auto"/>
          <w:sz w:val="24"/>
          <w:szCs w:val="24"/>
          <w:highlight w:val="none"/>
        </w:rPr>
        <w:t>文件格式”</w:t>
      </w:r>
      <w:r>
        <w:rPr>
          <w:rFonts w:hint="eastAsia" w:ascii="仿宋" w:hAnsi="仿宋" w:eastAsia="仿宋"/>
          <w:color w:val="auto"/>
          <w:sz w:val="24"/>
          <w:szCs w:val="24"/>
          <w:highlight w:val="none"/>
        </w:rPr>
        <w:t>。</w:t>
      </w:r>
    </w:p>
    <w:p>
      <w:pPr>
        <w:numPr>
          <w:ilvl w:val="0"/>
          <w:numId w:val="6"/>
        </w:numPr>
        <w:tabs>
          <w:tab w:val="left" w:pos="720"/>
        </w:tabs>
        <w:spacing w:line="520" w:lineRule="exact"/>
        <w:rPr>
          <w:rFonts w:ascii="仿宋" w:hAnsi="仿宋" w:eastAsia="仿宋" w:cs="宋体"/>
          <w:b/>
          <w:bCs/>
          <w:color w:val="auto"/>
          <w:kern w:val="0"/>
          <w:sz w:val="24"/>
          <w:highlight w:val="none"/>
        </w:rPr>
      </w:pPr>
      <w:r>
        <w:rPr>
          <w:rFonts w:ascii="仿宋" w:hAnsi="仿宋" w:eastAsia="仿宋" w:cs="宋体"/>
          <w:b/>
          <w:bCs/>
          <w:color w:val="auto"/>
          <w:kern w:val="0"/>
          <w:sz w:val="24"/>
          <w:highlight w:val="none"/>
        </w:rPr>
        <w:t>谈判响应文件的编写要求</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供应商应详细阅读谈判文件的全部内容，并做出实质性和完整的响应。如果谈判响应文件填报的内容资料不详或不全，可能导致谈判响应文件无效。</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谈判响应文件应严格按照谈判文件的要求提交，并按规定的格式逐项填写，不准有空白项。谈判响应文件未按规定提交或留有空白项，将被视为不完全响应，其谈判可能被拒绝。</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供应商须保证谈判全部文件资料真实可靠，并接受谈判小组对任何文件资料进一步审查的要求。</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除</w:t>
      </w:r>
      <w:r>
        <w:rPr>
          <w:rFonts w:hint="eastAsia" w:ascii="仿宋" w:hAnsi="仿宋" w:eastAsia="仿宋"/>
          <w:color w:val="auto"/>
          <w:sz w:val="24"/>
          <w:highlight w:val="none"/>
        </w:rPr>
        <w:t>“</w:t>
      </w:r>
      <w:r>
        <w:rPr>
          <w:rFonts w:ascii="仿宋" w:hAnsi="仿宋" w:eastAsia="仿宋"/>
          <w:color w:val="auto"/>
          <w:sz w:val="24"/>
          <w:highlight w:val="none"/>
        </w:rPr>
        <w:t>供应商须知前附表”另有规定外，供应商不得递交备选谈判方案。允许供应商递交备选谈判方案的，只有成交供应商所递交的备选谈判方案方可予以考虑。谈判小组认为成交供应商的备选谈判方案优于其谈判方案的，采购人可以接受该备选谈判方案</w:t>
      </w:r>
      <w:r>
        <w:rPr>
          <w:rFonts w:hint="eastAsia" w:ascii="仿宋" w:hAnsi="仿宋" w:eastAsia="仿宋"/>
          <w:color w:val="auto"/>
          <w:sz w:val="24"/>
          <w:highlight w:val="none"/>
        </w:rPr>
        <w:t>。</w:t>
      </w:r>
    </w:p>
    <w:p>
      <w:pPr>
        <w:numPr>
          <w:ilvl w:val="0"/>
          <w:numId w:val="6"/>
        </w:numPr>
        <w:tabs>
          <w:tab w:val="left" w:pos="720"/>
        </w:tabs>
        <w:spacing w:line="520" w:lineRule="exact"/>
        <w:rPr>
          <w:rFonts w:ascii="仿宋" w:hAnsi="仿宋" w:eastAsia="仿宋" w:cs="宋体"/>
          <w:b/>
          <w:bCs/>
          <w:color w:val="auto"/>
          <w:kern w:val="0"/>
          <w:sz w:val="24"/>
          <w:highlight w:val="none"/>
        </w:rPr>
      </w:pPr>
      <w:bookmarkStart w:id="73" w:name="_Toc286758320"/>
      <w:r>
        <w:rPr>
          <w:rFonts w:ascii="仿宋" w:hAnsi="仿宋" w:eastAsia="仿宋" w:cs="宋体"/>
          <w:b/>
          <w:bCs/>
          <w:color w:val="auto"/>
          <w:kern w:val="0"/>
          <w:sz w:val="24"/>
          <w:highlight w:val="none"/>
        </w:rPr>
        <w:t>证明供应商合格和资格的文件</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供应商应按</w:t>
      </w:r>
      <w:r>
        <w:rPr>
          <w:rFonts w:hint="eastAsia" w:ascii="仿宋" w:hAnsi="仿宋" w:eastAsia="仿宋"/>
          <w:color w:val="auto"/>
          <w:sz w:val="24"/>
          <w:highlight w:val="none"/>
        </w:rPr>
        <w:t>“</w:t>
      </w:r>
      <w:r>
        <w:rPr>
          <w:rFonts w:ascii="仿宋" w:hAnsi="仿宋" w:eastAsia="仿宋"/>
          <w:color w:val="auto"/>
          <w:sz w:val="24"/>
          <w:highlight w:val="none"/>
        </w:rPr>
        <w:t>供应商须知前附表”要求提交证明其有资格参加谈判和成交后有能力履行合同的文件，并作为其谈判响应文件的一部分。本次采购是否允许联合体谈判见</w:t>
      </w:r>
      <w:r>
        <w:rPr>
          <w:rFonts w:hint="eastAsia" w:ascii="仿宋" w:hAnsi="仿宋" w:eastAsia="仿宋"/>
          <w:color w:val="auto"/>
          <w:sz w:val="24"/>
          <w:highlight w:val="none"/>
        </w:rPr>
        <w:t>“</w:t>
      </w:r>
      <w:r>
        <w:rPr>
          <w:rFonts w:ascii="仿宋" w:hAnsi="仿宋" w:eastAsia="仿宋"/>
          <w:color w:val="auto"/>
          <w:sz w:val="24"/>
          <w:highlight w:val="none"/>
        </w:rPr>
        <w:t>供应商须知前附表”，如果允许联合体谈判，应提交联合体各方的资格证明文件、联合体谈判协议并注明联合体主体及各方拟承担的工作和责任，并承诺一旦成交联合体各方将向采购人承担连带责任，否则谈判响应文件无效。</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在采购过程中，供应商发生合并、分立、破产等重大变化时，应当及时书面告知采购人或采购代理机构</w:t>
      </w:r>
      <w:r>
        <w:rPr>
          <w:rFonts w:hint="eastAsia" w:ascii="仿宋" w:hAnsi="仿宋" w:eastAsia="仿宋"/>
          <w:color w:val="auto"/>
          <w:sz w:val="24"/>
          <w:highlight w:val="none"/>
        </w:rPr>
        <w:t>。</w:t>
      </w:r>
    </w:p>
    <w:p>
      <w:pPr>
        <w:numPr>
          <w:ilvl w:val="0"/>
          <w:numId w:val="6"/>
        </w:numPr>
        <w:spacing w:line="520" w:lineRule="exact"/>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证明货物符合谈判文件规定的文件</w:t>
      </w:r>
      <w:bookmarkEnd w:id="73"/>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供应商应提交文件证明其所投货物符合谈判文件的规定。该证明文件作为谈判响应文件的一部分。</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证明货物与谈判文件一致的文件可以是文字资料、图表、样本、数据、证书、买方证明，包括但不限于：</w:t>
      </w:r>
    </w:p>
    <w:p>
      <w:pPr>
        <w:pStyle w:val="67"/>
        <w:numPr>
          <w:ilvl w:val="2"/>
          <w:numId w:val="6"/>
        </w:numPr>
        <w:tabs>
          <w:tab w:val="left" w:pos="1559"/>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pacing w:val="-3"/>
          <w:sz w:val="24"/>
          <w:highlight w:val="none"/>
        </w:rPr>
        <w:t>货物主要技术指标和性能的详细说明。</w:t>
      </w:r>
    </w:p>
    <w:p>
      <w:pPr>
        <w:pStyle w:val="67"/>
        <w:numPr>
          <w:ilvl w:val="2"/>
          <w:numId w:val="6"/>
        </w:numPr>
        <w:tabs>
          <w:tab w:val="left" w:pos="1559"/>
        </w:tabs>
        <w:autoSpaceDE w:val="0"/>
        <w:autoSpaceDN w:val="0"/>
        <w:spacing w:line="520" w:lineRule="exact"/>
        <w:ind w:right="593" w:firstLineChars="0"/>
        <w:rPr>
          <w:rFonts w:ascii="仿宋" w:hAnsi="仿宋" w:eastAsia="仿宋"/>
          <w:color w:val="auto"/>
          <w:sz w:val="24"/>
          <w:highlight w:val="none"/>
        </w:rPr>
      </w:pPr>
      <w:r>
        <w:rPr>
          <w:rFonts w:ascii="仿宋" w:hAnsi="仿宋" w:eastAsia="仿宋"/>
          <w:color w:val="auto"/>
          <w:spacing w:val="-7"/>
          <w:sz w:val="24"/>
          <w:highlight w:val="none"/>
        </w:rPr>
        <w:t>货物从买方开始使用至谈判文件规定的质保期内正常、连续地使用所必须的备件和专用工</w:t>
      </w:r>
      <w:r>
        <w:rPr>
          <w:rFonts w:ascii="仿宋" w:hAnsi="仿宋" w:eastAsia="仿宋"/>
          <w:color w:val="auto"/>
          <w:spacing w:val="-5"/>
          <w:sz w:val="24"/>
          <w:highlight w:val="none"/>
        </w:rPr>
        <w:t>具清单，包括备件和专用工具的货源及现行价格。</w:t>
      </w:r>
    </w:p>
    <w:p>
      <w:pPr>
        <w:pStyle w:val="67"/>
        <w:numPr>
          <w:ilvl w:val="2"/>
          <w:numId w:val="6"/>
        </w:numPr>
        <w:tabs>
          <w:tab w:val="left" w:pos="1559"/>
        </w:tabs>
        <w:autoSpaceDE w:val="0"/>
        <w:autoSpaceDN w:val="0"/>
        <w:spacing w:line="520" w:lineRule="exact"/>
        <w:ind w:right="593" w:firstLineChars="0"/>
        <w:rPr>
          <w:rFonts w:ascii="仿宋" w:hAnsi="仿宋" w:eastAsia="仿宋"/>
          <w:color w:val="auto"/>
          <w:sz w:val="24"/>
          <w:highlight w:val="none"/>
        </w:rPr>
      </w:pPr>
      <w:r>
        <w:rPr>
          <w:rFonts w:ascii="仿宋" w:hAnsi="仿宋" w:eastAsia="仿宋"/>
          <w:color w:val="auto"/>
          <w:spacing w:val="-10"/>
          <w:sz w:val="24"/>
          <w:highlight w:val="none"/>
        </w:rPr>
        <w:t>对照谈判文件技术规格，逐条说明所提供货物和服务已对谈判文件的技术规格做出了实质</w:t>
      </w:r>
      <w:r>
        <w:rPr>
          <w:rFonts w:ascii="仿宋" w:hAnsi="仿宋" w:eastAsia="仿宋"/>
          <w:color w:val="auto"/>
          <w:spacing w:val="-5"/>
          <w:sz w:val="24"/>
          <w:highlight w:val="none"/>
        </w:rPr>
        <w:t>性的响应，或申明与技术规格条文的偏差和例外。</w:t>
      </w:r>
    </w:p>
    <w:p>
      <w:pPr>
        <w:pStyle w:val="67"/>
        <w:numPr>
          <w:ilvl w:val="2"/>
          <w:numId w:val="6"/>
        </w:numPr>
        <w:tabs>
          <w:tab w:val="left" w:pos="1559"/>
        </w:tabs>
        <w:autoSpaceDE w:val="0"/>
        <w:autoSpaceDN w:val="0"/>
        <w:spacing w:line="520" w:lineRule="exact"/>
        <w:ind w:right="591" w:firstLineChars="0"/>
        <w:rPr>
          <w:rFonts w:ascii="仿宋" w:hAnsi="仿宋" w:eastAsia="仿宋"/>
          <w:color w:val="auto"/>
          <w:sz w:val="24"/>
          <w:highlight w:val="none"/>
        </w:rPr>
      </w:pPr>
      <w:r>
        <w:rPr>
          <w:rFonts w:ascii="仿宋" w:hAnsi="仿宋" w:eastAsia="仿宋"/>
          <w:color w:val="auto"/>
          <w:spacing w:val="-7"/>
          <w:sz w:val="24"/>
          <w:highlight w:val="none"/>
        </w:rPr>
        <w:t>供应商应注意采购人在技术规格中指出的工艺、材料和设备的参照牌号或分类号仅起说明</w:t>
      </w:r>
      <w:r>
        <w:rPr>
          <w:rFonts w:ascii="仿宋" w:hAnsi="仿宋" w:eastAsia="仿宋"/>
          <w:color w:val="auto"/>
          <w:spacing w:val="-11"/>
          <w:sz w:val="24"/>
          <w:highlight w:val="none"/>
        </w:rPr>
        <w:t>作用，并没有任何限制性。供应商在谈判中可以选用替代牌号或分类号，但这些替代要实</w:t>
      </w:r>
      <w:r>
        <w:rPr>
          <w:rFonts w:ascii="仿宋" w:hAnsi="仿宋" w:eastAsia="仿宋"/>
          <w:color w:val="auto"/>
          <w:spacing w:val="-12"/>
          <w:sz w:val="24"/>
          <w:highlight w:val="none"/>
        </w:rPr>
        <w:t>质上相当于技术规格的要求。采购人或采购代理机构承诺不以上述参考牌号或分类号作为</w:t>
      </w:r>
      <w:r>
        <w:rPr>
          <w:rFonts w:ascii="仿宋" w:hAnsi="仿宋" w:eastAsia="仿宋"/>
          <w:color w:val="auto"/>
          <w:spacing w:val="-6"/>
          <w:sz w:val="24"/>
          <w:highlight w:val="none"/>
        </w:rPr>
        <w:t>谈判时确定无效响应的取舍标准。</w:t>
      </w:r>
    </w:p>
    <w:p>
      <w:pPr>
        <w:pStyle w:val="67"/>
        <w:numPr>
          <w:ilvl w:val="2"/>
          <w:numId w:val="6"/>
        </w:numPr>
        <w:tabs>
          <w:tab w:val="left" w:pos="1559"/>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pacing w:val="-3"/>
          <w:sz w:val="24"/>
          <w:highlight w:val="none"/>
        </w:rPr>
        <w:t>本条所指证明文件不得为对谈判文件相关部分的文字、图标的复制。</w:t>
      </w:r>
    </w:p>
    <w:p>
      <w:pPr>
        <w:pStyle w:val="67"/>
        <w:numPr>
          <w:ilvl w:val="2"/>
          <w:numId w:val="6"/>
        </w:numPr>
        <w:tabs>
          <w:tab w:val="left" w:pos="1559"/>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pacing w:val="-3"/>
          <w:sz w:val="24"/>
          <w:highlight w:val="none"/>
        </w:rPr>
        <w:t>供应商认为的其他必要内容。</w:t>
      </w:r>
    </w:p>
    <w:p>
      <w:pPr>
        <w:pStyle w:val="56"/>
        <w:numPr>
          <w:ilvl w:val="0"/>
          <w:numId w:val="6"/>
        </w:numPr>
        <w:tabs>
          <w:tab w:val="left" w:pos="959"/>
        </w:tabs>
        <w:spacing w:line="520" w:lineRule="exact"/>
        <w:rPr>
          <w:rFonts w:ascii="仿宋" w:hAnsi="仿宋" w:eastAsia="仿宋"/>
          <w:color w:val="auto"/>
          <w:spacing w:val="-1"/>
          <w:sz w:val="24"/>
          <w:szCs w:val="24"/>
          <w:highlight w:val="none"/>
        </w:rPr>
      </w:pPr>
      <w:r>
        <w:rPr>
          <w:rFonts w:ascii="仿宋" w:hAnsi="仿宋" w:eastAsia="仿宋"/>
          <w:color w:val="auto"/>
          <w:spacing w:val="-1"/>
          <w:sz w:val="24"/>
          <w:szCs w:val="24"/>
          <w:highlight w:val="none"/>
        </w:rPr>
        <w:t>谈判报价</w:t>
      </w:r>
    </w:p>
    <w:p>
      <w:pPr>
        <w:numPr>
          <w:ilvl w:val="1"/>
          <w:numId w:val="6"/>
        </w:numPr>
        <w:spacing w:line="520" w:lineRule="exact"/>
        <w:rPr>
          <w:rFonts w:ascii="仿宋" w:hAnsi="仿宋" w:eastAsia="仿宋"/>
          <w:color w:val="auto"/>
          <w:sz w:val="24"/>
          <w:highlight w:val="none"/>
        </w:rPr>
      </w:pPr>
      <w:bookmarkStart w:id="74" w:name="_TOC_250049"/>
      <w:bookmarkEnd w:id="74"/>
      <w:r>
        <w:rPr>
          <w:rFonts w:hint="eastAsia" w:ascii="仿宋" w:hAnsi="仿宋" w:eastAsia="仿宋"/>
          <w:color w:val="auto"/>
          <w:sz w:val="24"/>
          <w:highlight w:val="none"/>
        </w:rPr>
        <w:t>所有谈判均以人民币报价。</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报价内容详见“供应商须知前附表”。</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供应商应在谈判响应文件所附的报价明细表上标明拟提供货物和服务的单价和总价。如单价与总价不符，以单价修正总价。</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供应商要按报价一览表（统一格式）和报价一览明细表（统一格式）的内容填写产品单价、总价及其他事项。</w:t>
      </w:r>
      <w:r>
        <w:rPr>
          <w:rFonts w:hint="eastAsia" w:ascii="仿宋" w:hAnsi="仿宋" w:eastAsia="仿宋"/>
          <w:b/>
          <w:color w:val="auto"/>
          <w:sz w:val="24"/>
          <w:highlight w:val="none"/>
        </w:rPr>
        <w:t>报价表中不得包含谈判文件要求以外的内容，否则，在评审时不予核减；</w:t>
      </w:r>
      <w:r>
        <w:rPr>
          <w:rFonts w:hint="eastAsia" w:ascii="仿宋" w:hAnsi="仿宋" w:eastAsia="仿宋"/>
          <w:b/>
          <w:bCs/>
          <w:color w:val="auto"/>
          <w:sz w:val="24"/>
          <w:highlight w:val="none"/>
        </w:rPr>
        <w:t>报价表中也不得缺漏</w:t>
      </w:r>
      <w:r>
        <w:rPr>
          <w:rFonts w:hint="eastAsia" w:ascii="仿宋" w:hAnsi="仿宋" w:eastAsia="仿宋"/>
          <w:b/>
          <w:color w:val="auto"/>
          <w:sz w:val="24"/>
          <w:highlight w:val="none"/>
        </w:rPr>
        <w:t>谈判文件</w:t>
      </w:r>
      <w:r>
        <w:rPr>
          <w:rFonts w:hint="eastAsia" w:ascii="仿宋" w:hAnsi="仿宋" w:eastAsia="仿宋"/>
          <w:b/>
          <w:bCs/>
          <w:color w:val="auto"/>
          <w:sz w:val="24"/>
          <w:highlight w:val="none"/>
        </w:rPr>
        <w:t>所要求的内容，否则，其响应文件将被视为无效。</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供应商如需用外汇购入某些谈判货物，须折合人民币（包含进口环节税）计入总报价中。</w:t>
      </w:r>
    </w:p>
    <w:p>
      <w:pPr>
        <w:pStyle w:val="56"/>
        <w:numPr>
          <w:ilvl w:val="0"/>
          <w:numId w:val="6"/>
        </w:numPr>
        <w:tabs>
          <w:tab w:val="left" w:pos="959"/>
        </w:tabs>
        <w:spacing w:line="520" w:lineRule="exact"/>
        <w:rPr>
          <w:rFonts w:ascii="仿宋" w:hAnsi="仿宋" w:eastAsia="仿宋"/>
          <w:color w:val="auto"/>
          <w:spacing w:val="-1"/>
          <w:sz w:val="24"/>
          <w:szCs w:val="24"/>
          <w:highlight w:val="none"/>
        </w:rPr>
      </w:pPr>
      <w:r>
        <w:rPr>
          <w:rFonts w:ascii="仿宋" w:hAnsi="仿宋" w:eastAsia="仿宋"/>
          <w:color w:val="auto"/>
          <w:spacing w:val="-1"/>
          <w:sz w:val="24"/>
          <w:szCs w:val="24"/>
          <w:highlight w:val="none"/>
        </w:rPr>
        <w:t>谈判保证金</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供应商应按照</w:t>
      </w:r>
      <w:r>
        <w:rPr>
          <w:rFonts w:hint="eastAsia" w:ascii="仿宋" w:hAnsi="仿宋" w:eastAsia="仿宋"/>
          <w:color w:val="auto"/>
          <w:sz w:val="24"/>
          <w:highlight w:val="none"/>
        </w:rPr>
        <w:t>“</w:t>
      </w:r>
      <w:r>
        <w:rPr>
          <w:rFonts w:ascii="仿宋" w:hAnsi="仿宋" w:eastAsia="仿宋"/>
          <w:color w:val="auto"/>
          <w:sz w:val="24"/>
          <w:highlight w:val="none"/>
        </w:rPr>
        <w:t>供应商须知前附表”中规定的金额、形式、时间及有效期提供谈判保证金，并作为其谈判的一部分。未按规定提交谈判保证金的谈判将被视为非实质性响应</w:t>
      </w:r>
      <w:r>
        <w:rPr>
          <w:rFonts w:hint="eastAsia" w:ascii="仿宋" w:hAnsi="仿宋" w:eastAsia="仿宋"/>
          <w:color w:val="auto"/>
          <w:sz w:val="24"/>
          <w:highlight w:val="none"/>
        </w:rPr>
        <w:t>，</w:t>
      </w:r>
      <w:r>
        <w:rPr>
          <w:rFonts w:ascii="仿宋" w:hAnsi="仿宋" w:eastAsia="仿宋"/>
          <w:color w:val="auto"/>
          <w:sz w:val="24"/>
          <w:highlight w:val="none"/>
        </w:rPr>
        <w:t>谈判响应文件无效。</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采购代理机构应当自成交</w:t>
      </w:r>
      <w:r>
        <w:rPr>
          <w:rFonts w:hint="eastAsia" w:ascii="仿宋" w:hAnsi="仿宋" w:eastAsia="仿宋"/>
          <w:color w:val="auto"/>
          <w:sz w:val="24"/>
          <w:highlight w:val="none"/>
        </w:rPr>
        <w:t>通知书</w:t>
      </w:r>
      <w:r>
        <w:rPr>
          <w:rFonts w:ascii="仿宋" w:hAnsi="仿宋" w:eastAsia="仿宋"/>
          <w:color w:val="auto"/>
          <w:sz w:val="24"/>
          <w:highlight w:val="none"/>
        </w:rPr>
        <w:t>发出之日起5个工作日内退还未成交供应商的谈判保证金。</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采购代理机构应当自采购合同签订之日起5个工作日内退还成交供应商的谈判保证金。成交供应商在办理退还谈判保证金前需向采购代理机构提供采购合同原件一份。</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谈判保证金是为了保护采购人免遭因供应商行为而蒙受损失。下列任何一种情况发生时，谈判保证金将不予退还：</w:t>
      </w:r>
    </w:p>
    <w:p>
      <w:pPr>
        <w:pStyle w:val="17"/>
        <w:spacing w:line="520" w:lineRule="exact"/>
        <w:ind w:left="1120"/>
        <w:rPr>
          <w:rFonts w:ascii="仿宋" w:hAnsi="仿宋" w:eastAsia="仿宋"/>
          <w:color w:val="auto"/>
          <w:sz w:val="24"/>
          <w:szCs w:val="24"/>
          <w:highlight w:val="none"/>
        </w:rPr>
      </w:pPr>
      <w:r>
        <w:rPr>
          <w:rFonts w:hint="eastAsia" w:ascii="仿宋" w:hAnsi="仿宋" w:eastAsia="仿宋"/>
          <w:color w:val="auto"/>
          <w:sz w:val="24"/>
          <w:szCs w:val="24"/>
          <w:highlight w:val="none"/>
        </w:rPr>
        <w:t>（1）供应商在提交响应文件截止时间后撤回响应文件的；</w:t>
      </w:r>
    </w:p>
    <w:p>
      <w:pPr>
        <w:pStyle w:val="17"/>
        <w:spacing w:line="520" w:lineRule="exact"/>
        <w:ind w:left="1120"/>
        <w:rPr>
          <w:rFonts w:ascii="仿宋" w:hAnsi="仿宋" w:eastAsia="仿宋"/>
          <w:color w:val="auto"/>
          <w:sz w:val="24"/>
          <w:szCs w:val="24"/>
          <w:highlight w:val="none"/>
        </w:rPr>
      </w:pPr>
      <w:r>
        <w:rPr>
          <w:rFonts w:hint="eastAsia" w:ascii="仿宋" w:hAnsi="仿宋" w:eastAsia="仿宋"/>
          <w:color w:val="auto"/>
          <w:sz w:val="24"/>
          <w:szCs w:val="24"/>
          <w:highlight w:val="none"/>
        </w:rPr>
        <w:t>（2）供应商在响应文件中提供虚假材料的；</w:t>
      </w:r>
    </w:p>
    <w:p>
      <w:pPr>
        <w:pStyle w:val="17"/>
        <w:spacing w:line="520" w:lineRule="exact"/>
        <w:ind w:left="1120"/>
        <w:rPr>
          <w:rFonts w:ascii="仿宋" w:hAnsi="仿宋" w:eastAsia="仿宋"/>
          <w:color w:val="auto"/>
          <w:sz w:val="24"/>
          <w:szCs w:val="24"/>
          <w:highlight w:val="none"/>
        </w:rPr>
      </w:pPr>
      <w:r>
        <w:rPr>
          <w:rFonts w:hint="eastAsia" w:ascii="仿宋" w:hAnsi="仿宋" w:eastAsia="仿宋"/>
          <w:color w:val="auto"/>
          <w:sz w:val="24"/>
          <w:szCs w:val="24"/>
          <w:highlight w:val="none"/>
        </w:rPr>
        <w:t>（3）除因不可抗力采购文件认可的情形以外，成交供应商不与采购人签订合同的；</w:t>
      </w:r>
    </w:p>
    <w:p>
      <w:pPr>
        <w:pStyle w:val="17"/>
        <w:spacing w:line="520" w:lineRule="exact"/>
        <w:ind w:left="1120"/>
        <w:rPr>
          <w:rFonts w:ascii="仿宋" w:hAnsi="仿宋" w:eastAsia="仿宋"/>
          <w:color w:val="auto"/>
          <w:sz w:val="24"/>
          <w:szCs w:val="24"/>
          <w:highlight w:val="none"/>
        </w:rPr>
      </w:pPr>
      <w:r>
        <w:rPr>
          <w:rFonts w:hint="eastAsia" w:ascii="仿宋" w:hAnsi="仿宋" w:eastAsia="仿宋"/>
          <w:color w:val="auto"/>
          <w:sz w:val="24"/>
          <w:szCs w:val="24"/>
          <w:highlight w:val="none"/>
        </w:rPr>
        <w:t>（4）供应商与采购人、其他供应商或者采购代理机构恶意串通的；</w:t>
      </w:r>
    </w:p>
    <w:p>
      <w:pPr>
        <w:pStyle w:val="17"/>
        <w:spacing w:line="520" w:lineRule="exact"/>
        <w:ind w:left="1120"/>
        <w:rPr>
          <w:rFonts w:ascii="仿宋" w:hAnsi="仿宋" w:eastAsia="仿宋"/>
          <w:color w:val="auto"/>
          <w:sz w:val="24"/>
          <w:szCs w:val="24"/>
          <w:highlight w:val="none"/>
        </w:rPr>
      </w:pPr>
      <w:r>
        <w:rPr>
          <w:rFonts w:hint="eastAsia" w:ascii="仿宋" w:hAnsi="仿宋" w:eastAsia="仿宋"/>
          <w:color w:val="auto"/>
          <w:sz w:val="24"/>
          <w:szCs w:val="24"/>
          <w:highlight w:val="none"/>
        </w:rPr>
        <w:t>（5）采购文件规定的其他情形。</w:t>
      </w:r>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75" w:name="_TOC_250048"/>
      <w:bookmarkEnd w:id="75"/>
      <w:r>
        <w:rPr>
          <w:rFonts w:ascii="仿宋" w:hAnsi="仿宋" w:eastAsia="仿宋"/>
          <w:color w:val="auto"/>
          <w:spacing w:val="-1"/>
          <w:sz w:val="24"/>
          <w:szCs w:val="24"/>
          <w:highlight w:val="none"/>
        </w:rPr>
        <w:t>谈判有效期</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谈判应自</w:t>
      </w:r>
      <w:r>
        <w:rPr>
          <w:rFonts w:hint="eastAsia" w:ascii="仿宋" w:hAnsi="仿宋" w:eastAsia="仿宋"/>
          <w:color w:val="auto"/>
          <w:sz w:val="24"/>
          <w:highlight w:val="none"/>
        </w:rPr>
        <w:t>“</w:t>
      </w:r>
      <w:r>
        <w:rPr>
          <w:rFonts w:ascii="仿宋" w:hAnsi="仿宋" w:eastAsia="仿宋"/>
          <w:color w:val="auto"/>
          <w:sz w:val="24"/>
          <w:highlight w:val="none"/>
        </w:rPr>
        <w:t>供应商须知前附表”中规定的递交谈判响应文件的截止之日起，并在</w:t>
      </w:r>
      <w:r>
        <w:rPr>
          <w:rFonts w:hint="eastAsia" w:ascii="仿宋" w:hAnsi="仿宋" w:eastAsia="仿宋"/>
          <w:color w:val="auto"/>
          <w:sz w:val="24"/>
          <w:highlight w:val="none"/>
        </w:rPr>
        <w:t>“</w:t>
      </w:r>
      <w:r>
        <w:rPr>
          <w:rFonts w:ascii="仿宋" w:hAnsi="仿宋" w:eastAsia="仿宋"/>
          <w:color w:val="auto"/>
          <w:sz w:val="24"/>
          <w:highlight w:val="none"/>
        </w:rPr>
        <w:t>供应商须知前附表”中所述期限内保持有效。谈判有效期不足的视为非实质性响应，谈判响应文件无效。</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特殊情况下，在原谈判有效期截止之前，采购人或采购代理机构可要求供应商延长谈判有效期</w:t>
      </w:r>
      <w:r>
        <w:rPr>
          <w:rFonts w:hint="eastAsia" w:ascii="仿宋" w:hAnsi="仿宋" w:eastAsia="仿宋"/>
          <w:color w:val="auto"/>
          <w:sz w:val="24"/>
          <w:highlight w:val="none"/>
        </w:rPr>
        <w:t>，</w:t>
      </w:r>
      <w:r>
        <w:rPr>
          <w:rFonts w:ascii="仿宋" w:hAnsi="仿宋" w:eastAsia="仿宋"/>
          <w:color w:val="auto"/>
          <w:sz w:val="24"/>
          <w:highlight w:val="none"/>
        </w:rPr>
        <w:t>并以书面形式通知所有已参加谈判的供应商。供应商可拒绝采购人或采购代理机构的这种要求，其谈判保证金将予以退还。同意延长谈判有效期的供应商将不会被要求和允许修正其谈判</w:t>
      </w:r>
      <w:r>
        <w:rPr>
          <w:rFonts w:hint="eastAsia" w:ascii="仿宋" w:hAnsi="仿宋" w:eastAsia="仿宋"/>
          <w:color w:val="auto"/>
          <w:sz w:val="24"/>
          <w:highlight w:val="none"/>
        </w:rPr>
        <w:t>响应文件</w:t>
      </w:r>
      <w:r>
        <w:rPr>
          <w:rFonts w:ascii="仿宋" w:hAnsi="仿宋" w:eastAsia="仿宋"/>
          <w:color w:val="auto"/>
          <w:sz w:val="24"/>
          <w:highlight w:val="none"/>
        </w:rPr>
        <w:t>，而只会被要求相应地延长其谈判保证金的有效期。在这种情况下，本须知第 1</w:t>
      </w:r>
      <w:r>
        <w:rPr>
          <w:rFonts w:hint="eastAsia" w:ascii="仿宋" w:hAnsi="仿宋" w:eastAsia="仿宋"/>
          <w:color w:val="auto"/>
          <w:sz w:val="24"/>
          <w:highlight w:val="none"/>
        </w:rPr>
        <w:t>6</w:t>
      </w:r>
      <w:r>
        <w:rPr>
          <w:rFonts w:ascii="仿宋" w:hAnsi="仿宋" w:eastAsia="仿宋"/>
          <w:color w:val="auto"/>
          <w:sz w:val="24"/>
          <w:highlight w:val="none"/>
        </w:rPr>
        <w:t xml:space="preserve"> 条有关谈判保证金的退还和不予退还的规定将在延长了的有效期内继续有效。</w:t>
      </w:r>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76" w:name="_TOC_250047"/>
      <w:bookmarkEnd w:id="76"/>
      <w:r>
        <w:rPr>
          <w:rFonts w:ascii="仿宋" w:hAnsi="仿宋" w:eastAsia="仿宋"/>
          <w:color w:val="auto"/>
          <w:spacing w:val="-1"/>
          <w:sz w:val="24"/>
          <w:szCs w:val="24"/>
          <w:highlight w:val="none"/>
        </w:rPr>
        <w:t>谈判响应文件的</w:t>
      </w:r>
      <w:r>
        <w:rPr>
          <w:rFonts w:hint="eastAsia" w:ascii="仿宋" w:hAnsi="仿宋" w:eastAsia="仿宋"/>
          <w:color w:val="auto"/>
          <w:spacing w:val="-1"/>
          <w:sz w:val="24"/>
          <w:szCs w:val="24"/>
          <w:highlight w:val="none"/>
        </w:rPr>
        <w:t>式样、装订和签署</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在竞争性谈判文件有规定格式的项目上，供应商必须按照规定格式填写；竞争性谈判文件中未规定的内容，供应商作为谈判响应文件附件载入谈判响应文件的，供应商可以自行编制。全套谈判响应文件的幅面应一致，并统一编码。</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谈判响应文件必须用不褪色的蓝黑或黑色墨水填写或打印。</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供应商应准备一份谈判响应文件正本和“供应商须知前附表”规定份数的副本。每份谈判响应文件须清楚地标明“正本”或“副本”字样。谈判响应文件的副本可采用正本的复印件。</w:t>
      </w:r>
      <w:r>
        <w:rPr>
          <w:rFonts w:hint="eastAsia" w:ascii="仿宋" w:hAnsi="仿宋" w:eastAsia="仿宋"/>
          <w:b/>
          <w:bCs/>
          <w:color w:val="auto"/>
          <w:sz w:val="24"/>
          <w:highlight w:val="none"/>
        </w:rPr>
        <w:t>副本内容及页码必须与正本一致，否则将视其响应文件无效。</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谈判响应文件的正本和所有的副本均应有供应商或经供应商正式授权的代表签字。授权代表须将以书面形式出具的“授权证书”附在谈判响应文件上。</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除供应商对错处作必要修改外，谈判响应文件不得在行间插字、涂改或增删。</w:t>
      </w:r>
      <w:r>
        <w:rPr>
          <w:rFonts w:hint="eastAsia" w:ascii="仿宋" w:hAnsi="仿宋" w:eastAsia="仿宋"/>
          <w:b/>
          <w:bCs/>
          <w:color w:val="auto"/>
          <w:sz w:val="24"/>
          <w:highlight w:val="none"/>
        </w:rPr>
        <w:t>如有修改错漏处，必须有法定代表人或授权代表的签字或盖章。</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响应文件因字迹潦草或表达不清或无法辨认所引起的后果由供应商负责。</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电报、电传、传真形式的响应文件概不接受。</w:t>
      </w:r>
    </w:p>
    <w:p>
      <w:pPr>
        <w:pStyle w:val="3"/>
        <w:rPr>
          <w:rFonts w:ascii="仿宋" w:hAnsi="仿宋" w:eastAsia="仿宋"/>
          <w:color w:val="auto"/>
          <w:highlight w:val="none"/>
        </w:rPr>
      </w:pPr>
      <w:bookmarkStart w:id="77" w:name="_TOC_250046"/>
      <w:bookmarkEnd w:id="77"/>
      <w:bookmarkStart w:id="78" w:name="_Toc6050"/>
      <w:r>
        <w:rPr>
          <w:rFonts w:ascii="仿宋" w:hAnsi="仿宋" w:eastAsia="仿宋"/>
          <w:color w:val="auto"/>
          <w:highlight w:val="none"/>
        </w:rPr>
        <w:t>四、谈判响应文件的递交</w:t>
      </w:r>
      <w:bookmarkEnd w:id="78"/>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79" w:name="_TOC_250045"/>
      <w:bookmarkEnd w:id="79"/>
      <w:r>
        <w:rPr>
          <w:rFonts w:ascii="仿宋" w:hAnsi="仿宋" w:eastAsia="仿宋"/>
          <w:color w:val="auto"/>
          <w:spacing w:val="-1"/>
          <w:sz w:val="24"/>
          <w:szCs w:val="24"/>
          <w:highlight w:val="none"/>
        </w:rPr>
        <w:t>谈判响应文件的</w:t>
      </w:r>
      <w:r>
        <w:rPr>
          <w:rFonts w:hint="eastAsia" w:ascii="仿宋" w:hAnsi="仿宋" w:eastAsia="仿宋"/>
          <w:color w:val="auto"/>
          <w:spacing w:val="-1"/>
          <w:sz w:val="24"/>
          <w:szCs w:val="24"/>
          <w:highlight w:val="none"/>
        </w:rPr>
        <w:t>密封及标记</w:t>
      </w:r>
    </w:p>
    <w:p>
      <w:pPr>
        <w:numPr>
          <w:ilvl w:val="1"/>
          <w:numId w:val="6"/>
        </w:numPr>
        <w:spacing w:line="520" w:lineRule="exact"/>
        <w:rPr>
          <w:rFonts w:ascii="仿宋" w:hAnsi="仿宋" w:eastAsia="仿宋"/>
          <w:b/>
          <w:bCs/>
          <w:color w:val="auto"/>
          <w:sz w:val="24"/>
          <w:highlight w:val="none"/>
        </w:rPr>
      </w:pPr>
      <w:r>
        <w:rPr>
          <w:rFonts w:hint="eastAsia" w:ascii="仿宋" w:hAnsi="仿宋" w:eastAsia="仿宋"/>
          <w:color w:val="auto"/>
          <w:sz w:val="24"/>
          <w:highlight w:val="none"/>
        </w:rPr>
        <w:t>供应商应将谈判响应文件正本和所有副本封装在一个包装袋中，</w:t>
      </w:r>
      <w:r>
        <w:rPr>
          <w:rFonts w:hint="eastAsia" w:ascii="仿宋" w:hAnsi="仿宋" w:eastAsia="仿宋"/>
          <w:b/>
          <w:bCs/>
          <w:color w:val="auto"/>
          <w:sz w:val="24"/>
          <w:highlight w:val="none"/>
        </w:rPr>
        <w:t>并在封签处加盖公章，由法定代表人或其授权代表人签字。</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装谈判响应文件的外层</w:t>
      </w:r>
      <w:r>
        <w:rPr>
          <w:rFonts w:ascii="仿宋" w:hAnsi="仿宋" w:eastAsia="仿宋"/>
          <w:color w:val="auto"/>
          <w:sz w:val="24"/>
          <w:highlight w:val="none"/>
        </w:rPr>
        <w:t>密封袋</w:t>
      </w:r>
      <w:r>
        <w:rPr>
          <w:rFonts w:hint="eastAsia" w:ascii="仿宋" w:hAnsi="仿宋" w:eastAsia="仿宋"/>
          <w:color w:val="auto"/>
          <w:sz w:val="24"/>
          <w:highlight w:val="none"/>
        </w:rPr>
        <w:t>上均应注明：谈判项目名称、项目编号、供应商名称、地址、邮政编码、电话、联系人，并注明“谈判时启封”字样。</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如果外层</w:t>
      </w:r>
      <w:r>
        <w:rPr>
          <w:rFonts w:ascii="仿宋" w:hAnsi="仿宋" w:eastAsia="仿宋"/>
          <w:color w:val="auto"/>
          <w:sz w:val="24"/>
          <w:highlight w:val="none"/>
        </w:rPr>
        <w:t>密封袋</w:t>
      </w:r>
      <w:r>
        <w:rPr>
          <w:rFonts w:hint="eastAsia" w:ascii="仿宋" w:hAnsi="仿宋" w:eastAsia="仿宋"/>
          <w:color w:val="auto"/>
          <w:sz w:val="24"/>
          <w:highlight w:val="none"/>
        </w:rPr>
        <w:t>未按上述要求密封或加写标记，代理机构对误投或过早启封概不负责，对由此造成提前开封的谈判响应文件，代理机构应予以拒绝，并退回供应商。</w:t>
      </w:r>
    </w:p>
    <w:p>
      <w:pPr>
        <w:numPr>
          <w:ilvl w:val="1"/>
          <w:numId w:val="6"/>
        </w:numPr>
        <w:spacing w:line="520" w:lineRule="exact"/>
        <w:rPr>
          <w:rFonts w:ascii="仿宋" w:hAnsi="仿宋" w:eastAsia="仿宋"/>
          <w:b/>
          <w:bCs/>
          <w:color w:val="auto"/>
          <w:sz w:val="24"/>
          <w:highlight w:val="none"/>
        </w:rPr>
      </w:pPr>
      <w:r>
        <w:rPr>
          <w:rFonts w:hint="eastAsia" w:ascii="仿宋" w:hAnsi="仿宋" w:eastAsia="仿宋"/>
          <w:b/>
          <w:bCs/>
          <w:color w:val="auto"/>
          <w:sz w:val="24"/>
          <w:highlight w:val="none"/>
        </w:rPr>
        <w:t>原件递交要求：谈判文件要求提供材料原件核查（查验）的，所提供的材料原件必须在谈判截止时间前递交至谈判地点，逾期不予接收。</w:t>
      </w:r>
    </w:p>
    <w:p>
      <w:pPr>
        <w:numPr>
          <w:ilvl w:val="0"/>
          <w:numId w:val="6"/>
        </w:numPr>
        <w:spacing w:line="520" w:lineRule="exact"/>
        <w:rPr>
          <w:rFonts w:ascii="仿宋" w:hAnsi="仿宋" w:eastAsia="仿宋" w:cs="宋体"/>
          <w:b/>
          <w:bCs/>
          <w:color w:val="auto"/>
          <w:kern w:val="0"/>
          <w:sz w:val="24"/>
          <w:highlight w:val="none"/>
        </w:rPr>
      </w:pPr>
      <w:bookmarkStart w:id="80" w:name="_TOC_250044"/>
      <w:bookmarkEnd w:id="80"/>
      <w:r>
        <w:rPr>
          <w:rFonts w:hint="eastAsia" w:ascii="仿宋" w:hAnsi="仿宋" w:eastAsia="仿宋" w:cs="宋体"/>
          <w:b/>
          <w:bCs/>
          <w:color w:val="auto"/>
          <w:kern w:val="0"/>
          <w:sz w:val="24"/>
          <w:highlight w:val="none"/>
        </w:rPr>
        <w:t>谈判响应文件的递交方式和截止时间</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谈判响应文件必须在“谈判邀请函”规定的谈判响应文件递交截止时间前送达指定的谈判地点。已购买竞争性谈判文件的供应商，在提交响应文件的截止时间一日前，未书面通知代理机构放弃谈判的，不得再参加该项目的采购活动。</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供应商递交谈判响应文件后在谈判有效期内不得撤回其响应文件。</w:t>
      </w:r>
    </w:p>
    <w:p>
      <w:pPr>
        <w:numPr>
          <w:ilvl w:val="0"/>
          <w:numId w:val="6"/>
        </w:numPr>
        <w:spacing w:line="520" w:lineRule="exact"/>
        <w:rPr>
          <w:rFonts w:ascii="仿宋" w:hAnsi="仿宋" w:eastAsia="仿宋" w:cs="宋体"/>
          <w:b/>
          <w:bCs/>
          <w:color w:val="auto"/>
          <w:kern w:val="0"/>
          <w:sz w:val="24"/>
          <w:highlight w:val="none"/>
        </w:rPr>
      </w:pPr>
      <w:bookmarkStart w:id="81" w:name="_TOC_250043"/>
      <w:bookmarkEnd w:id="81"/>
      <w:r>
        <w:rPr>
          <w:rFonts w:hint="eastAsia" w:ascii="仿宋" w:hAnsi="仿宋" w:eastAsia="仿宋" w:cs="宋体"/>
          <w:b/>
          <w:bCs/>
          <w:color w:val="auto"/>
          <w:kern w:val="0"/>
          <w:sz w:val="24"/>
          <w:highlight w:val="none"/>
        </w:rPr>
        <w:t>迟交的谈判响应文件</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在谈判响应文件递交截止时间以后送达的谈判响应文件，采购代理机构将拒绝接收。</w:t>
      </w:r>
    </w:p>
    <w:p>
      <w:pPr>
        <w:numPr>
          <w:ilvl w:val="0"/>
          <w:numId w:val="6"/>
        </w:numPr>
        <w:spacing w:line="520" w:lineRule="exact"/>
        <w:rPr>
          <w:rFonts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谈判响应文件的修改和撤回</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供应商在提交响应文件截止时间前，可以对所提交的响应文件进行补充、修改或者撤回， 并书面通知采购代理机构。补充、修改的内容作为响应文件的组成部分。补充、修改的内容与响应文件不一致的，以补充、修改的内容为准。</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从提交响应文件截止时间之后至谈判有效期期满这段时间内，供应商不得撤回其响应文件，否则不予退还其交纳的谈判保证金。</w:t>
      </w:r>
    </w:p>
    <w:p>
      <w:pPr>
        <w:pStyle w:val="3"/>
        <w:spacing w:before="0" w:after="0" w:line="520" w:lineRule="exact"/>
        <w:rPr>
          <w:rFonts w:ascii="仿宋" w:hAnsi="仿宋" w:eastAsia="仿宋"/>
          <w:color w:val="auto"/>
          <w:highlight w:val="none"/>
        </w:rPr>
      </w:pPr>
      <w:bookmarkStart w:id="82" w:name="_TOC_250041"/>
      <w:bookmarkEnd w:id="82"/>
      <w:bookmarkStart w:id="83" w:name="_Toc29567"/>
      <w:r>
        <w:rPr>
          <w:rFonts w:ascii="仿宋" w:hAnsi="仿宋" w:eastAsia="仿宋"/>
          <w:color w:val="auto"/>
          <w:highlight w:val="none"/>
        </w:rPr>
        <w:t>五、谈判</w:t>
      </w:r>
      <w:bookmarkEnd w:id="83"/>
    </w:p>
    <w:p>
      <w:pPr>
        <w:numPr>
          <w:ilvl w:val="0"/>
          <w:numId w:val="6"/>
        </w:numPr>
        <w:spacing w:line="520" w:lineRule="exact"/>
        <w:rPr>
          <w:rFonts w:ascii="仿宋" w:hAnsi="仿宋" w:eastAsia="仿宋" w:cs="宋体"/>
          <w:b/>
          <w:bCs/>
          <w:color w:val="auto"/>
          <w:kern w:val="0"/>
          <w:sz w:val="24"/>
          <w:highlight w:val="none"/>
        </w:rPr>
      </w:pPr>
      <w:bookmarkStart w:id="84" w:name="_TOC_250040"/>
      <w:bookmarkEnd w:id="84"/>
      <w:r>
        <w:rPr>
          <w:rFonts w:ascii="仿宋" w:hAnsi="仿宋" w:eastAsia="仿宋" w:cs="宋体"/>
          <w:b/>
          <w:bCs/>
          <w:color w:val="auto"/>
          <w:kern w:val="0"/>
          <w:sz w:val="24"/>
          <w:highlight w:val="none"/>
        </w:rPr>
        <w:t>谈判小组</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采购代理机构应依法成立谈判小组。评审工作将由谈判小组负责。</w:t>
      </w:r>
    </w:p>
    <w:p>
      <w:pPr>
        <w:numPr>
          <w:ilvl w:val="0"/>
          <w:numId w:val="6"/>
        </w:numPr>
        <w:spacing w:line="520" w:lineRule="exact"/>
        <w:rPr>
          <w:rFonts w:ascii="仿宋" w:hAnsi="仿宋" w:eastAsia="仿宋" w:cs="宋体"/>
          <w:b/>
          <w:bCs/>
          <w:color w:val="auto"/>
          <w:kern w:val="0"/>
          <w:sz w:val="24"/>
          <w:highlight w:val="none"/>
        </w:rPr>
      </w:pPr>
      <w:bookmarkStart w:id="85" w:name="_TOC_250035"/>
      <w:bookmarkEnd w:id="85"/>
      <w:r>
        <w:rPr>
          <w:rFonts w:hint="eastAsia" w:ascii="仿宋" w:hAnsi="仿宋" w:eastAsia="仿宋" w:cs="宋体"/>
          <w:b/>
          <w:bCs/>
          <w:color w:val="auto"/>
          <w:kern w:val="0"/>
          <w:sz w:val="24"/>
          <w:highlight w:val="none"/>
        </w:rPr>
        <w:t>谈判组织</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采购代理机构在“谈判邀请函”中规定的时间和地点组织谈判。参加谈判的供应商代表应签名报到以证明其出席。签到时间以递交谈判响应文件时间为准。</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截至响应文件递交截止时间，递交响应文件的供应商数量不足3家的谈判终止。谈判响应文件原封退回各供应商。</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采购代理机构根据供应商签到表公布响应供应商名单。</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谈判前由经推荐的响应供应商代表与监督人代表共同检查谈判响应文件的密封情况，并通报检验结果。</w:t>
      </w:r>
    </w:p>
    <w:p>
      <w:pPr>
        <w:numPr>
          <w:ilvl w:val="1"/>
          <w:numId w:val="6"/>
        </w:numPr>
        <w:spacing w:line="520" w:lineRule="exact"/>
        <w:rPr>
          <w:rFonts w:ascii="仿宋" w:hAnsi="仿宋" w:eastAsia="仿宋"/>
          <w:b/>
          <w:color w:val="auto"/>
          <w:highlight w:val="none"/>
        </w:rPr>
      </w:pPr>
      <w:r>
        <w:rPr>
          <w:rFonts w:ascii="仿宋" w:hAnsi="仿宋" w:eastAsia="仿宋"/>
          <w:color w:val="auto"/>
          <w:sz w:val="24"/>
          <w:highlight w:val="none"/>
        </w:rPr>
        <w:t>响应文件初审</w:t>
      </w:r>
    </w:p>
    <w:p>
      <w:pPr>
        <w:pStyle w:val="67"/>
        <w:numPr>
          <w:ilvl w:val="2"/>
          <w:numId w:val="6"/>
        </w:numPr>
        <w:tabs>
          <w:tab w:val="left" w:pos="1559"/>
        </w:tabs>
        <w:autoSpaceDE w:val="0"/>
        <w:autoSpaceDN w:val="0"/>
        <w:spacing w:line="520" w:lineRule="exact"/>
        <w:ind w:left="0" w:firstLine="992" w:firstLineChars="424"/>
        <w:rPr>
          <w:rFonts w:ascii="仿宋" w:hAnsi="仿宋" w:eastAsia="仿宋"/>
          <w:color w:val="auto"/>
          <w:spacing w:val="-3"/>
          <w:sz w:val="24"/>
          <w:highlight w:val="none"/>
        </w:rPr>
      </w:pPr>
      <w:r>
        <w:rPr>
          <w:rFonts w:ascii="仿宋" w:hAnsi="仿宋" w:eastAsia="仿宋"/>
          <w:color w:val="auto"/>
          <w:spacing w:val="-3"/>
          <w:sz w:val="24"/>
          <w:highlight w:val="none"/>
        </w:rPr>
        <w:t>资格性检查：谈判小组按照竞争性谈判文件中关于资格条件的规定，对供应商谈判响应文件中提供的资格证明文件、谈判保证金进行审查，以确定供应商是否具备参加谈判资格。</w:t>
      </w:r>
    </w:p>
    <w:p>
      <w:pPr>
        <w:pStyle w:val="67"/>
        <w:numPr>
          <w:ilvl w:val="2"/>
          <w:numId w:val="6"/>
        </w:numPr>
        <w:tabs>
          <w:tab w:val="left" w:pos="1559"/>
        </w:tabs>
        <w:autoSpaceDE w:val="0"/>
        <w:autoSpaceDN w:val="0"/>
        <w:spacing w:line="520" w:lineRule="exact"/>
        <w:ind w:left="0" w:firstLine="992" w:firstLineChars="424"/>
        <w:rPr>
          <w:rFonts w:ascii="仿宋" w:hAnsi="仿宋" w:eastAsia="仿宋"/>
          <w:color w:val="auto"/>
          <w:spacing w:val="-3"/>
          <w:sz w:val="24"/>
          <w:highlight w:val="none"/>
        </w:rPr>
      </w:pPr>
      <w:r>
        <w:rPr>
          <w:rFonts w:ascii="仿宋" w:hAnsi="仿宋" w:eastAsia="仿宋"/>
          <w:color w:val="auto"/>
          <w:spacing w:val="-3"/>
          <w:sz w:val="24"/>
          <w:highlight w:val="none"/>
        </w:rPr>
        <w:t>符合性检查：谈判小组按照竞争性谈判文件规定的除资格条件外的其他实质性条款，对符合资格条件供应商的谈判响应文件进行有效性、完整性和响应程度审查。未实质性响应竞争性谈判文件的供应商将按无效处理，不得参加后续谈判。</w:t>
      </w:r>
    </w:p>
    <w:p>
      <w:pPr>
        <w:pStyle w:val="67"/>
        <w:numPr>
          <w:ilvl w:val="2"/>
          <w:numId w:val="6"/>
        </w:numPr>
        <w:tabs>
          <w:tab w:val="left" w:pos="1559"/>
        </w:tabs>
        <w:autoSpaceDE w:val="0"/>
        <w:autoSpaceDN w:val="0"/>
        <w:spacing w:line="520" w:lineRule="exact"/>
        <w:ind w:left="0" w:firstLine="992" w:firstLineChars="424"/>
        <w:rPr>
          <w:rFonts w:ascii="仿宋" w:hAnsi="仿宋" w:eastAsia="仿宋"/>
          <w:color w:val="auto"/>
          <w:spacing w:val="-3"/>
          <w:sz w:val="24"/>
          <w:highlight w:val="none"/>
        </w:rPr>
      </w:pPr>
      <w:r>
        <w:rPr>
          <w:rFonts w:ascii="仿宋" w:hAnsi="仿宋" w:eastAsia="仿宋"/>
          <w:color w:val="auto"/>
          <w:spacing w:val="-3"/>
          <w:sz w:val="24"/>
          <w:highlight w:val="none"/>
        </w:rPr>
        <w:t>资格性及符合性评审过程中，供应商响应文件被视为无效情形详见</w:t>
      </w:r>
      <w:r>
        <w:rPr>
          <w:rFonts w:hint="eastAsia" w:ascii="仿宋" w:hAnsi="仿宋" w:eastAsia="仿宋"/>
          <w:color w:val="auto"/>
          <w:spacing w:val="-3"/>
          <w:sz w:val="24"/>
          <w:highlight w:val="none"/>
        </w:rPr>
        <w:t>“</w:t>
      </w:r>
      <w:r>
        <w:rPr>
          <w:rFonts w:ascii="仿宋" w:hAnsi="仿宋" w:eastAsia="仿宋"/>
          <w:color w:val="auto"/>
          <w:spacing w:val="-3"/>
          <w:sz w:val="24"/>
          <w:highlight w:val="none"/>
        </w:rPr>
        <w:t>供应商须知前附表</w:t>
      </w:r>
      <w:r>
        <w:rPr>
          <w:rFonts w:hint="eastAsia" w:ascii="仿宋" w:hAnsi="仿宋" w:eastAsia="仿宋"/>
          <w:color w:val="auto"/>
          <w:spacing w:val="-3"/>
          <w:sz w:val="24"/>
          <w:highlight w:val="none"/>
        </w:rPr>
        <w:t>”</w:t>
      </w:r>
      <w:r>
        <w:rPr>
          <w:rFonts w:ascii="仿宋" w:hAnsi="仿宋" w:eastAsia="仿宋"/>
          <w:color w:val="auto"/>
          <w:spacing w:val="-3"/>
          <w:sz w:val="24"/>
          <w:highlight w:val="none"/>
        </w:rPr>
        <w:t>。</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响应文件的澄清</w:t>
      </w:r>
    </w:p>
    <w:p>
      <w:pPr>
        <w:pStyle w:val="67"/>
        <w:numPr>
          <w:ilvl w:val="2"/>
          <w:numId w:val="6"/>
        </w:numPr>
        <w:tabs>
          <w:tab w:val="left" w:pos="1559"/>
        </w:tabs>
        <w:autoSpaceDE w:val="0"/>
        <w:autoSpaceDN w:val="0"/>
        <w:spacing w:line="520" w:lineRule="exact"/>
        <w:ind w:left="0" w:firstLine="992" w:firstLineChars="424"/>
        <w:rPr>
          <w:rFonts w:ascii="仿宋" w:hAnsi="仿宋" w:eastAsia="仿宋"/>
          <w:color w:val="auto"/>
          <w:spacing w:val="-3"/>
          <w:sz w:val="24"/>
          <w:highlight w:val="none"/>
        </w:rPr>
      </w:pPr>
      <w:r>
        <w:rPr>
          <w:rFonts w:ascii="仿宋" w:hAnsi="仿宋" w:eastAsia="仿宋"/>
          <w:color w:val="auto"/>
          <w:spacing w:val="-3"/>
          <w:sz w:val="24"/>
          <w:highlight w:val="none"/>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67"/>
        <w:numPr>
          <w:ilvl w:val="2"/>
          <w:numId w:val="6"/>
        </w:numPr>
        <w:tabs>
          <w:tab w:val="left" w:pos="1559"/>
        </w:tabs>
        <w:autoSpaceDE w:val="0"/>
        <w:autoSpaceDN w:val="0"/>
        <w:spacing w:line="520" w:lineRule="exact"/>
        <w:ind w:left="0" w:firstLine="992" w:firstLineChars="424"/>
        <w:rPr>
          <w:rFonts w:ascii="仿宋" w:hAnsi="仿宋" w:eastAsia="仿宋"/>
          <w:color w:val="auto"/>
          <w:spacing w:val="-3"/>
          <w:sz w:val="24"/>
          <w:highlight w:val="none"/>
        </w:rPr>
      </w:pPr>
      <w:r>
        <w:rPr>
          <w:rFonts w:ascii="仿宋" w:hAnsi="仿宋" w:eastAsia="仿宋"/>
          <w:color w:val="auto"/>
          <w:spacing w:val="-3"/>
          <w:sz w:val="24"/>
          <w:highlight w:val="none"/>
        </w:rPr>
        <w:t>谈判小组要求供应商澄清、说明或者更正响应文件应当以书面形式作出。供应商的澄清、说明或者更正应当由法定代表人或其授权代表签字或者加盖公章。</w:t>
      </w:r>
    </w:p>
    <w:p>
      <w:pPr>
        <w:numPr>
          <w:ilvl w:val="0"/>
          <w:numId w:val="6"/>
        </w:numPr>
        <w:spacing w:line="520" w:lineRule="exact"/>
        <w:rPr>
          <w:rFonts w:ascii="仿宋" w:hAnsi="仿宋" w:eastAsia="仿宋" w:cs="宋体"/>
          <w:b/>
          <w:bCs/>
          <w:color w:val="auto"/>
          <w:kern w:val="0"/>
          <w:sz w:val="24"/>
          <w:highlight w:val="none"/>
        </w:rPr>
      </w:pPr>
      <w:r>
        <w:rPr>
          <w:rFonts w:ascii="仿宋" w:hAnsi="仿宋" w:eastAsia="仿宋" w:cs="宋体"/>
          <w:b/>
          <w:bCs/>
          <w:color w:val="auto"/>
          <w:kern w:val="0"/>
          <w:sz w:val="24"/>
          <w:highlight w:val="none"/>
        </w:rPr>
        <w:t>谈判程序</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第一轮谈判：谈判小组所有成员应当集中与每个做出实质性响应的供应商分别进行谈判。谈判中，任何一方不得透露与谈判有关的其他供应商的技术资料、价格和其他信息。</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谈判文件修正</w:t>
      </w:r>
    </w:p>
    <w:p>
      <w:pPr>
        <w:pStyle w:val="67"/>
        <w:numPr>
          <w:ilvl w:val="0"/>
          <w:numId w:val="7"/>
        </w:numPr>
        <w:tabs>
          <w:tab w:val="left" w:pos="1175"/>
        </w:tabs>
        <w:autoSpaceDE w:val="0"/>
        <w:autoSpaceDN w:val="0"/>
        <w:spacing w:line="520" w:lineRule="exact"/>
        <w:ind w:left="0" w:firstLine="993" w:firstLineChars="0"/>
        <w:rPr>
          <w:rFonts w:ascii="仿宋" w:hAnsi="仿宋" w:eastAsia="仿宋"/>
          <w:color w:val="auto"/>
          <w:sz w:val="24"/>
          <w:highlight w:val="none"/>
        </w:rPr>
      </w:pPr>
      <w:r>
        <w:rPr>
          <w:rFonts w:ascii="仿宋" w:hAnsi="仿宋" w:eastAsia="仿宋"/>
          <w:color w:val="auto"/>
          <w:sz w:val="24"/>
          <w:highlight w:val="none"/>
        </w:rPr>
        <w:t>第一轮谈判结束后，谈判小组可以根据谈判文件和谈判情况实质性变动采购需求中的技术、服务要求以及合同草案条款，但不得变动谈判文件中的其他内容。实质性变动的内容，须经采购人代表确认。</w:t>
      </w:r>
    </w:p>
    <w:p>
      <w:pPr>
        <w:pStyle w:val="67"/>
        <w:numPr>
          <w:ilvl w:val="0"/>
          <w:numId w:val="7"/>
        </w:numPr>
        <w:tabs>
          <w:tab w:val="left" w:pos="1175"/>
        </w:tabs>
        <w:autoSpaceDE w:val="0"/>
        <w:autoSpaceDN w:val="0"/>
        <w:spacing w:line="520" w:lineRule="exact"/>
        <w:ind w:left="0" w:firstLine="993" w:firstLineChars="0"/>
        <w:rPr>
          <w:rFonts w:ascii="仿宋" w:hAnsi="仿宋" w:eastAsia="仿宋"/>
          <w:color w:val="auto"/>
          <w:sz w:val="24"/>
          <w:highlight w:val="none"/>
        </w:rPr>
      </w:pPr>
      <w:r>
        <w:rPr>
          <w:rFonts w:ascii="仿宋" w:hAnsi="仿宋" w:eastAsia="仿宋"/>
          <w:color w:val="auto"/>
          <w:sz w:val="24"/>
          <w:highlight w:val="none"/>
        </w:rPr>
        <w:t>代理机构通知所有参加谈判供应商集中，谈判小组将实质性变动后的谈判文件修改结果以书面形式通知所有参加谈判的供应商。</w:t>
      </w:r>
    </w:p>
    <w:p>
      <w:pPr>
        <w:pStyle w:val="67"/>
        <w:numPr>
          <w:ilvl w:val="1"/>
          <w:numId w:val="6"/>
        </w:numPr>
        <w:tabs>
          <w:tab w:val="left" w:pos="1175"/>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z w:val="24"/>
          <w:highlight w:val="none"/>
        </w:rPr>
        <w:t>供应商应当按照谈判文件的变动情况和谈判小组的要求重新提交响应文件，并在规定时间内由其法定代表人或授权代表签字或者加盖公章后密封送交谈判小组。逾时不交的，视同放弃谈判。</w:t>
      </w:r>
    </w:p>
    <w:p>
      <w:pPr>
        <w:pStyle w:val="67"/>
        <w:numPr>
          <w:ilvl w:val="1"/>
          <w:numId w:val="6"/>
        </w:numPr>
        <w:tabs>
          <w:tab w:val="left" w:pos="1175"/>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z w:val="24"/>
          <w:highlight w:val="none"/>
        </w:rPr>
        <w:t>第二轮谈判</w:t>
      </w:r>
    </w:p>
    <w:p>
      <w:pPr>
        <w:pStyle w:val="67"/>
        <w:numPr>
          <w:ilvl w:val="0"/>
          <w:numId w:val="8"/>
        </w:numPr>
        <w:tabs>
          <w:tab w:val="left" w:pos="1175"/>
        </w:tabs>
        <w:autoSpaceDE w:val="0"/>
        <w:autoSpaceDN w:val="0"/>
        <w:spacing w:line="520" w:lineRule="exact"/>
        <w:ind w:left="0" w:firstLine="993" w:firstLineChars="0"/>
        <w:rPr>
          <w:rFonts w:ascii="仿宋" w:hAnsi="仿宋" w:eastAsia="仿宋"/>
          <w:color w:val="auto"/>
          <w:sz w:val="24"/>
          <w:highlight w:val="none"/>
        </w:rPr>
      </w:pPr>
      <w:r>
        <w:rPr>
          <w:rFonts w:ascii="仿宋" w:hAnsi="仿宋" w:eastAsia="仿宋"/>
          <w:color w:val="auto"/>
          <w:sz w:val="24"/>
          <w:highlight w:val="none"/>
        </w:rPr>
        <w:t>谈判小组就修正后的响应文件与响应供应商分别进行谈判。代理机构对谈判过程和谈判内容进行记录，谈判小组召集人和响应供应商在记录上签字确认。并按本须知“第2</w:t>
      </w:r>
      <w:r>
        <w:rPr>
          <w:rFonts w:hint="eastAsia" w:ascii="仿宋" w:hAnsi="仿宋" w:eastAsia="仿宋"/>
          <w:color w:val="auto"/>
          <w:sz w:val="24"/>
          <w:highlight w:val="none"/>
        </w:rPr>
        <w:t>6</w:t>
      </w:r>
      <w:r>
        <w:rPr>
          <w:rFonts w:ascii="仿宋" w:hAnsi="仿宋" w:eastAsia="仿宋"/>
          <w:color w:val="auto"/>
          <w:sz w:val="24"/>
          <w:highlight w:val="none"/>
        </w:rPr>
        <w:t>条”最后报价的要求，进行最后报价，谈判小组按谈判文件设定的方法和标准确定成交候选人。</w:t>
      </w:r>
    </w:p>
    <w:p>
      <w:pPr>
        <w:pStyle w:val="67"/>
        <w:numPr>
          <w:ilvl w:val="0"/>
          <w:numId w:val="8"/>
        </w:numPr>
        <w:tabs>
          <w:tab w:val="left" w:pos="1168"/>
        </w:tabs>
        <w:autoSpaceDE w:val="0"/>
        <w:autoSpaceDN w:val="0"/>
        <w:spacing w:line="520" w:lineRule="exact"/>
        <w:ind w:left="0" w:firstLine="993" w:firstLineChars="0"/>
        <w:rPr>
          <w:rFonts w:ascii="仿宋" w:hAnsi="仿宋" w:eastAsia="仿宋"/>
          <w:color w:val="auto"/>
          <w:sz w:val="24"/>
          <w:highlight w:val="none"/>
        </w:rPr>
      </w:pPr>
      <w:r>
        <w:rPr>
          <w:rFonts w:ascii="仿宋" w:hAnsi="仿宋" w:eastAsia="仿宋"/>
          <w:color w:val="auto"/>
          <w:sz w:val="24"/>
          <w:highlight w:val="none"/>
        </w:rPr>
        <w:t>第二轮谈判未能确定成交候选人的，本须知“第2</w:t>
      </w:r>
      <w:r>
        <w:rPr>
          <w:rFonts w:hint="eastAsia" w:ascii="仿宋" w:hAnsi="仿宋" w:eastAsia="仿宋"/>
          <w:color w:val="auto"/>
          <w:sz w:val="24"/>
          <w:highlight w:val="none"/>
        </w:rPr>
        <w:t>5</w:t>
      </w:r>
      <w:r>
        <w:rPr>
          <w:rFonts w:ascii="仿宋" w:hAnsi="仿宋" w:eastAsia="仿宋"/>
          <w:color w:val="auto"/>
          <w:sz w:val="24"/>
          <w:highlight w:val="none"/>
        </w:rPr>
        <w:t>.</w:t>
      </w:r>
      <w:r>
        <w:rPr>
          <w:rFonts w:hint="eastAsia" w:ascii="仿宋" w:hAnsi="仿宋" w:eastAsia="仿宋"/>
          <w:color w:val="auto"/>
          <w:sz w:val="24"/>
          <w:highlight w:val="none"/>
        </w:rPr>
        <w:t>2</w:t>
      </w:r>
      <w:r>
        <w:rPr>
          <w:rFonts w:ascii="仿宋" w:hAnsi="仿宋" w:eastAsia="仿宋"/>
          <w:color w:val="auto"/>
          <w:sz w:val="24"/>
          <w:highlight w:val="none"/>
        </w:rPr>
        <w:t>条”谈判文件修正的要求，对谈判文件修正后进行第三轮谈判。第三轮谈判为最终的谈判。</w:t>
      </w:r>
    </w:p>
    <w:p>
      <w:pPr>
        <w:numPr>
          <w:ilvl w:val="0"/>
          <w:numId w:val="6"/>
        </w:numPr>
        <w:spacing w:line="520" w:lineRule="exact"/>
        <w:rPr>
          <w:rFonts w:ascii="仿宋" w:hAnsi="仿宋" w:eastAsia="仿宋" w:cs="宋体"/>
          <w:b/>
          <w:bCs/>
          <w:color w:val="auto"/>
          <w:kern w:val="0"/>
          <w:sz w:val="24"/>
          <w:highlight w:val="none"/>
        </w:rPr>
      </w:pPr>
      <w:r>
        <w:rPr>
          <w:rFonts w:ascii="仿宋" w:hAnsi="仿宋" w:eastAsia="仿宋" w:cs="宋体"/>
          <w:b/>
          <w:bCs/>
          <w:color w:val="auto"/>
          <w:kern w:val="0"/>
          <w:sz w:val="24"/>
          <w:highlight w:val="none"/>
        </w:rPr>
        <w:t>最后报价</w:t>
      </w:r>
    </w:p>
    <w:p>
      <w:pPr>
        <w:pStyle w:val="67"/>
        <w:numPr>
          <w:ilvl w:val="1"/>
          <w:numId w:val="6"/>
        </w:numPr>
        <w:tabs>
          <w:tab w:val="left" w:pos="1169"/>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z w:val="24"/>
          <w:highlight w:val="none"/>
        </w:rPr>
        <w:t>最终谈判结束后，谈判小组应当要求所有实质性响应且愿意继续参加谈判的供应商在规定时间内密封提交最后报价，提交最后报价的供应商不得少于 3 家。</w:t>
      </w:r>
    </w:p>
    <w:p>
      <w:pPr>
        <w:pStyle w:val="67"/>
        <w:numPr>
          <w:ilvl w:val="1"/>
          <w:numId w:val="6"/>
        </w:numPr>
        <w:tabs>
          <w:tab w:val="left" w:pos="1167"/>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z w:val="24"/>
          <w:highlight w:val="none"/>
        </w:rPr>
        <w:t>最后报价即为合同成交价，在合同履行过程中不得更改，并作为评审依据。</w:t>
      </w:r>
    </w:p>
    <w:p>
      <w:pPr>
        <w:pStyle w:val="67"/>
        <w:numPr>
          <w:ilvl w:val="1"/>
          <w:numId w:val="6"/>
        </w:numPr>
        <w:tabs>
          <w:tab w:val="left" w:pos="1169"/>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z w:val="24"/>
          <w:highlight w:val="none"/>
        </w:rPr>
        <w:t>若没有对技术、商务做实质性修改或对技术、商务做了实质性修改，但没有提高要求，最后报价(含分项报价)不得高于上一轮报价；否则，最后报价(含分项报价)以上轮报价为准作为评审依据。</w:t>
      </w:r>
    </w:p>
    <w:p>
      <w:pPr>
        <w:pStyle w:val="67"/>
        <w:numPr>
          <w:ilvl w:val="1"/>
          <w:numId w:val="6"/>
        </w:numPr>
        <w:tabs>
          <w:tab w:val="left" w:pos="1169"/>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z w:val="24"/>
          <w:highlight w:val="none"/>
        </w:rPr>
        <w:t>已提交响应文件的供应商，在提交最后报价之前，可以根据谈判情况退出谈判。采购人、采购代理机构应当退还退出谈判的供应商的保证金。若供应商放弃最后报价且未做出书面说明的，将视为同意按照首次提交的响应报价进行评</w:t>
      </w:r>
      <w:r>
        <w:rPr>
          <w:rFonts w:hint="eastAsia" w:ascii="仿宋" w:hAnsi="仿宋" w:eastAsia="仿宋"/>
          <w:color w:val="auto"/>
          <w:sz w:val="24"/>
          <w:highlight w:val="none"/>
        </w:rPr>
        <w:t>审</w:t>
      </w:r>
      <w:r>
        <w:rPr>
          <w:rFonts w:ascii="仿宋" w:hAnsi="仿宋" w:eastAsia="仿宋"/>
          <w:color w:val="auto"/>
          <w:sz w:val="24"/>
          <w:highlight w:val="none"/>
        </w:rPr>
        <w:t>。</w:t>
      </w:r>
    </w:p>
    <w:p>
      <w:pPr>
        <w:pStyle w:val="67"/>
        <w:numPr>
          <w:ilvl w:val="1"/>
          <w:numId w:val="6"/>
        </w:numPr>
        <w:tabs>
          <w:tab w:val="left" w:pos="1175"/>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z w:val="24"/>
          <w:highlight w:val="none"/>
        </w:rPr>
        <w:t>供应商未在谈判小组规定的时间将最后报价表送达指定地点的视同放弃最后报价。</w:t>
      </w:r>
    </w:p>
    <w:p>
      <w:pPr>
        <w:pStyle w:val="67"/>
        <w:numPr>
          <w:ilvl w:val="1"/>
          <w:numId w:val="6"/>
        </w:numPr>
        <w:tabs>
          <w:tab w:val="left" w:pos="1175"/>
        </w:tabs>
        <w:autoSpaceDE w:val="0"/>
        <w:autoSpaceDN w:val="0"/>
        <w:spacing w:line="520" w:lineRule="exact"/>
        <w:ind w:firstLineChars="0"/>
        <w:rPr>
          <w:rFonts w:ascii="仿宋" w:hAnsi="仿宋" w:eastAsia="仿宋"/>
          <w:color w:val="auto"/>
          <w:sz w:val="24"/>
          <w:highlight w:val="none"/>
        </w:rPr>
      </w:pPr>
      <w:r>
        <w:rPr>
          <w:rFonts w:ascii="仿宋" w:hAnsi="仿宋" w:eastAsia="仿宋"/>
          <w:color w:val="auto"/>
          <w:sz w:val="24"/>
          <w:highlight w:val="none"/>
        </w:rPr>
        <w:t>本项目出现下列情形之一的，应当终止采购活动，发布项目终止公告并说明原因，择日重新开展采购活动：</w:t>
      </w:r>
    </w:p>
    <w:p>
      <w:pPr>
        <w:pStyle w:val="67"/>
        <w:numPr>
          <w:ilvl w:val="0"/>
          <w:numId w:val="9"/>
        </w:numPr>
        <w:tabs>
          <w:tab w:val="left" w:pos="1501"/>
        </w:tabs>
        <w:autoSpaceDE w:val="0"/>
        <w:autoSpaceDN w:val="0"/>
        <w:spacing w:line="520" w:lineRule="exact"/>
        <w:ind w:left="0" w:firstLine="1134" w:firstLineChars="0"/>
        <w:rPr>
          <w:rFonts w:ascii="仿宋" w:hAnsi="仿宋" w:eastAsia="仿宋"/>
          <w:color w:val="auto"/>
          <w:sz w:val="24"/>
          <w:highlight w:val="none"/>
        </w:rPr>
      </w:pPr>
      <w:r>
        <w:rPr>
          <w:rFonts w:ascii="仿宋" w:hAnsi="仿宋" w:eastAsia="仿宋"/>
          <w:color w:val="auto"/>
          <w:sz w:val="24"/>
          <w:highlight w:val="none"/>
        </w:rPr>
        <w:t>因情况变化，不再符合规定的竞争性谈判采购方式适用情形的；</w:t>
      </w:r>
    </w:p>
    <w:p>
      <w:pPr>
        <w:pStyle w:val="67"/>
        <w:numPr>
          <w:ilvl w:val="0"/>
          <w:numId w:val="9"/>
        </w:numPr>
        <w:tabs>
          <w:tab w:val="left" w:pos="1501"/>
        </w:tabs>
        <w:autoSpaceDE w:val="0"/>
        <w:autoSpaceDN w:val="0"/>
        <w:spacing w:line="520" w:lineRule="exact"/>
        <w:ind w:left="0" w:firstLine="1134" w:firstLineChars="0"/>
        <w:rPr>
          <w:rFonts w:ascii="仿宋" w:hAnsi="仿宋" w:eastAsia="仿宋"/>
          <w:color w:val="auto"/>
          <w:sz w:val="24"/>
          <w:highlight w:val="none"/>
        </w:rPr>
      </w:pPr>
      <w:r>
        <w:rPr>
          <w:rFonts w:ascii="仿宋" w:hAnsi="仿宋" w:eastAsia="仿宋"/>
          <w:color w:val="auto"/>
          <w:sz w:val="24"/>
          <w:highlight w:val="none"/>
        </w:rPr>
        <w:t>出现影响采购公正的违法、违规行为的；</w:t>
      </w:r>
    </w:p>
    <w:p>
      <w:pPr>
        <w:pStyle w:val="67"/>
        <w:numPr>
          <w:ilvl w:val="0"/>
          <w:numId w:val="9"/>
        </w:numPr>
        <w:tabs>
          <w:tab w:val="left" w:pos="1501"/>
        </w:tabs>
        <w:autoSpaceDE w:val="0"/>
        <w:autoSpaceDN w:val="0"/>
        <w:spacing w:line="520" w:lineRule="exact"/>
        <w:ind w:left="0" w:firstLine="1134" w:firstLineChars="0"/>
        <w:rPr>
          <w:rFonts w:ascii="仿宋" w:hAnsi="仿宋" w:eastAsia="仿宋"/>
          <w:color w:val="auto"/>
          <w:sz w:val="24"/>
          <w:highlight w:val="none"/>
        </w:rPr>
      </w:pPr>
      <w:r>
        <w:rPr>
          <w:rFonts w:ascii="仿宋" w:hAnsi="仿宋" w:eastAsia="仿宋"/>
          <w:color w:val="auto"/>
          <w:sz w:val="24"/>
          <w:highlight w:val="none"/>
        </w:rPr>
        <w:t>在采购过程中符合要求的供应商或者报价未超过采购预算的供应商不足 3 家的。</w:t>
      </w:r>
    </w:p>
    <w:p>
      <w:pPr>
        <w:numPr>
          <w:ilvl w:val="0"/>
          <w:numId w:val="6"/>
        </w:numPr>
        <w:spacing w:line="520" w:lineRule="exact"/>
        <w:rPr>
          <w:rFonts w:ascii="仿宋" w:hAnsi="仿宋" w:eastAsia="仿宋"/>
          <w:color w:val="auto"/>
          <w:highlight w:val="none"/>
        </w:rPr>
      </w:pPr>
      <w:r>
        <w:rPr>
          <w:rFonts w:ascii="仿宋" w:hAnsi="仿宋" w:eastAsia="仿宋" w:cs="宋体"/>
          <w:b/>
          <w:bCs/>
          <w:color w:val="auto"/>
          <w:kern w:val="0"/>
          <w:sz w:val="24"/>
          <w:highlight w:val="none"/>
        </w:rPr>
        <w:t>响应文件的评价与比较</w:t>
      </w:r>
    </w:p>
    <w:p>
      <w:pPr>
        <w:pStyle w:val="67"/>
        <w:numPr>
          <w:ilvl w:val="1"/>
          <w:numId w:val="6"/>
        </w:numPr>
        <w:tabs>
          <w:tab w:val="left" w:pos="1169"/>
        </w:tabs>
        <w:autoSpaceDE w:val="0"/>
        <w:autoSpaceDN w:val="0"/>
        <w:spacing w:line="520" w:lineRule="exact"/>
        <w:ind w:firstLineChars="0"/>
        <w:rPr>
          <w:rFonts w:ascii="仿宋" w:hAnsi="仿宋" w:eastAsia="仿宋"/>
          <w:color w:val="auto"/>
          <w:sz w:val="24"/>
          <w:highlight w:val="none"/>
        </w:rPr>
      </w:pPr>
      <w:r>
        <w:rPr>
          <w:rFonts w:ascii="仿宋" w:hAnsi="仿宋" w:eastAsia="仿宋" w:cs="宋体"/>
          <w:color w:val="auto"/>
          <w:kern w:val="0"/>
          <w:sz w:val="24"/>
          <w:highlight w:val="none"/>
        </w:rPr>
        <w:t>谈判小组应当从质量和服务均能满足采购文件实质性响应要求的供应商中，按照最后报价由低到高的顺序提出3名以上成交候选人，并编写评审报告</w:t>
      </w:r>
      <w:r>
        <w:rPr>
          <w:rFonts w:ascii="仿宋" w:hAnsi="仿宋" w:eastAsia="仿宋"/>
          <w:color w:val="auto"/>
          <w:sz w:val="24"/>
          <w:highlight w:val="none"/>
        </w:rPr>
        <w:t>。</w:t>
      </w:r>
    </w:p>
    <w:p>
      <w:pPr>
        <w:pStyle w:val="3"/>
        <w:rPr>
          <w:rFonts w:ascii="仿宋" w:hAnsi="仿宋" w:eastAsia="仿宋"/>
          <w:color w:val="auto"/>
          <w:highlight w:val="none"/>
        </w:rPr>
      </w:pPr>
      <w:bookmarkStart w:id="86" w:name="_TOC_250034"/>
      <w:bookmarkEnd w:id="86"/>
      <w:bookmarkStart w:id="87" w:name="_Toc18830"/>
      <w:r>
        <w:rPr>
          <w:rFonts w:ascii="仿宋" w:hAnsi="仿宋" w:eastAsia="仿宋"/>
          <w:color w:val="auto"/>
          <w:highlight w:val="none"/>
        </w:rPr>
        <w:t>六、确定成交供应商</w:t>
      </w:r>
      <w:bookmarkEnd w:id="87"/>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88" w:name="_TOC_250032"/>
      <w:bookmarkEnd w:id="88"/>
      <w:bookmarkStart w:id="89" w:name="_TOC_250033"/>
      <w:bookmarkEnd w:id="89"/>
      <w:r>
        <w:rPr>
          <w:rFonts w:ascii="仿宋" w:hAnsi="仿宋" w:eastAsia="仿宋"/>
          <w:color w:val="auto"/>
          <w:spacing w:val="-1"/>
          <w:sz w:val="24"/>
          <w:szCs w:val="24"/>
          <w:highlight w:val="none"/>
        </w:rPr>
        <w:t>推荐成交候选供应商方法</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成交标准，具体详见“供应商须知前附表”。</w:t>
      </w:r>
    </w:p>
    <w:p>
      <w:pPr>
        <w:numPr>
          <w:ilvl w:val="1"/>
          <w:numId w:val="6"/>
        </w:numPr>
        <w:spacing w:line="520" w:lineRule="exact"/>
        <w:rPr>
          <w:rFonts w:ascii="仿宋" w:hAnsi="仿宋" w:eastAsia="仿宋"/>
          <w:color w:val="auto"/>
          <w:sz w:val="24"/>
          <w:highlight w:val="none"/>
        </w:rPr>
      </w:pPr>
      <w:r>
        <w:rPr>
          <w:rFonts w:ascii="仿宋" w:hAnsi="仿宋" w:eastAsia="仿宋" w:cs="宋体"/>
          <w:color w:val="auto"/>
          <w:kern w:val="0"/>
          <w:sz w:val="24"/>
          <w:highlight w:val="none"/>
        </w:rPr>
        <w:t>谈判小组应当从质量和服务均能满足采购文件实质性响应要求的供应商中，按照最后报价由低到高的顺序提</w:t>
      </w:r>
      <w:r>
        <w:rPr>
          <w:rFonts w:hint="eastAsia" w:ascii="仿宋" w:hAnsi="仿宋" w:eastAsia="仿宋" w:cs="宋体"/>
          <w:color w:val="auto"/>
          <w:kern w:val="0"/>
          <w:sz w:val="24"/>
          <w:highlight w:val="none"/>
          <w:lang w:val="en-US" w:eastAsia="zh-CN"/>
        </w:rPr>
        <w:t xml:space="preserve">   </w:t>
      </w:r>
      <w:r>
        <w:rPr>
          <w:rFonts w:ascii="仿宋" w:hAnsi="仿宋" w:eastAsia="仿宋" w:cs="宋体"/>
          <w:color w:val="auto"/>
          <w:kern w:val="0"/>
          <w:sz w:val="24"/>
          <w:highlight w:val="none"/>
        </w:rPr>
        <w:t>出3名以上成交候选人，并编写评审报告</w:t>
      </w:r>
      <w:r>
        <w:rPr>
          <w:rFonts w:ascii="仿宋" w:hAnsi="仿宋" w:eastAsia="仿宋"/>
          <w:color w:val="auto"/>
          <w:sz w:val="24"/>
          <w:highlight w:val="none"/>
        </w:rPr>
        <w:t>。最后报价相同的，按照技术指标优劣顺序排列。</w:t>
      </w:r>
    </w:p>
    <w:p>
      <w:pPr>
        <w:pStyle w:val="56"/>
        <w:numPr>
          <w:ilvl w:val="0"/>
          <w:numId w:val="6"/>
        </w:numPr>
        <w:tabs>
          <w:tab w:val="left" w:pos="959"/>
        </w:tabs>
        <w:spacing w:line="520" w:lineRule="exact"/>
        <w:rPr>
          <w:rFonts w:ascii="仿宋" w:hAnsi="仿宋" w:eastAsia="仿宋"/>
          <w:color w:val="auto"/>
          <w:spacing w:val="-1"/>
          <w:sz w:val="24"/>
          <w:szCs w:val="24"/>
          <w:highlight w:val="none"/>
        </w:rPr>
      </w:pPr>
      <w:r>
        <w:rPr>
          <w:rFonts w:ascii="仿宋" w:hAnsi="仿宋" w:eastAsia="仿宋"/>
          <w:color w:val="auto"/>
          <w:spacing w:val="-1"/>
          <w:sz w:val="24"/>
          <w:szCs w:val="24"/>
          <w:highlight w:val="none"/>
        </w:rPr>
        <w:t>确定成交供应商</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采购代理机构在谈判结束后2个工作日内将评审报告送采购人。采购人应当自收到评审报告之日起5个工作日内，在评审报告确定的</w:t>
      </w:r>
      <w:r>
        <w:rPr>
          <w:rFonts w:hint="eastAsia" w:ascii="仿宋" w:hAnsi="仿宋" w:eastAsia="仿宋"/>
          <w:color w:val="auto"/>
          <w:sz w:val="24"/>
          <w:highlight w:val="none"/>
        </w:rPr>
        <w:t>成交</w:t>
      </w:r>
      <w:r>
        <w:rPr>
          <w:rFonts w:ascii="仿宋" w:hAnsi="仿宋" w:eastAsia="仿宋"/>
          <w:color w:val="auto"/>
          <w:sz w:val="24"/>
          <w:highlight w:val="none"/>
        </w:rPr>
        <w:t>候选</w:t>
      </w:r>
      <w:r>
        <w:rPr>
          <w:rFonts w:hint="eastAsia" w:ascii="仿宋" w:hAnsi="仿宋" w:eastAsia="仿宋"/>
          <w:color w:val="auto"/>
          <w:sz w:val="24"/>
          <w:highlight w:val="none"/>
        </w:rPr>
        <w:t>供应商</w:t>
      </w:r>
      <w:r>
        <w:rPr>
          <w:rFonts w:ascii="仿宋" w:hAnsi="仿宋" w:eastAsia="仿宋"/>
          <w:color w:val="auto"/>
          <w:sz w:val="24"/>
          <w:highlight w:val="none"/>
        </w:rPr>
        <w:t>名单中按顺序确定成交供应商。也可以事先授权谈判小组直接确定成交供应商。</w:t>
      </w:r>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90" w:name="_TOC_250031"/>
      <w:bookmarkEnd w:id="90"/>
      <w:r>
        <w:rPr>
          <w:rFonts w:ascii="仿宋" w:hAnsi="仿宋" w:eastAsia="仿宋"/>
          <w:color w:val="auto"/>
          <w:spacing w:val="-1"/>
          <w:sz w:val="24"/>
          <w:szCs w:val="24"/>
          <w:highlight w:val="none"/>
        </w:rPr>
        <w:t>成交结果公告</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采购代理机构应当自成交供应商确定之日起 2 个工作日内，在</w:t>
      </w:r>
      <w:r>
        <w:rPr>
          <w:rFonts w:hint="eastAsia" w:ascii="仿宋" w:hAnsi="仿宋" w:eastAsia="仿宋"/>
          <w:color w:val="auto"/>
          <w:sz w:val="24"/>
          <w:highlight w:val="none"/>
        </w:rPr>
        <w:t>中国招标网</w:t>
      </w:r>
      <w:r>
        <w:rPr>
          <w:rFonts w:ascii="仿宋" w:hAnsi="仿宋" w:eastAsia="仿宋"/>
          <w:color w:val="auto"/>
          <w:sz w:val="24"/>
          <w:highlight w:val="none"/>
        </w:rPr>
        <w:t>上公告成交结果。成交结果公告期限为 1 个工作日。</w:t>
      </w:r>
      <w:bookmarkStart w:id="91" w:name="_TOC_250030"/>
      <w:bookmarkEnd w:id="91"/>
    </w:p>
    <w:p>
      <w:pPr>
        <w:pStyle w:val="3"/>
        <w:rPr>
          <w:rFonts w:ascii="仿宋" w:hAnsi="仿宋" w:eastAsia="仿宋"/>
          <w:color w:val="auto"/>
          <w:highlight w:val="none"/>
        </w:rPr>
      </w:pPr>
      <w:bookmarkStart w:id="92" w:name="_Toc25563"/>
      <w:r>
        <w:rPr>
          <w:rFonts w:ascii="仿宋" w:hAnsi="仿宋" w:eastAsia="仿宋"/>
          <w:color w:val="auto"/>
          <w:highlight w:val="none"/>
        </w:rPr>
        <w:t>七、授予合同</w:t>
      </w:r>
      <w:bookmarkEnd w:id="92"/>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93" w:name="_TOC_250029"/>
      <w:bookmarkEnd w:id="93"/>
      <w:r>
        <w:rPr>
          <w:rFonts w:ascii="仿宋" w:hAnsi="仿宋" w:eastAsia="仿宋"/>
          <w:color w:val="auto"/>
          <w:spacing w:val="-1"/>
          <w:sz w:val="24"/>
          <w:szCs w:val="24"/>
          <w:highlight w:val="none"/>
        </w:rPr>
        <w:t>成交</w:t>
      </w:r>
      <w:r>
        <w:rPr>
          <w:rFonts w:hint="eastAsia" w:ascii="仿宋" w:hAnsi="仿宋" w:eastAsia="仿宋"/>
          <w:color w:val="auto"/>
          <w:spacing w:val="-1"/>
          <w:sz w:val="24"/>
          <w:szCs w:val="24"/>
          <w:highlight w:val="none"/>
        </w:rPr>
        <w:t>通知书</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在发布成交结果的同时，采购代理机构应当向成交供应商发出成交</w:t>
      </w:r>
      <w:r>
        <w:rPr>
          <w:rFonts w:hint="eastAsia" w:ascii="仿宋" w:hAnsi="仿宋" w:eastAsia="仿宋"/>
          <w:color w:val="auto"/>
          <w:sz w:val="24"/>
          <w:highlight w:val="none"/>
        </w:rPr>
        <w:t>通知书</w:t>
      </w:r>
      <w:r>
        <w:rPr>
          <w:rFonts w:ascii="仿宋" w:hAnsi="仿宋" w:eastAsia="仿宋"/>
          <w:color w:val="auto"/>
          <w:sz w:val="24"/>
          <w:highlight w:val="none"/>
        </w:rPr>
        <w:t>，成交供应商在领取成交</w:t>
      </w:r>
      <w:r>
        <w:rPr>
          <w:rFonts w:hint="eastAsia" w:ascii="仿宋" w:hAnsi="仿宋" w:eastAsia="仿宋"/>
          <w:color w:val="auto"/>
          <w:sz w:val="24"/>
          <w:highlight w:val="none"/>
        </w:rPr>
        <w:t>通知书</w:t>
      </w:r>
      <w:r>
        <w:rPr>
          <w:rFonts w:ascii="仿宋" w:hAnsi="仿宋" w:eastAsia="仿宋"/>
          <w:color w:val="auto"/>
          <w:sz w:val="24"/>
          <w:highlight w:val="none"/>
        </w:rPr>
        <w:t>时须按</w:t>
      </w:r>
      <w:r>
        <w:rPr>
          <w:rFonts w:hint="eastAsia" w:ascii="仿宋" w:hAnsi="仿宋" w:eastAsia="仿宋"/>
          <w:color w:val="auto"/>
          <w:sz w:val="24"/>
          <w:highlight w:val="none"/>
        </w:rPr>
        <w:t>“</w:t>
      </w:r>
      <w:r>
        <w:rPr>
          <w:rFonts w:ascii="仿宋" w:hAnsi="仿宋" w:eastAsia="仿宋"/>
          <w:color w:val="auto"/>
          <w:sz w:val="24"/>
          <w:highlight w:val="none"/>
        </w:rPr>
        <w:t>供应商须知前附表”规定的收费标准向采购代理机构缴纳采购代理服务费。</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成交</w:t>
      </w:r>
      <w:r>
        <w:rPr>
          <w:rFonts w:hint="eastAsia" w:ascii="仿宋" w:hAnsi="仿宋" w:eastAsia="仿宋"/>
          <w:color w:val="auto"/>
          <w:sz w:val="24"/>
          <w:highlight w:val="none"/>
        </w:rPr>
        <w:t>通知书</w:t>
      </w:r>
      <w:r>
        <w:rPr>
          <w:rFonts w:ascii="仿宋" w:hAnsi="仿宋" w:eastAsia="仿宋"/>
          <w:color w:val="auto"/>
          <w:sz w:val="24"/>
          <w:highlight w:val="none"/>
        </w:rPr>
        <w:t>是合同的一个组成部分。</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当成交</w:t>
      </w:r>
      <w:r>
        <w:rPr>
          <w:rFonts w:hint="eastAsia" w:ascii="仿宋" w:hAnsi="仿宋" w:eastAsia="仿宋"/>
          <w:color w:val="auto"/>
          <w:sz w:val="24"/>
          <w:highlight w:val="none"/>
        </w:rPr>
        <w:t>通知书</w:t>
      </w:r>
      <w:r>
        <w:rPr>
          <w:rFonts w:ascii="仿宋" w:hAnsi="仿宋" w:eastAsia="仿宋"/>
          <w:color w:val="auto"/>
          <w:sz w:val="24"/>
          <w:highlight w:val="none"/>
        </w:rPr>
        <w:t>发出后，采购代理机构将通知所有未</w:t>
      </w:r>
      <w:r>
        <w:rPr>
          <w:rFonts w:hint="eastAsia" w:ascii="仿宋" w:hAnsi="仿宋" w:eastAsia="仿宋"/>
          <w:color w:val="auto"/>
          <w:sz w:val="24"/>
          <w:highlight w:val="none"/>
        </w:rPr>
        <w:t>成交</w:t>
      </w:r>
      <w:r>
        <w:rPr>
          <w:rFonts w:ascii="仿宋" w:hAnsi="仿宋" w:eastAsia="仿宋"/>
          <w:color w:val="auto"/>
          <w:sz w:val="24"/>
          <w:highlight w:val="none"/>
        </w:rPr>
        <w:t>的供应商。</w:t>
      </w:r>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94" w:name="_TOC_250028"/>
      <w:bookmarkEnd w:id="94"/>
      <w:r>
        <w:rPr>
          <w:rFonts w:ascii="仿宋" w:hAnsi="仿宋" w:eastAsia="仿宋"/>
          <w:color w:val="auto"/>
          <w:spacing w:val="-1"/>
          <w:sz w:val="24"/>
          <w:szCs w:val="24"/>
          <w:highlight w:val="none"/>
        </w:rPr>
        <w:t>履约保证金</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成交供应商应按照</w:t>
      </w:r>
      <w:r>
        <w:rPr>
          <w:rFonts w:hint="eastAsia" w:ascii="仿宋" w:hAnsi="仿宋" w:eastAsia="仿宋"/>
          <w:color w:val="auto"/>
          <w:sz w:val="24"/>
          <w:highlight w:val="none"/>
        </w:rPr>
        <w:t>“</w:t>
      </w:r>
      <w:r>
        <w:rPr>
          <w:rFonts w:ascii="仿宋" w:hAnsi="仿宋" w:eastAsia="仿宋"/>
          <w:color w:val="auto"/>
          <w:sz w:val="24"/>
          <w:highlight w:val="none"/>
        </w:rPr>
        <w:t>供应商须知前附表”规定的金额、形式和时间向采购人缴纳履约保证金。</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履约保证金用于补偿因成交供应商不能完成其合同义务而使采购人蒙受的损失。</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如果成交供应商没有按本须知“第 3</w:t>
      </w:r>
      <w:r>
        <w:rPr>
          <w:rFonts w:hint="eastAsia" w:ascii="仿宋" w:hAnsi="仿宋" w:eastAsia="仿宋"/>
          <w:color w:val="auto"/>
          <w:sz w:val="24"/>
          <w:highlight w:val="none"/>
        </w:rPr>
        <w:t>2</w:t>
      </w:r>
      <w:r>
        <w:rPr>
          <w:rFonts w:ascii="仿宋" w:hAnsi="仿宋" w:eastAsia="仿宋"/>
          <w:color w:val="auto"/>
          <w:sz w:val="24"/>
          <w:highlight w:val="none"/>
        </w:rPr>
        <w:t>.1 条”规定执行，采购代理机构将按本须知“第 1</w:t>
      </w:r>
      <w:r>
        <w:rPr>
          <w:rFonts w:hint="eastAsia" w:ascii="仿宋" w:hAnsi="仿宋" w:eastAsia="仿宋"/>
          <w:color w:val="auto"/>
          <w:sz w:val="24"/>
          <w:highlight w:val="none"/>
        </w:rPr>
        <w:t>6</w:t>
      </w:r>
      <w:r>
        <w:rPr>
          <w:rFonts w:ascii="仿宋" w:hAnsi="仿宋" w:eastAsia="仿宋"/>
          <w:color w:val="auto"/>
          <w:sz w:val="24"/>
          <w:highlight w:val="none"/>
        </w:rPr>
        <w:t>.4 条”规定不予退还其交纳的谈判保证金。采购人将有充分理由取消该成交决定，在此情况下可以与排位在成交供应商之后第一位的成交候选人签订采购合同，以此类推；或重新组织采购。</w:t>
      </w:r>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95" w:name="_TOC_250027"/>
      <w:bookmarkEnd w:id="95"/>
      <w:r>
        <w:rPr>
          <w:rFonts w:ascii="仿宋" w:hAnsi="仿宋" w:eastAsia="仿宋"/>
          <w:color w:val="auto"/>
          <w:spacing w:val="-1"/>
          <w:sz w:val="24"/>
          <w:szCs w:val="24"/>
          <w:highlight w:val="none"/>
        </w:rPr>
        <w:t>签订合同</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采购人和成交供应商应当自成交</w:t>
      </w:r>
      <w:r>
        <w:rPr>
          <w:rFonts w:hint="eastAsia" w:ascii="仿宋" w:hAnsi="仿宋" w:eastAsia="仿宋"/>
          <w:color w:val="auto"/>
          <w:sz w:val="24"/>
          <w:highlight w:val="none"/>
        </w:rPr>
        <w:t>通知书</w:t>
      </w:r>
      <w:r>
        <w:rPr>
          <w:rFonts w:ascii="仿宋" w:hAnsi="仿宋" w:eastAsia="仿宋"/>
          <w:color w:val="auto"/>
          <w:sz w:val="24"/>
          <w:highlight w:val="none"/>
        </w:rPr>
        <w:t>发出之日起 30 日内，根据谈判文件和成交供应商的谈判响应文件订立书面合同。成交供应商不得与采购人再订立背离合同实质性内容的其他协议。</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合同履行中，采购人需追加与合同标的相同的服务的，在不改变合同其他条款的前提下，可以与供应商协商签订补充合同，但所有补充合同的采购金额不得超过原合同采购金额的百分之十。</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成交供应商拒绝签订采购合同的，采购人可以确定其他供应商作为成交供应商并签订采购合同，也可以重新开展采购活动。拒绝签订采购合同的成交供应商不得参加对该项目重新开展的采购活动，并不予退还其交纳的谈判保证金。</w:t>
      </w:r>
    </w:p>
    <w:p>
      <w:pPr>
        <w:pStyle w:val="3"/>
        <w:rPr>
          <w:rFonts w:ascii="仿宋" w:hAnsi="仿宋" w:eastAsia="仿宋"/>
          <w:color w:val="auto"/>
          <w:highlight w:val="none"/>
        </w:rPr>
      </w:pPr>
      <w:bookmarkStart w:id="96" w:name="_TOC_250026"/>
      <w:bookmarkEnd w:id="96"/>
      <w:bookmarkStart w:id="97" w:name="_Toc29495"/>
      <w:r>
        <w:rPr>
          <w:rFonts w:ascii="仿宋" w:hAnsi="仿宋" w:eastAsia="仿宋"/>
          <w:color w:val="auto"/>
          <w:highlight w:val="none"/>
        </w:rPr>
        <w:t>八、质疑</w:t>
      </w:r>
      <w:r>
        <w:rPr>
          <w:rFonts w:hint="eastAsia" w:ascii="仿宋" w:hAnsi="仿宋" w:eastAsia="仿宋"/>
          <w:color w:val="auto"/>
          <w:highlight w:val="none"/>
        </w:rPr>
        <w:t>与投诉</w:t>
      </w:r>
      <w:bookmarkEnd w:id="97"/>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98" w:name="_TOC_250025"/>
      <w:bookmarkEnd w:id="98"/>
      <w:r>
        <w:rPr>
          <w:rFonts w:ascii="仿宋" w:hAnsi="仿宋" w:eastAsia="仿宋"/>
          <w:color w:val="auto"/>
          <w:spacing w:val="-1"/>
          <w:sz w:val="24"/>
          <w:szCs w:val="24"/>
          <w:highlight w:val="none"/>
        </w:rPr>
        <w:t>询问</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供应商对采购活动事项有疑问的，可以向采购人或采购代理机构提出询问。采购人或采购代理机构应当在 3 个工作日内对供应商依法提出的询问作出答复，但答复的内容不得涉及商业秘密。</w:t>
      </w:r>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99" w:name="_TOC_250024"/>
      <w:bookmarkEnd w:id="99"/>
      <w:r>
        <w:rPr>
          <w:rFonts w:ascii="仿宋" w:hAnsi="仿宋" w:eastAsia="仿宋"/>
          <w:color w:val="auto"/>
          <w:spacing w:val="-1"/>
          <w:sz w:val="24"/>
          <w:szCs w:val="24"/>
          <w:highlight w:val="none"/>
        </w:rPr>
        <w:t>质疑</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供应商对谈判文件提出质疑的，应当自依法获取谈判文件之日或者采购文件公告期限届满之日起 7 个工作日内，以书面形式一次性向采购人或采购代理机构提出质疑；供应商对采购过程提出质疑的，应当自各</w:t>
      </w:r>
      <w:r>
        <w:rPr>
          <w:rFonts w:hint="eastAsia" w:ascii="仿宋" w:hAnsi="仿宋" w:eastAsia="仿宋"/>
          <w:color w:val="auto"/>
          <w:sz w:val="24"/>
          <w:highlight w:val="none"/>
        </w:rPr>
        <w:t>采购</w:t>
      </w:r>
      <w:r>
        <w:rPr>
          <w:rFonts w:ascii="仿宋" w:hAnsi="仿宋" w:eastAsia="仿宋"/>
          <w:color w:val="auto"/>
          <w:sz w:val="24"/>
          <w:highlight w:val="none"/>
        </w:rPr>
        <w:t>程序环节结束之日起 7 个工作日内，以书面形式就同一采购程序环节一次性向采购人或采购代理机构提出质疑；供应商对成交结果提出质疑的，应当自成交结果公告期限届满之日起 7 个工作日内，以书面形式一次性向采购人或采购代理机构提出质疑。逾期提出或在法定期限内针对同一采购程序环节超过一次提出的质疑，不予受理。</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供应商提出质疑应当提交质疑函和必要的证明材料。质疑函应当包括下列内容（格式参照中国政府采购网</w:t>
      </w:r>
      <w:r>
        <w:rPr>
          <w:rFonts w:ascii="仿宋" w:hAnsi="仿宋" w:eastAsia="仿宋"/>
          <w:color w:val="auto"/>
          <w:sz w:val="24"/>
          <w:highlight w:val="none"/>
        </w:rPr>
        <w:tab/>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ascii="仿宋" w:hAnsi="仿宋" w:eastAsia="仿宋"/>
          <w:color w:val="auto"/>
          <w:sz w:val="24"/>
          <w:highlight w:val="none"/>
        </w:rPr>
        <w:t>http://www.ccgp.gov.cn/</w:t>
      </w:r>
      <w:r>
        <w:rPr>
          <w:rFonts w:ascii="仿宋" w:hAnsi="仿宋" w:eastAsia="仿宋"/>
          <w:color w:val="auto"/>
          <w:sz w:val="24"/>
          <w:highlight w:val="none"/>
        </w:rPr>
        <w:fldChar w:fldCharType="end"/>
      </w:r>
      <w:r>
        <w:rPr>
          <w:rFonts w:ascii="仿宋" w:hAnsi="仿宋" w:eastAsia="仿宋"/>
          <w:color w:val="auto"/>
          <w:sz w:val="24"/>
          <w:highlight w:val="none"/>
        </w:rPr>
        <w:t>下载专区的《政府采购供应商质疑函范本》）：</w:t>
      </w:r>
    </w:p>
    <w:p>
      <w:pPr>
        <w:pStyle w:val="17"/>
        <w:spacing w:line="520" w:lineRule="exact"/>
        <w:ind w:left="1062"/>
        <w:rPr>
          <w:rFonts w:ascii="仿宋" w:hAnsi="仿宋" w:eastAsia="仿宋"/>
          <w:color w:val="auto"/>
          <w:sz w:val="24"/>
          <w:szCs w:val="24"/>
          <w:highlight w:val="none"/>
        </w:rPr>
      </w:pPr>
      <w:r>
        <w:rPr>
          <w:rFonts w:ascii="仿宋" w:hAnsi="仿宋" w:eastAsia="仿宋"/>
          <w:color w:val="auto"/>
          <w:sz w:val="24"/>
          <w:szCs w:val="24"/>
          <w:highlight w:val="none"/>
        </w:rPr>
        <w:t>（一）供应商的姓名或者名称、地址、邮编、联系人及联系电话；</w:t>
      </w:r>
    </w:p>
    <w:p>
      <w:pPr>
        <w:pStyle w:val="17"/>
        <w:spacing w:line="520" w:lineRule="exact"/>
        <w:ind w:left="1062"/>
        <w:rPr>
          <w:rFonts w:ascii="仿宋" w:hAnsi="仿宋" w:eastAsia="仿宋"/>
          <w:color w:val="auto"/>
          <w:sz w:val="24"/>
          <w:szCs w:val="24"/>
          <w:highlight w:val="none"/>
        </w:rPr>
      </w:pPr>
      <w:r>
        <w:rPr>
          <w:rFonts w:ascii="仿宋" w:hAnsi="仿宋" w:eastAsia="仿宋"/>
          <w:color w:val="auto"/>
          <w:sz w:val="24"/>
          <w:szCs w:val="24"/>
          <w:highlight w:val="none"/>
        </w:rPr>
        <w:t>（二）质疑项目的名称、编号；</w:t>
      </w:r>
    </w:p>
    <w:p>
      <w:pPr>
        <w:pStyle w:val="17"/>
        <w:spacing w:line="520" w:lineRule="exact"/>
        <w:ind w:left="1062"/>
        <w:rPr>
          <w:rFonts w:ascii="仿宋" w:hAnsi="仿宋" w:eastAsia="仿宋"/>
          <w:color w:val="auto"/>
          <w:sz w:val="24"/>
          <w:szCs w:val="24"/>
          <w:highlight w:val="none"/>
        </w:rPr>
      </w:pPr>
      <w:r>
        <w:rPr>
          <w:rFonts w:ascii="仿宋" w:hAnsi="仿宋" w:eastAsia="仿宋"/>
          <w:color w:val="auto"/>
          <w:sz w:val="24"/>
          <w:szCs w:val="24"/>
          <w:highlight w:val="none"/>
        </w:rPr>
        <w:t>（三）具体、明确的质疑事项和与质疑事项相关的请求；</w:t>
      </w:r>
    </w:p>
    <w:p>
      <w:pPr>
        <w:pStyle w:val="17"/>
        <w:spacing w:line="520" w:lineRule="exact"/>
        <w:ind w:left="1062"/>
        <w:rPr>
          <w:rFonts w:ascii="仿宋" w:hAnsi="仿宋" w:eastAsia="仿宋"/>
          <w:color w:val="auto"/>
          <w:sz w:val="24"/>
          <w:szCs w:val="24"/>
          <w:highlight w:val="none"/>
        </w:rPr>
      </w:pPr>
      <w:r>
        <w:rPr>
          <w:rFonts w:ascii="仿宋" w:hAnsi="仿宋" w:eastAsia="仿宋"/>
          <w:color w:val="auto"/>
          <w:sz w:val="24"/>
          <w:szCs w:val="24"/>
          <w:highlight w:val="none"/>
        </w:rPr>
        <w:t>（四）事实依据；</w:t>
      </w:r>
    </w:p>
    <w:p>
      <w:pPr>
        <w:pStyle w:val="17"/>
        <w:spacing w:line="520" w:lineRule="exact"/>
        <w:ind w:left="1062"/>
        <w:rPr>
          <w:rFonts w:ascii="仿宋" w:hAnsi="仿宋" w:eastAsia="仿宋"/>
          <w:color w:val="auto"/>
          <w:sz w:val="24"/>
          <w:szCs w:val="24"/>
          <w:highlight w:val="none"/>
        </w:rPr>
      </w:pPr>
      <w:r>
        <w:rPr>
          <w:rFonts w:ascii="仿宋" w:hAnsi="仿宋" w:eastAsia="仿宋"/>
          <w:color w:val="auto"/>
          <w:sz w:val="24"/>
          <w:szCs w:val="24"/>
          <w:highlight w:val="none"/>
        </w:rPr>
        <w:t>（五）必要的法律依据；</w:t>
      </w:r>
    </w:p>
    <w:p>
      <w:pPr>
        <w:pStyle w:val="17"/>
        <w:spacing w:line="520" w:lineRule="exact"/>
        <w:ind w:left="1062"/>
        <w:rPr>
          <w:rFonts w:ascii="仿宋" w:hAnsi="仿宋" w:eastAsia="仿宋"/>
          <w:color w:val="auto"/>
          <w:sz w:val="24"/>
          <w:szCs w:val="24"/>
          <w:highlight w:val="none"/>
        </w:rPr>
      </w:pPr>
      <w:r>
        <w:rPr>
          <w:rFonts w:ascii="仿宋" w:hAnsi="仿宋" w:eastAsia="仿宋"/>
          <w:color w:val="auto"/>
          <w:sz w:val="24"/>
          <w:szCs w:val="24"/>
          <w:highlight w:val="none"/>
        </w:rPr>
        <w:t>（六）质疑人参加了本次采购活动的证明材料（如报名回执等）；</w:t>
      </w:r>
    </w:p>
    <w:p>
      <w:pPr>
        <w:pStyle w:val="17"/>
        <w:spacing w:line="520" w:lineRule="exact"/>
        <w:ind w:left="1120"/>
        <w:rPr>
          <w:rFonts w:ascii="仿宋" w:hAnsi="仿宋" w:eastAsia="仿宋"/>
          <w:color w:val="auto"/>
          <w:sz w:val="24"/>
          <w:szCs w:val="24"/>
          <w:highlight w:val="none"/>
        </w:rPr>
      </w:pPr>
      <w:r>
        <w:rPr>
          <w:rFonts w:ascii="仿宋" w:hAnsi="仿宋" w:eastAsia="仿宋"/>
          <w:color w:val="auto"/>
          <w:sz w:val="24"/>
          <w:szCs w:val="24"/>
          <w:highlight w:val="none"/>
        </w:rPr>
        <w:t>（七）提出质疑的日期。</w:t>
      </w:r>
    </w:p>
    <w:p>
      <w:pPr>
        <w:pStyle w:val="17"/>
        <w:spacing w:line="520" w:lineRule="exact"/>
        <w:ind w:left="640" w:right="591" w:firstLine="631"/>
        <w:rPr>
          <w:rFonts w:ascii="仿宋" w:hAnsi="仿宋" w:eastAsia="仿宋"/>
          <w:color w:val="auto"/>
          <w:sz w:val="24"/>
          <w:szCs w:val="24"/>
          <w:highlight w:val="none"/>
        </w:rPr>
      </w:pPr>
      <w:r>
        <w:rPr>
          <w:rFonts w:hint="eastAsia" w:ascii="仿宋" w:hAnsi="仿宋" w:eastAsia="仿宋"/>
          <w:color w:val="auto"/>
          <w:sz w:val="24"/>
          <w:szCs w:val="24"/>
          <w:highlight w:val="none"/>
        </w:rPr>
        <w:t>质疑供应商是自然人，个体工商户应提交个体工商户营业执照和本人身份证明或非个体工商户未提供本人身份证明；质疑供应商是法人，应提交法人营业执照和法定代表人身份证明；质疑供应商是其他组织，应提交其他组织有效证明文件和主要负责人身份证明。</w:t>
      </w:r>
    </w:p>
    <w:p>
      <w:pPr>
        <w:pStyle w:val="17"/>
        <w:spacing w:line="520" w:lineRule="exact"/>
        <w:ind w:left="640" w:right="591" w:firstLine="631"/>
        <w:rPr>
          <w:rFonts w:ascii="仿宋" w:hAnsi="仿宋" w:eastAsia="仿宋"/>
          <w:color w:val="auto"/>
          <w:sz w:val="24"/>
          <w:szCs w:val="24"/>
          <w:highlight w:val="none"/>
        </w:rPr>
      </w:pPr>
      <w:r>
        <w:rPr>
          <w:rFonts w:ascii="仿宋" w:hAnsi="仿宋" w:eastAsia="仿宋"/>
          <w:color w:val="auto"/>
          <w:sz w:val="24"/>
          <w:szCs w:val="24"/>
          <w:highlight w:val="none"/>
        </w:rPr>
        <w:t>质疑函必须由法定代表人签署本人姓名并加盖单位公章。若质疑函由参加采购项目的授权代表签署本人姓名的，应当同时提供法定代表人允许其办理质疑事项的授权委托书。供应商为自然人的，质疑函应当由本人签字；供应商为法人或者其他组织的，质疑函应当由法定代表人或者其授权代表签字，并加盖公章。</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质疑人提出质疑应当符合下列条件：</w:t>
      </w:r>
    </w:p>
    <w:p>
      <w:pPr>
        <w:pStyle w:val="17"/>
        <w:spacing w:line="520" w:lineRule="exact"/>
        <w:ind w:left="1060"/>
        <w:rPr>
          <w:rFonts w:ascii="仿宋" w:hAnsi="仿宋" w:eastAsia="仿宋"/>
          <w:color w:val="auto"/>
          <w:sz w:val="24"/>
          <w:szCs w:val="24"/>
          <w:highlight w:val="none"/>
        </w:rPr>
      </w:pPr>
      <w:r>
        <w:rPr>
          <w:rFonts w:ascii="仿宋" w:hAnsi="仿宋" w:eastAsia="仿宋"/>
          <w:color w:val="auto"/>
          <w:sz w:val="24"/>
          <w:szCs w:val="24"/>
          <w:highlight w:val="none"/>
        </w:rPr>
        <w:t>（一）提出质疑的供应商应当是已参与所质疑项目采购活动的供应商；</w:t>
      </w:r>
    </w:p>
    <w:p>
      <w:pPr>
        <w:pStyle w:val="17"/>
        <w:spacing w:line="520" w:lineRule="exact"/>
        <w:ind w:left="1060"/>
        <w:rPr>
          <w:rFonts w:ascii="仿宋" w:hAnsi="仿宋" w:eastAsia="仿宋"/>
          <w:color w:val="auto"/>
          <w:sz w:val="24"/>
          <w:szCs w:val="24"/>
          <w:highlight w:val="none"/>
        </w:rPr>
      </w:pPr>
      <w:r>
        <w:rPr>
          <w:rFonts w:ascii="仿宋" w:hAnsi="仿宋" w:eastAsia="仿宋"/>
          <w:color w:val="auto"/>
          <w:sz w:val="24"/>
          <w:szCs w:val="24"/>
          <w:highlight w:val="none"/>
        </w:rPr>
        <w:t>（二）质疑书内容符合谈判文件第 3</w:t>
      </w:r>
      <w:r>
        <w:rPr>
          <w:rFonts w:hint="eastAsia" w:ascii="仿宋" w:hAnsi="仿宋" w:eastAsia="仿宋"/>
          <w:color w:val="auto"/>
          <w:sz w:val="24"/>
          <w:szCs w:val="24"/>
          <w:highlight w:val="none"/>
        </w:rPr>
        <w:t>7</w:t>
      </w:r>
      <w:r>
        <w:rPr>
          <w:rFonts w:ascii="仿宋" w:hAnsi="仿宋" w:eastAsia="仿宋"/>
          <w:color w:val="auto"/>
          <w:sz w:val="24"/>
          <w:szCs w:val="24"/>
          <w:highlight w:val="none"/>
        </w:rPr>
        <w:t>.2 条规定的；</w:t>
      </w:r>
    </w:p>
    <w:p>
      <w:pPr>
        <w:pStyle w:val="17"/>
        <w:spacing w:line="520" w:lineRule="exact"/>
        <w:ind w:left="1060"/>
        <w:rPr>
          <w:rFonts w:ascii="仿宋" w:hAnsi="仿宋" w:eastAsia="仿宋"/>
          <w:color w:val="auto"/>
          <w:sz w:val="24"/>
          <w:szCs w:val="24"/>
          <w:highlight w:val="none"/>
        </w:rPr>
      </w:pPr>
      <w:r>
        <w:rPr>
          <w:rFonts w:ascii="仿宋" w:hAnsi="仿宋" w:eastAsia="仿宋"/>
          <w:color w:val="auto"/>
          <w:sz w:val="24"/>
          <w:szCs w:val="24"/>
          <w:highlight w:val="none"/>
        </w:rPr>
        <w:t>（三）在质疑有效期内提出的质疑；</w:t>
      </w:r>
    </w:p>
    <w:p>
      <w:pPr>
        <w:pStyle w:val="17"/>
        <w:spacing w:line="520" w:lineRule="exact"/>
        <w:ind w:left="1060"/>
        <w:rPr>
          <w:rFonts w:ascii="仿宋" w:hAnsi="仿宋" w:eastAsia="仿宋"/>
          <w:color w:val="auto"/>
          <w:sz w:val="24"/>
          <w:szCs w:val="24"/>
          <w:highlight w:val="none"/>
        </w:rPr>
      </w:pPr>
      <w:r>
        <w:rPr>
          <w:rFonts w:ascii="仿宋" w:hAnsi="仿宋" w:eastAsia="仿宋"/>
          <w:color w:val="auto"/>
          <w:sz w:val="24"/>
          <w:szCs w:val="24"/>
          <w:highlight w:val="none"/>
        </w:rPr>
        <w:t>（四）针对同一采购程序环节仅一次性提出的；</w:t>
      </w:r>
    </w:p>
    <w:p>
      <w:pPr>
        <w:pStyle w:val="17"/>
        <w:spacing w:line="520" w:lineRule="exact"/>
        <w:ind w:left="1060"/>
        <w:rPr>
          <w:rFonts w:ascii="仿宋" w:hAnsi="仿宋" w:eastAsia="仿宋"/>
          <w:color w:val="auto"/>
          <w:sz w:val="24"/>
          <w:szCs w:val="24"/>
          <w:highlight w:val="none"/>
        </w:rPr>
      </w:pPr>
      <w:r>
        <w:rPr>
          <w:rFonts w:ascii="仿宋" w:hAnsi="仿宋" w:eastAsia="仿宋"/>
          <w:color w:val="auto"/>
          <w:sz w:val="24"/>
          <w:szCs w:val="24"/>
          <w:highlight w:val="none"/>
        </w:rPr>
        <w:t>（五）法律法规规定的其他条件。</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质疑函原件可采取当面递交或邮寄、快递的方式送达采购人或采购代理机构。以邮寄、快递方式递交的，质疑提起日期应当以邮寄件上的戳记日期、邮政快递件上的戳记日期或非邮政快递件上的签注之日起计算，受理日期则以采购人或采购代理机构收到质疑函原件之日起算。以邮寄、快递方式递交质疑函的，质疑人需在邮寄或快递发出之日起两个工作日内电话告知收件单位，并提供邮寄件、快递件的有效查询方式。</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采购人或采购代理机构根据供应商提供的质疑函进行符合性检查，对不满足上述条件的质疑函采购人或采购代理机构将向供应商发出补正通知书，要求供应商在法定期限内进行补正材料， 供应商未按照补正期限进行补正或者补正后仍不符合规定的，不予受理。对符合条件的质疑函采购代理机构将发出受理通知书。</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质疑函应当使用中文，相关证明材料涉及外文的，质疑人应当提供中文简体字译本，并按照3</w:t>
      </w:r>
      <w:r>
        <w:rPr>
          <w:rFonts w:hint="eastAsia" w:ascii="仿宋" w:hAnsi="仿宋" w:eastAsia="仿宋"/>
          <w:color w:val="auto"/>
          <w:sz w:val="24"/>
          <w:highlight w:val="none"/>
        </w:rPr>
        <w:t>5</w:t>
      </w:r>
      <w:r>
        <w:rPr>
          <w:rFonts w:ascii="仿宋" w:hAnsi="仿宋" w:eastAsia="仿宋"/>
          <w:color w:val="auto"/>
          <w:sz w:val="24"/>
          <w:highlight w:val="none"/>
        </w:rPr>
        <w:t>.2 条要求签署和盖章。</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采购人或采购代理机构应当在收到供应商的书面质疑后 7 个工作日内作出答复。并以书面形式通知质疑供应商和其他有关供应商，但答复的内容不涉及商业秘密。采购代理机构只能就采购人委托授权范围内的事项对供应商向其提出的询问或质疑作出答复。</w:t>
      </w:r>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采购代理机构接收询问、质疑联系方式：</w:t>
      </w:r>
    </w:p>
    <w:p>
      <w:pPr>
        <w:spacing w:line="520" w:lineRule="exact"/>
        <w:ind w:left="907"/>
        <w:rPr>
          <w:rFonts w:ascii="仿宋" w:hAnsi="仿宋" w:eastAsia="仿宋"/>
          <w:color w:val="auto"/>
          <w:sz w:val="24"/>
          <w:highlight w:val="none"/>
        </w:rPr>
      </w:pPr>
      <w:r>
        <w:rPr>
          <w:rFonts w:hint="eastAsia" w:ascii="仿宋" w:hAnsi="仿宋" w:eastAsia="仿宋"/>
          <w:color w:val="auto"/>
          <w:sz w:val="24"/>
          <w:highlight w:val="none"/>
        </w:rPr>
        <w:t>联系部门： 采购一部</w:t>
      </w:r>
    </w:p>
    <w:p>
      <w:pPr>
        <w:spacing w:line="520" w:lineRule="exact"/>
        <w:ind w:left="907"/>
        <w:rPr>
          <w:rFonts w:ascii="仿宋" w:hAnsi="仿宋" w:eastAsia="仿宋"/>
          <w:color w:val="auto"/>
          <w:sz w:val="24"/>
          <w:highlight w:val="none"/>
        </w:rPr>
      </w:pPr>
      <w:r>
        <w:rPr>
          <w:rFonts w:hint="eastAsia" w:ascii="仿宋" w:hAnsi="仿宋" w:eastAsia="仿宋"/>
          <w:color w:val="auto"/>
          <w:sz w:val="24"/>
          <w:highlight w:val="none"/>
        </w:rPr>
        <w:t>联系电话：0791-83898600</w:t>
      </w:r>
    </w:p>
    <w:p>
      <w:pPr>
        <w:spacing w:line="520" w:lineRule="exact"/>
        <w:ind w:left="907"/>
        <w:rPr>
          <w:rFonts w:ascii="仿宋" w:hAnsi="仿宋" w:eastAsia="仿宋"/>
          <w:color w:val="auto"/>
          <w:sz w:val="24"/>
          <w:highlight w:val="none"/>
        </w:rPr>
      </w:pPr>
      <w:r>
        <w:rPr>
          <w:rFonts w:hint="eastAsia" w:ascii="仿宋" w:hAnsi="仿宋" w:eastAsia="仿宋"/>
          <w:color w:val="auto"/>
          <w:sz w:val="24"/>
          <w:highlight w:val="none"/>
        </w:rPr>
        <w:t>联系地址：江西省南昌市红谷滩区世贸路远帆大厦A座1001室</w:t>
      </w:r>
    </w:p>
    <w:p>
      <w:pPr>
        <w:pStyle w:val="56"/>
        <w:numPr>
          <w:ilvl w:val="0"/>
          <w:numId w:val="6"/>
        </w:numPr>
        <w:tabs>
          <w:tab w:val="left" w:pos="959"/>
        </w:tabs>
        <w:spacing w:line="520" w:lineRule="exact"/>
        <w:rPr>
          <w:rFonts w:ascii="仿宋" w:hAnsi="仿宋" w:eastAsia="仿宋"/>
          <w:color w:val="auto"/>
          <w:spacing w:val="-1"/>
          <w:sz w:val="24"/>
          <w:szCs w:val="24"/>
          <w:highlight w:val="none"/>
        </w:rPr>
      </w:pPr>
      <w:r>
        <w:rPr>
          <w:rFonts w:ascii="仿宋" w:hAnsi="仿宋" w:eastAsia="仿宋"/>
          <w:color w:val="auto"/>
          <w:spacing w:val="-1"/>
          <w:sz w:val="24"/>
          <w:szCs w:val="24"/>
          <w:highlight w:val="none"/>
        </w:rPr>
        <w:t>投诉</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质疑供应商对采购人或采购代理机构的答复不满意，或者采购人或采购代理机构未在规定的时间内作出答复的，可以在答复期满后十五个工作日内向同级财政部门投诉。供应商投诉的事项不得超出已质疑事项的范围。</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财政部门应当在收到投诉后五个工作日内，对投诉事项作出受理决定，并在收到投诉后八个工作日内向被投诉人和其他与投诉事项有关的当事人发出投诉答复通知书及投诉书副本。</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被投诉人和其他与投诉事项有关的当事人应当在收到投诉答复通知书及投诉书副本之日起五个工作日内，以书面形式向财政部门作出说明，并提交相关证据、依据和其他有关材料。</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财政部门应当自收到投诉之日起三十个工作日内，对投诉事项作出处理决定。</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财政部门在处理投诉事项期间，可以视具体情况书面通知采购人暂停采购活动，但暂停时间最长不得超过三十日。</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投诉人对财政部门的投诉处理决定不服或者财政部门逾期未作处理的，可以依法申请行政复议或者向人民法院提起行政诉讼。</w:t>
      </w:r>
    </w:p>
    <w:p>
      <w:pPr>
        <w:spacing w:line="520" w:lineRule="exact"/>
        <w:ind w:left="907"/>
        <w:rPr>
          <w:rFonts w:ascii="仿宋" w:hAnsi="仿宋" w:eastAsia="仿宋"/>
          <w:color w:val="auto"/>
          <w:sz w:val="24"/>
          <w:highlight w:val="none"/>
        </w:rPr>
      </w:pPr>
      <w:bookmarkStart w:id="100" w:name="_TOC_250023"/>
      <w:bookmarkEnd w:id="100"/>
    </w:p>
    <w:p>
      <w:pPr>
        <w:pStyle w:val="3"/>
        <w:rPr>
          <w:rFonts w:ascii="仿宋" w:hAnsi="仿宋" w:eastAsia="仿宋"/>
          <w:color w:val="auto"/>
          <w:highlight w:val="none"/>
        </w:rPr>
      </w:pPr>
      <w:bookmarkStart w:id="101" w:name="_TOC_250022"/>
      <w:bookmarkEnd w:id="101"/>
      <w:bookmarkStart w:id="102" w:name="_Toc20293"/>
      <w:r>
        <w:rPr>
          <w:rFonts w:ascii="仿宋" w:hAnsi="仿宋" w:eastAsia="仿宋"/>
          <w:color w:val="auto"/>
          <w:highlight w:val="none"/>
        </w:rPr>
        <w:t>九、其他事项</w:t>
      </w:r>
      <w:bookmarkEnd w:id="102"/>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103" w:name="_TOC_250021"/>
      <w:bookmarkEnd w:id="103"/>
      <w:r>
        <w:rPr>
          <w:rFonts w:ascii="仿宋" w:hAnsi="仿宋" w:eastAsia="仿宋"/>
          <w:color w:val="auto"/>
          <w:spacing w:val="-1"/>
          <w:sz w:val="24"/>
          <w:szCs w:val="24"/>
          <w:highlight w:val="none"/>
        </w:rPr>
        <w:t>采购代理服务费</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成交供应商在领取成交供应商时须按</w:t>
      </w:r>
      <w:r>
        <w:rPr>
          <w:rFonts w:hint="eastAsia" w:ascii="仿宋" w:hAnsi="仿宋" w:eastAsia="仿宋"/>
          <w:color w:val="auto"/>
          <w:sz w:val="24"/>
          <w:highlight w:val="none"/>
        </w:rPr>
        <w:t>“</w:t>
      </w:r>
      <w:r>
        <w:rPr>
          <w:rFonts w:ascii="仿宋" w:hAnsi="仿宋" w:eastAsia="仿宋"/>
          <w:color w:val="auto"/>
          <w:sz w:val="24"/>
          <w:highlight w:val="none"/>
        </w:rPr>
        <w:t>供应商须知前附表”规定的收费标准，向采购代理机构交纳采购代理服务费。如果成交供应商不按照谈判文件规定交纳采购代理服务费，其谈判保证金将不予退还。</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采购代理服务费只接受现金、支票、汇票或电汇。</w:t>
      </w:r>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104" w:name="_TOC_250020"/>
      <w:bookmarkEnd w:id="104"/>
      <w:r>
        <w:rPr>
          <w:rFonts w:ascii="仿宋" w:hAnsi="仿宋" w:eastAsia="仿宋"/>
          <w:color w:val="auto"/>
          <w:spacing w:val="-1"/>
          <w:sz w:val="24"/>
          <w:szCs w:val="24"/>
          <w:highlight w:val="none"/>
        </w:rPr>
        <w:t>保密原则</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谈判将在严格保密的情况下进行。</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评审专家应当遵守评审工作纪律，不得泄露评审文件、评审情况和评审中获悉的商业秘密。</w:t>
      </w:r>
    </w:p>
    <w:p>
      <w:pPr>
        <w:numPr>
          <w:ilvl w:val="1"/>
          <w:numId w:val="6"/>
        </w:numPr>
        <w:spacing w:line="520" w:lineRule="exact"/>
        <w:rPr>
          <w:rFonts w:ascii="仿宋" w:hAnsi="仿宋" w:eastAsia="仿宋"/>
          <w:color w:val="auto"/>
          <w:sz w:val="24"/>
          <w:highlight w:val="none"/>
        </w:rPr>
      </w:pPr>
      <w:r>
        <w:rPr>
          <w:rFonts w:ascii="仿宋" w:hAnsi="仿宋" w:eastAsia="仿宋"/>
          <w:color w:val="auto"/>
          <w:sz w:val="24"/>
          <w:highlight w:val="none"/>
        </w:rPr>
        <w:t>供应商试图影响采购人和谈判小组的任何活动，将导致其谈判响应文件无效，并承担相应的法律责任</w:t>
      </w:r>
      <w:r>
        <w:rPr>
          <w:rFonts w:hint="eastAsia" w:ascii="仿宋" w:hAnsi="仿宋" w:eastAsia="仿宋"/>
          <w:color w:val="auto"/>
          <w:sz w:val="24"/>
          <w:highlight w:val="none"/>
        </w:rPr>
        <w:t>。</w:t>
      </w:r>
    </w:p>
    <w:p>
      <w:pPr>
        <w:pStyle w:val="56"/>
        <w:numPr>
          <w:ilvl w:val="0"/>
          <w:numId w:val="6"/>
        </w:numPr>
        <w:tabs>
          <w:tab w:val="left" w:pos="959"/>
        </w:tabs>
        <w:spacing w:line="520" w:lineRule="exact"/>
        <w:rPr>
          <w:rFonts w:ascii="仿宋" w:hAnsi="仿宋" w:eastAsia="仿宋"/>
          <w:color w:val="auto"/>
          <w:spacing w:val="-1"/>
          <w:sz w:val="24"/>
          <w:szCs w:val="24"/>
          <w:highlight w:val="none"/>
        </w:rPr>
      </w:pPr>
      <w:r>
        <w:rPr>
          <w:rFonts w:ascii="仿宋" w:hAnsi="仿宋" w:eastAsia="仿宋"/>
          <w:color w:val="auto"/>
          <w:spacing w:val="-1"/>
          <w:sz w:val="24"/>
          <w:szCs w:val="24"/>
          <w:highlight w:val="none"/>
        </w:rPr>
        <w:t>解释权</w:t>
      </w:r>
    </w:p>
    <w:p>
      <w:pPr>
        <w:numPr>
          <w:ilvl w:val="1"/>
          <w:numId w:val="6"/>
        </w:numPr>
        <w:tabs>
          <w:tab w:val="left" w:pos="1167"/>
        </w:tabs>
        <w:autoSpaceDE w:val="0"/>
        <w:autoSpaceDN w:val="0"/>
        <w:spacing w:before="72" w:line="410" w:lineRule="auto"/>
        <w:ind w:left="1166" w:right="692" w:firstLine="0"/>
        <w:rPr>
          <w:rFonts w:ascii="仿宋" w:hAnsi="仿宋" w:eastAsia="仿宋"/>
          <w:color w:val="auto"/>
          <w:highlight w:val="none"/>
        </w:rPr>
      </w:pPr>
      <w:r>
        <w:rPr>
          <w:rFonts w:ascii="仿宋" w:hAnsi="仿宋" w:eastAsia="仿宋"/>
          <w:color w:val="auto"/>
          <w:sz w:val="24"/>
          <w:highlight w:val="none"/>
        </w:rPr>
        <w:t xml:space="preserve"> 本谈判文件是根据国家有关法律、法规以及有关规定编制，解释权</w:t>
      </w:r>
      <w:r>
        <w:rPr>
          <w:rFonts w:hint="eastAsia" w:ascii="仿宋" w:hAnsi="仿宋" w:eastAsia="仿宋"/>
          <w:color w:val="auto"/>
          <w:sz w:val="24"/>
          <w:highlight w:val="none"/>
        </w:rPr>
        <w:t>归江西骏宏招标咨询有限公司。</w:t>
      </w:r>
    </w:p>
    <w:p>
      <w:pPr>
        <w:pStyle w:val="56"/>
        <w:numPr>
          <w:ilvl w:val="0"/>
          <w:numId w:val="6"/>
        </w:numPr>
        <w:tabs>
          <w:tab w:val="left" w:pos="959"/>
        </w:tabs>
        <w:spacing w:line="520" w:lineRule="exact"/>
        <w:rPr>
          <w:rFonts w:ascii="仿宋" w:hAnsi="仿宋" w:eastAsia="仿宋"/>
          <w:color w:val="auto"/>
          <w:spacing w:val="-1"/>
          <w:sz w:val="24"/>
          <w:szCs w:val="24"/>
          <w:highlight w:val="none"/>
        </w:rPr>
      </w:pPr>
      <w:bookmarkStart w:id="105" w:name="_Toc10448606"/>
      <w:bookmarkStart w:id="106" w:name="_Toc508606821"/>
      <w:bookmarkStart w:id="107" w:name="_Toc508606043"/>
      <w:bookmarkStart w:id="108" w:name="_Toc508605835"/>
      <w:bookmarkStart w:id="109" w:name="_Toc508525033"/>
      <w:bookmarkStart w:id="110" w:name="_Toc85603411"/>
      <w:r>
        <w:rPr>
          <w:rFonts w:hint="eastAsia" w:ascii="仿宋" w:hAnsi="仿宋" w:eastAsia="仿宋"/>
          <w:color w:val="auto"/>
          <w:spacing w:val="-1"/>
          <w:sz w:val="24"/>
          <w:szCs w:val="24"/>
          <w:highlight w:val="none"/>
        </w:rPr>
        <w:t>鲜章</w:t>
      </w:r>
      <w:bookmarkEnd w:id="105"/>
    </w:p>
    <w:p>
      <w:pPr>
        <w:numPr>
          <w:ilvl w:val="1"/>
          <w:numId w:val="6"/>
        </w:numPr>
        <w:spacing w:line="520" w:lineRule="exact"/>
        <w:rPr>
          <w:rFonts w:ascii="仿宋" w:hAnsi="仿宋" w:eastAsia="仿宋"/>
          <w:color w:val="auto"/>
          <w:sz w:val="24"/>
          <w:highlight w:val="none"/>
        </w:rPr>
      </w:pPr>
      <w:r>
        <w:rPr>
          <w:rFonts w:hint="eastAsia" w:ascii="仿宋" w:hAnsi="仿宋" w:eastAsia="仿宋"/>
          <w:color w:val="auto"/>
          <w:sz w:val="24"/>
          <w:highlight w:val="none"/>
        </w:rPr>
        <w:t>鲜章是指在签署文件时，用印泥或</w:t>
      </w:r>
      <w:r>
        <w:rPr>
          <w:rFonts w:ascii="仿宋" w:hAnsi="仿宋" w:eastAsia="仿宋"/>
          <w:color w:val="auto"/>
          <w:sz w:val="24"/>
          <w:highlight w:val="none"/>
        </w:rPr>
        <w:t>印章</w:t>
      </w:r>
      <w:r>
        <w:rPr>
          <w:rFonts w:hint="eastAsia" w:ascii="仿宋" w:hAnsi="仿宋" w:eastAsia="仿宋"/>
          <w:color w:val="auto"/>
          <w:sz w:val="24"/>
          <w:highlight w:val="none"/>
        </w:rPr>
        <w:t>油盖</w:t>
      </w:r>
      <w:r>
        <w:rPr>
          <w:rFonts w:ascii="仿宋" w:hAnsi="仿宋" w:eastAsia="仿宋"/>
          <w:color w:val="auto"/>
          <w:sz w:val="24"/>
          <w:highlight w:val="none"/>
        </w:rPr>
        <w:t>的印章，不</w:t>
      </w:r>
      <w:r>
        <w:rPr>
          <w:rFonts w:hint="eastAsia" w:ascii="仿宋" w:hAnsi="仿宋" w:eastAsia="仿宋"/>
          <w:color w:val="auto"/>
          <w:sz w:val="24"/>
          <w:highlight w:val="none"/>
        </w:rPr>
        <w:t>包括</w:t>
      </w:r>
      <w:r>
        <w:rPr>
          <w:rFonts w:ascii="仿宋" w:hAnsi="仿宋" w:eastAsia="仿宋"/>
          <w:color w:val="auto"/>
          <w:sz w:val="24"/>
          <w:highlight w:val="none"/>
        </w:rPr>
        <w:t>复印、电子</w:t>
      </w:r>
      <w:r>
        <w:rPr>
          <w:rFonts w:hint="eastAsia" w:ascii="仿宋" w:hAnsi="仿宋" w:eastAsia="仿宋"/>
          <w:color w:val="auto"/>
          <w:sz w:val="24"/>
          <w:highlight w:val="none"/>
        </w:rPr>
        <w:t>章</w:t>
      </w:r>
      <w:r>
        <w:rPr>
          <w:rFonts w:ascii="仿宋" w:hAnsi="仿宋" w:eastAsia="仿宋"/>
          <w:color w:val="auto"/>
          <w:sz w:val="24"/>
          <w:highlight w:val="none"/>
        </w:rPr>
        <w:t>彩</w:t>
      </w:r>
      <w:r>
        <w:rPr>
          <w:rFonts w:hint="eastAsia" w:ascii="仿宋" w:hAnsi="仿宋" w:eastAsia="仿宋"/>
          <w:color w:val="auto"/>
          <w:sz w:val="24"/>
          <w:highlight w:val="none"/>
        </w:rPr>
        <w:t>色</w:t>
      </w:r>
      <w:r>
        <w:rPr>
          <w:rFonts w:ascii="仿宋" w:hAnsi="仿宋" w:eastAsia="仿宋"/>
          <w:color w:val="auto"/>
          <w:sz w:val="24"/>
          <w:highlight w:val="none"/>
        </w:rPr>
        <w:t>打</w:t>
      </w:r>
      <w:r>
        <w:rPr>
          <w:rFonts w:hint="eastAsia" w:ascii="仿宋" w:hAnsi="仿宋" w:eastAsia="仿宋"/>
          <w:color w:val="auto"/>
          <w:sz w:val="24"/>
          <w:highlight w:val="none"/>
        </w:rPr>
        <w:t>印</w:t>
      </w:r>
      <w:r>
        <w:rPr>
          <w:rFonts w:ascii="仿宋" w:hAnsi="仿宋" w:eastAsia="仿宋"/>
          <w:color w:val="auto"/>
          <w:sz w:val="24"/>
          <w:highlight w:val="none"/>
        </w:rPr>
        <w:t>等。</w:t>
      </w:r>
    </w:p>
    <w:p>
      <w:pPr>
        <w:pStyle w:val="2"/>
        <w:spacing w:line="720" w:lineRule="exact"/>
        <w:rPr>
          <w:rFonts w:ascii="仿宋" w:hAnsi="仿宋" w:eastAsia="仿宋"/>
          <w:color w:val="auto"/>
          <w:szCs w:val="36"/>
          <w:highlight w:val="none"/>
        </w:rPr>
      </w:pPr>
      <w:r>
        <w:rPr>
          <w:rFonts w:ascii="仿宋" w:hAnsi="仿宋" w:eastAsia="仿宋"/>
          <w:color w:val="auto"/>
          <w:highlight w:val="none"/>
        </w:rPr>
        <w:br w:type="page"/>
      </w:r>
      <w:bookmarkEnd w:id="106"/>
      <w:bookmarkEnd w:id="107"/>
      <w:bookmarkEnd w:id="108"/>
      <w:bookmarkEnd w:id="109"/>
      <w:bookmarkEnd w:id="110"/>
      <w:bookmarkStart w:id="111" w:name="_Toc28132"/>
      <w:bookmarkStart w:id="112" w:name="_Toc20036918"/>
      <w:bookmarkStart w:id="113" w:name="_Toc85603418"/>
      <w:r>
        <w:rPr>
          <w:rFonts w:hint="eastAsia" w:ascii="仿宋" w:hAnsi="仿宋" w:eastAsia="仿宋"/>
          <w:color w:val="auto"/>
          <w:highlight w:val="none"/>
        </w:rPr>
        <w:t>第三章</w:t>
      </w:r>
      <w:bookmarkStart w:id="114" w:name="_Hlt28776901"/>
      <w:bookmarkEnd w:id="114"/>
      <w:bookmarkStart w:id="115" w:name="_Hlt28776894"/>
      <w:bookmarkEnd w:id="115"/>
      <w:bookmarkStart w:id="116" w:name="_Toc85603413"/>
      <w:bookmarkStart w:id="117" w:name="_Toc35923717"/>
      <w:r>
        <w:rPr>
          <w:rFonts w:hint="eastAsia" w:ascii="仿宋" w:hAnsi="仿宋" w:eastAsia="仿宋"/>
          <w:color w:val="auto"/>
          <w:highlight w:val="none"/>
        </w:rPr>
        <w:t>、项目采购需求</w:t>
      </w:r>
      <w:bookmarkEnd w:id="111"/>
      <w:bookmarkEnd w:id="112"/>
      <w:bookmarkEnd w:id="116"/>
      <w:bookmarkEnd w:id="117"/>
    </w:p>
    <w:p>
      <w:pPr>
        <w:pStyle w:val="3"/>
        <w:jc w:val="left"/>
        <w:rPr>
          <w:rFonts w:ascii="仿宋" w:hAnsi="仿宋" w:eastAsia="仿宋"/>
          <w:color w:val="auto"/>
          <w:highlight w:val="none"/>
        </w:rPr>
      </w:pPr>
      <w:bookmarkStart w:id="118" w:name="_Toc85603414"/>
      <w:bookmarkStart w:id="119" w:name="_Toc35923718"/>
      <w:bookmarkStart w:id="120" w:name="_Toc20036919"/>
      <w:bookmarkStart w:id="121" w:name="_Toc17952"/>
      <w:r>
        <w:rPr>
          <w:rFonts w:hint="eastAsia" w:ascii="仿宋" w:hAnsi="仿宋" w:eastAsia="仿宋"/>
          <w:color w:val="auto"/>
          <w:highlight w:val="none"/>
        </w:rPr>
        <w:t>一、采购需求</w:t>
      </w:r>
      <w:bookmarkEnd w:id="118"/>
      <w:bookmarkEnd w:id="119"/>
      <w:r>
        <w:rPr>
          <w:rFonts w:hint="eastAsia" w:ascii="仿宋" w:hAnsi="仿宋" w:eastAsia="仿宋"/>
          <w:color w:val="auto"/>
          <w:highlight w:val="none"/>
        </w:rPr>
        <w:t>一览表</w:t>
      </w:r>
      <w:bookmarkEnd w:id="120"/>
      <w:r>
        <w:rPr>
          <w:rFonts w:hint="eastAsia" w:ascii="仿宋" w:hAnsi="仿宋" w:eastAsia="仿宋"/>
          <w:color w:val="auto"/>
          <w:highlight w:val="none"/>
          <w:lang w:val="en-US" w:eastAsia="zh-CN"/>
        </w:rPr>
        <w:t>及</w:t>
      </w:r>
      <w:r>
        <w:rPr>
          <w:rFonts w:hint="eastAsia" w:ascii="仿宋" w:hAnsi="仿宋" w:eastAsia="仿宋"/>
          <w:color w:val="auto"/>
          <w:highlight w:val="none"/>
        </w:rPr>
        <w:t>技术要求</w:t>
      </w:r>
      <w:bookmarkEnd w:id="121"/>
    </w:p>
    <w:tbl>
      <w:tblPr>
        <w:tblStyle w:val="38"/>
        <w:tblW w:w="990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4"/>
        <w:gridCol w:w="7599"/>
        <w:gridCol w:w="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right"/>
        </w:trPr>
        <w:tc>
          <w:tcPr>
            <w:tcW w:w="1514" w:type="dxa"/>
            <w:tcBorders>
              <w:top w:val="single" w:color="808080" w:sz="4" w:space="0"/>
              <w:left w:val="single" w:color="808080" w:sz="4" w:space="0"/>
              <w:bottom w:val="single" w:color="808080" w:sz="4" w:space="0"/>
              <w:right w:val="single" w:color="808080" w:sz="4" w:space="0"/>
            </w:tcBorders>
            <w:shd w:val="clear" w:color="auto" w:fill="808080"/>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7599" w:type="dxa"/>
            <w:tcBorders>
              <w:top w:val="single" w:color="808080" w:sz="4" w:space="0"/>
              <w:left w:val="single" w:color="808080" w:sz="4" w:space="0"/>
              <w:bottom w:val="single" w:color="808080" w:sz="4" w:space="0"/>
              <w:right w:val="single" w:color="808080" w:sz="4" w:space="0"/>
            </w:tcBorders>
            <w:shd w:val="clear" w:color="auto" w:fill="808080"/>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参数</w:t>
            </w:r>
          </w:p>
        </w:tc>
        <w:tc>
          <w:tcPr>
            <w:tcW w:w="787" w:type="dxa"/>
            <w:tcBorders>
              <w:top w:val="single" w:color="808080" w:sz="4" w:space="0"/>
              <w:left w:val="single" w:color="808080" w:sz="4" w:space="0"/>
              <w:bottom w:val="single" w:color="808080" w:sz="4" w:space="0"/>
              <w:right w:val="single" w:color="808080" w:sz="4" w:space="0"/>
            </w:tcBorders>
            <w:shd w:val="clear" w:color="auto" w:fill="808080"/>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A4纸</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500张/包，白色</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医用纱布</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10片/包</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彩虹伞</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6-10人适用，直径2m，海洋球30个+收纳袋</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方桌矮桌(儿童）</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进口橡木，60cmx60cmx55cm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抽纸巾</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100抽，3层，无印花，天然无香，190*132mm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大龙球</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直径65cm，光面</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大龙球</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45CM *55cm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儿童椅</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42*25*22*26cm，松木</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记录本</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A5、30页</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小毛巾</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优质面料，柔软舒适，温和细腻，吸水鼓包设计，耐磨耐洗，30cm*30cm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拉拉裤</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拉拉裤 L码，23片/包，适用体重9-14kg</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免洗手消毒剂</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医用级超强杀菌、免洗功能、快速挥发、长效抑菌、500ml、按压式</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签字笔</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黑色</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身体图片</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鼻子、嘴巴、手等硬卡纸图片，1套24张，带磁性</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签字笔</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黑色（12支/盒）</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签字笔</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红色，1mm加粗</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丝巾</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音乐纱巾；33cm*33cm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铃鼓</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彩色卡纸</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10色，A4大小，250g，100张</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纱布</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10片/包</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勺子</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硅胶勺材质，温感变色勺（40°变色）</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湿巾</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80片/包170mm*130mm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湿巾</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80片/包170mm*130mm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方形矮桌(儿童）</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进口橡木，60cmx60cmx55cm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手腕铃</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22*2.5cm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手指颜料</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6色*60ml</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水银体温计</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长度11.5mm，玻璃体温计</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踏脚凳</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凳面直径19*凳脚直径24*高15cm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毛巾</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优质面料，柔软舒适，温和细腻，吸水鼓包设计，耐磨耐洗，30cm*30cm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碗</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聚丙烯塑料，直径12cm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万象组合</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Style w:val="74"/>
                <w:rFonts w:hint="eastAsia" w:ascii="仿宋" w:hAnsi="仿宋" w:eastAsia="仿宋" w:cs="仿宋"/>
                <w:color w:val="auto"/>
                <w:sz w:val="21"/>
                <w:szCs w:val="21"/>
                <w:lang w:val="en-US" w:eastAsia="zh-CN" w:bidi="ar"/>
              </w:rPr>
              <w:t>114</w:t>
            </w:r>
            <w:r>
              <w:rPr>
                <w:rStyle w:val="75"/>
                <w:rFonts w:hint="eastAsia" w:ascii="仿宋" w:hAnsi="仿宋" w:eastAsia="仿宋" w:cs="仿宋"/>
                <w:color w:val="auto"/>
                <w:sz w:val="21"/>
                <w:szCs w:val="21"/>
                <w:lang w:val="en-US" w:eastAsia="zh-CN" w:bidi="ar"/>
              </w:rPr>
              <w:t>件</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温度计</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红水银室温计，250mm*56mm*12mm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小皮球</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球体直径15cm，PVC</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篮筐</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可升降，9档调节，78-120cm，注水加固</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Style w:val="76"/>
                <w:rFonts w:hint="eastAsia" w:ascii="仿宋" w:hAnsi="仿宋" w:eastAsia="仿宋" w:cs="仿宋"/>
                <w:color w:val="auto"/>
                <w:sz w:val="21"/>
                <w:szCs w:val="21"/>
                <w:lang w:val="en-US" w:eastAsia="zh-CN" w:bidi="ar"/>
              </w:rPr>
              <w:t>球门（</w:t>
            </w:r>
            <w:r>
              <w:rPr>
                <w:rStyle w:val="77"/>
                <w:rFonts w:hint="eastAsia" w:ascii="仿宋" w:hAnsi="仿宋" w:eastAsia="仿宋" w:cs="仿宋"/>
                <w:color w:val="auto"/>
                <w:sz w:val="21"/>
                <w:szCs w:val="21"/>
                <w:lang w:val="en-US" w:eastAsia="zh-CN" w:bidi="ar"/>
              </w:rPr>
              <w:t>可折叠</w:t>
            </w:r>
            <w:r>
              <w:rPr>
                <w:rStyle w:val="76"/>
                <w:rFonts w:hint="eastAsia" w:ascii="仿宋" w:hAnsi="仿宋" w:eastAsia="仿宋" w:cs="仿宋"/>
                <w:color w:val="auto"/>
                <w:sz w:val="21"/>
                <w:szCs w:val="21"/>
                <w:lang w:val="en-US" w:eastAsia="zh-CN" w:bidi="ar"/>
              </w:rPr>
              <w:t>）</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中号,90cm*60cm*60cm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温度计</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玻璃棒式温度计</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小按摩球</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初级版，软球，适合3个月以上</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温度计</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电子温湿度计</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洗脸台</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pp环保材质</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纱巾</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音乐纱巾；33cm*33cm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海洋球</w:t>
            </w:r>
          </w:p>
        </w:tc>
        <w:tc>
          <w:tcPr>
            <w:tcW w:w="7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Style w:val="78"/>
                <w:rFonts w:hint="eastAsia" w:ascii="仿宋" w:hAnsi="仿宋" w:eastAsia="仿宋" w:cs="仿宋"/>
                <w:color w:val="auto"/>
                <w:sz w:val="21"/>
                <w:szCs w:val="21"/>
                <w:lang w:val="en-US" w:eastAsia="zh-CN" w:bidi="ar"/>
              </w:rPr>
              <w:t>彩色</w:t>
            </w:r>
            <w:r>
              <w:rPr>
                <w:rStyle w:val="79"/>
                <w:rFonts w:hint="eastAsia" w:ascii="仿宋" w:hAnsi="仿宋" w:eastAsia="仿宋" w:cs="仿宋"/>
                <w:color w:val="auto"/>
                <w:sz w:val="21"/>
                <w:szCs w:val="21"/>
                <w:lang w:val="en-US" w:eastAsia="zh-CN" w:bidi="ar"/>
              </w:rPr>
              <w:t>5.5</w:t>
            </w:r>
            <w:r>
              <w:rPr>
                <w:rStyle w:val="78"/>
                <w:rFonts w:hint="eastAsia" w:ascii="仿宋" w:hAnsi="仿宋" w:eastAsia="仿宋" w:cs="仿宋"/>
                <w:color w:val="auto"/>
                <w:sz w:val="21"/>
                <w:szCs w:val="21"/>
                <w:lang w:val="en-US" w:eastAsia="zh-CN" w:bidi="ar"/>
              </w:rPr>
              <w:t>厘米</w:t>
            </w:r>
            <w:r>
              <w:rPr>
                <w:rStyle w:val="79"/>
                <w:rFonts w:hint="eastAsia" w:ascii="仿宋" w:hAnsi="仿宋" w:eastAsia="仿宋" w:cs="仿宋"/>
                <w:color w:val="auto"/>
                <w:sz w:val="21"/>
                <w:szCs w:val="21"/>
                <w:lang w:val="en-US" w:eastAsia="zh-CN" w:bidi="ar"/>
              </w:rPr>
              <w:t>200</w:t>
            </w:r>
            <w:r>
              <w:rPr>
                <w:rStyle w:val="78"/>
                <w:rFonts w:hint="eastAsia" w:ascii="仿宋" w:hAnsi="仿宋" w:eastAsia="仿宋" w:cs="仿宋"/>
                <w:color w:val="auto"/>
                <w:sz w:val="21"/>
                <w:szCs w:val="21"/>
                <w:lang w:val="en-US" w:eastAsia="zh-CN" w:bidi="ar"/>
              </w:rPr>
              <w:t>个，</w:t>
            </w:r>
            <w:r>
              <w:rPr>
                <w:rStyle w:val="79"/>
                <w:rFonts w:hint="eastAsia" w:ascii="仿宋" w:hAnsi="仿宋" w:eastAsia="仿宋" w:cs="仿宋"/>
                <w:color w:val="auto"/>
                <w:sz w:val="21"/>
                <w:szCs w:val="21"/>
                <w:lang w:val="en-US" w:eastAsia="zh-CN" w:bidi="ar"/>
              </w:rPr>
              <w:t>PE</w:t>
            </w:r>
            <w:r>
              <w:rPr>
                <w:rStyle w:val="78"/>
                <w:rFonts w:hint="eastAsia" w:ascii="仿宋" w:hAnsi="仿宋" w:eastAsia="仿宋" w:cs="仿宋"/>
                <w:color w:val="auto"/>
                <w:sz w:val="21"/>
                <w:szCs w:val="21"/>
                <w:lang w:val="en-US" w:eastAsia="zh-CN" w:bidi="ar"/>
              </w:rPr>
              <w:t>材质</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《阿-嚏感冒了》绘本</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北京联合出版社</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人物手偶</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普通毛绒材质，适用于手套玩偶，穿戴轻巧，不易掉毛，造型板正可爱</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沙锤</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木质</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洗手液（儿童）</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500ml/瓶</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豆子</w:t>
            </w:r>
          </w:p>
        </w:tc>
        <w:tc>
          <w:tcPr>
            <w:tcW w:w="7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托盘</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环保塑料、一体成型、产品表面光滑圆润、大号19*25.5cm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跳袋</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大中小号</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洗手液（儿童）</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抑菌洗手液，容量：300ml，混合香型</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交通工具图片</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10cmx10cm，44张/本</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交通工具嵌板</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30x22.5cm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呼啦圈</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消毒液</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500g/瓶，有效氯含量为3.8%-5.1%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手电筒</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LED黄光笔式手电筒</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计时器</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显示屏，生活防水</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椅子（成人）</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黑架黑皮，加厚钢管，防水，40*79cm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长方形矮桌（儿童）</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120CM*60CM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幼儿马桶</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36*27*28cm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弯盘</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304不锈钢、表面光滑圆润、耐高温耐碘伏、大号21.5*14*2.5cm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幼儿游戏软垫</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1m*1m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棉签</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50支/袋,10CM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童车</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EVA发泡车轮，高碳钢，49*20*91cm，承重15kg</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幼儿衣物</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80cm，全棉</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小方巾</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25*25cm,100%棉，吸水泡泡纱鼓包设计，6层棉纱</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带水龙头的洗手池模型</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环保PP材质，53.5cmx32.5cm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幼儿游戏软垫</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肥皂（儿童）</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植物倍护成分，水果香，易清洗无残留</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75%酒精</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100ml、75％酒精消毒液、一喷消毒、快速灭菌、方便携带、温和不伤手</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酒精湿巾</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80片/包、170mm*130mm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 84消毒液</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500g/瓶，杀灭率高达99.999%</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洗衣液</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柠檬衣物衣服除菌液1.5L消毒除螨</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大毛巾</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72*34CM；棉100%</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塑料量杯</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500ml，加厚PP材质</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水盆</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PP，直径26cm、圆形，用料厚实，耐摔耐强压，不纳垢易清洗，无异味，边缘防滑处理</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橡胶手套</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10个/包</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一次性手套</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100个/包</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抽纸</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原生木浆，100抽，3层，无印花，天然无香，190*132mm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儿童口罩</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医用外科，30个/盒</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成人口罩</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医用外科，10个/包</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垃圾桶</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31*27.5cm</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额温枪</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红外线体温计</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儿童椅子</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42*25*22*26cm，松木</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大衣架</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高度：171cm，底盘直径43cm，主杆直径2.5cm，金属材质</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小衣架</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30cm，ABS树脂工艺，不锈钢挂钩</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500ml量筒</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500ml，加厚PP材质</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消毒专用桶</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10L，带刻度，耐强腐蚀耐高温</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抹布</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25*25cm,双面珊瑚绒，手感舒适，吸水性好</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智能仿真幼儿</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一、基本参数</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1、规格：月龄18月，身高76厘米。</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★2、外形材质：使用高分子PVC材料。（为保证产品采购质量和安全，</w:t>
            </w:r>
            <w:r>
              <w:rPr>
                <w:rFonts w:hint="eastAsia" w:ascii="仿宋" w:hAnsi="仿宋" w:eastAsia="仿宋" w:cs="仿宋"/>
                <w:b/>
                <w:bCs/>
                <w:i w:val="0"/>
                <w:iCs w:val="0"/>
                <w:color w:val="auto"/>
                <w:kern w:val="0"/>
                <w:sz w:val="21"/>
                <w:szCs w:val="21"/>
                <w:u w:val="none"/>
                <w:lang w:val="en-US" w:eastAsia="zh-CN" w:bidi="ar"/>
              </w:rPr>
              <w:t>产品应符合GB 6675.4-2014《玩具安全 第4部分:特定元素的迁移》国家标准，并提供相应检测报告，并加盖投标人公章</w:t>
            </w:r>
            <w:r>
              <w:rPr>
                <w:rFonts w:hint="eastAsia"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外观：外观仿同龄真人，主观感觉月龄18月-24月，颈部、髋部、臂部、膝部、肘部设计关节，能实现一定角度的转动，能展示出坐、立、卧、行等多种复杂的姿态，眼睛使用电子眼，受内置程序控制可以实现闭眼、眨眼、张眼。</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主板：MCU最大主频240MHZ，集成了电源管理模块（充电、输出、锂电池保护）、WIFI及蓝牙模块（网卡）、语音识别模块、声音处理模块、音频功放模块、集成TF读卡器、TF卡存储32G、24个输入输出接口及4组电源控制电路。</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二、功能</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★1、智能仿真幼儿</w:t>
            </w:r>
            <w:r>
              <w:rPr>
                <w:rFonts w:hint="eastAsia" w:ascii="仿宋" w:hAnsi="仿宋" w:eastAsia="仿宋" w:cs="仿宋"/>
                <w:i w:val="0"/>
                <w:iCs w:val="0"/>
                <w:color w:val="auto"/>
                <w:kern w:val="0"/>
                <w:sz w:val="21"/>
                <w:szCs w:val="21"/>
                <w:highlight w:val="none"/>
                <w:u w:val="none"/>
                <w:lang w:val="en-US" w:eastAsia="zh-CN" w:bidi="ar"/>
              </w:rPr>
              <w:t>采用物联网技术、云微服务技术，自带WIFI和蓝牙模块，能无限空中远程自动升级（OTA）</w:t>
            </w:r>
            <w:r>
              <w:rPr>
                <w:rFonts w:hint="eastAsia" w:ascii="仿宋" w:hAnsi="仿宋" w:eastAsia="仿宋" w:cs="仿宋"/>
                <w:i w:val="0"/>
                <w:iCs w:val="0"/>
                <w:color w:val="auto"/>
                <w:kern w:val="0"/>
                <w:sz w:val="21"/>
                <w:szCs w:val="21"/>
                <w:u w:val="none"/>
                <w:lang w:val="en-US" w:eastAsia="zh-CN" w:bidi="ar"/>
              </w:rPr>
              <w:t>。通过网络，控制管理服务器可以控制管理分布在全球的智能仿真幼儿，可实现自由分组、实训操作、考试竞赛、学习社交的管理。（</w:t>
            </w:r>
            <w:r>
              <w:rPr>
                <w:rFonts w:hint="eastAsia" w:ascii="仿宋" w:hAnsi="仿宋" w:eastAsia="仿宋" w:cs="仿宋"/>
                <w:b/>
                <w:bCs/>
                <w:i w:val="0"/>
                <w:iCs w:val="0"/>
                <w:color w:val="auto"/>
                <w:kern w:val="0"/>
                <w:sz w:val="21"/>
                <w:szCs w:val="21"/>
                <w:u w:val="none"/>
                <w:lang w:val="en-US" w:eastAsia="zh-CN" w:bidi="ar"/>
              </w:rPr>
              <w:t>为保证产品采购质量和教学效果，需提供相关管理平台截图，并加盖投标人公章</w:t>
            </w:r>
            <w:r>
              <w:rPr>
                <w:rFonts w:hint="eastAsia" w:ascii="仿宋" w:hAnsi="仿宋" w:eastAsia="仿宋" w:cs="仿宋"/>
                <w:i w:val="0"/>
                <w:iCs w:val="0"/>
                <w:color w:val="auto"/>
                <w:kern w:val="0"/>
                <w:sz w:val="21"/>
                <w:szCs w:val="21"/>
                <w:u w:val="none"/>
                <w:lang w:val="en-US" w:eastAsia="zh-CN" w:bidi="ar"/>
              </w:rPr>
              <w:t>）</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2、智能仿真幼儿使用外接电源供电和内置电池两种方式供电，内置电池容量≥7000mah。在没有外接电源供电时，内置锂电池供电可静态待机时间约240小时，持续工作120小时。</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★3、智能仿真幼儿有三种工作模式：</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A实训操作模式：能完成9大类共15种实训操作。在操作的过程，可以互动，智能仿真幼儿会根据操作情况进行语音指导。操作结束后将操作结果等数据送到控制管理平台进行数据分析、评分、评价，生成成绩单和排名榜，支持报表打印。</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B考试、竞赛模式：与实训操作模式类似，不同的就是：在操作过程不能交互，操作时无论对错不会有语音提示。考试、竞赛结束，会自动计算综合得分，并根据综合评分生成排行榜，支持报表打印。</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C学习社交模式：在此模式下除了能实训操作、考试竞赛外，还可以实现学生领养。领养时，每天智能仿真幼儿能根据心情会向领养者打招呼问好、给领养者唱歌、讲故事；领养者也可以与她互动，可以抚摸她的颈脖子，可以向她提问，……，她也会向领养者提出一些合理要求。当她的要求被完成时，她会根据领养的态度与技能给操作者点赞、加分、量化评估</w:t>
            </w:r>
            <w:r>
              <w:rPr>
                <w:rFonts w:hint="eastAsia" w:ascii="仿宋" w:hAnsi="仿宋" w:eastAsia="仿宋" w:cs="仿宋"/>
                <w:b/>
                <w:bCs/>
                <w:i w:val="0"/>
                <w:iCs w:val="0"/>
                <w:color w:val="auto"/>
                <w:kern w:val="0"/>
                <w:sz w:val="21"/>
                <w:szCs w:val="21"/>
                <w:u w:val="none"/>
                <w:lang w:val="en-US" w:eastAsia="zh-CN" w:bidi="ar"/>
              </w:rPr>
              <w:t>（为保证产品采购质量和教学效果，需提供相关产品彩页证明，并加盖投标人公章）</w:t>
            </w:r>
            <w:r>
              <w:rPr>
                <w:rFonts w:hint="eastAsia" w:ascii="仿宋" w:hAnsi="仿宋" w:eastAsia="仿宋" w:cs="仿宋"/>
                <w:b/>
                <w:bCs/>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智能仿真幼儿体内有20多个接口，这些接口用于连接传感器或其他IO设备，除了能完成国家“十四五”规划教材《幼儿照护》上、中册9大类15个基本实训操作外，智能仿真娃娃预留接口，还可进一步的拓展功能。</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right"/>
        </w:trPr>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围裙</w:t>
            </w:r>
          </w:p>
        </w:tc>
        <w:tc>
          <w:tcPr>
            <w:tcW w:w="7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聚酯纤维+防水层+复合网布，可调节肩带、穿戴方便、面料舒适透气、柔软亲肤</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right"/>
        </w:trPr>
        <w:tc>
          <w:tcPr>
            <w:tcW w:w="99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以上产品规格尺寸允许偏差±5%</w:t>
            </w:r>
          </w:p>
        </w:tc>
      </w:tr>
    </w:tbl>
    <w:p>
      <w:pPr>
        <w:pStyle w:val="3"/>
        <w:jc w:val="left"/>
        <w:rPr>
          <w:rFonts w:ascii="仿宋" w:hAnsi="仿宋" w:eastAsia="仿宋"/>
          <w:color w:val="auto"/>
          <w:highlight w:val="none"/>
        </w:rPr>
      </w:pPr>
      <w:bookmarkStart w:id="122" w:name="_Toc35923719"/>
      <w:r>
        <w:rPr>
          <w:rFonts w:ascii="仿宋" w:hAnsi="仿宋" w:eastAsia="仿宋"/>
          <w:color w:val="auto"/>
          <w:highlight w:val="none"/>
        </w:rPr>
        <w:br w:type="page"/>
      </w:r>
      <w:bookmarkEnd w:id="122"/>
      <w:bookmarkStart w:id="123" w:name="_Toc31703"/>
      <w:bookmarkStart w:id="124" w:name="_Toc18230257"/>
      <w:bookmarkStart w:id="125" w:name="_Toc20229883"/>
      <w:r>
        <w:rPr>
          <w:rFonts w:hint="eastAsia" w:ascii="仿宋" w:hAnsi="仿宋" w:eastAsia="仿宋"/>
          <w:color w:val="auto"/>
          <w:highlight w:val="none"/>
          <w:lang w:val="en-US" w:eastAsia="zh-CN"/>
        </w:rPr>
        <w:t>二</w:t>
      </w:r>
      <w:r>
        <w:rPr>
          <w:rFonts w:hint="eastAsia" w:ascii="仿宋" w:hAnsi="仿宋" w:eastAsia="仿宋"/>
          <w:color w:val="auto"/>
          <w:highlight w:val="none"/>
        </w:rPr>
        <w:t>、商务要求</w:t>
      </w:r>
      <w:bookmarkEnd w:id="123"/>
      <w:bookmarkEnd w:id="124"/>
      <w:bookmarkEnd w:id="125"/>
    </w:p>
    <w:p>
      <w:pPr>
        <w:spacing w:line="520" w:lineRule="exact"/>
        <w:rPr>
          <w:rFonts w:ascii="仿宋" w:hAnsi="仿宋" w:eastAsia="仿宋"/>
          <w:b/>
          <w:color w:val="auto"/>
          <w:sz w:val="24"/>
          <w:highlight w:val="none"/>
        </w:rPr>
      </w:pPr>
      <w:r>
        <w:rPr>
          <w:rFonts w:ascii="仿宋" w:hAnsi="仿宋" w:eastAsia="仿宋"/>
          <w:b/>
          <w:color w:val="auto"/>
          <w:sz w:val="24"/>
          <w:highlight w:val="none"/>
        </w:rPr>
        <w:t>（一）技术支持</w:t>
      </w:r>
    </w:p>
    <w:p>
      <w:pPr>
        <w:pStyle w:val="67"/>
        <w:numPr>
          <w:ilvl w:val="0"/>
          <w:numId w:val="10"/>
        </w:numPr>
        <w:tabs>
          <w:tab w:val="left" w:pos="709"/>
        </w:tabs>
        <w:autoSpaceDE w:val="0"/>
        <w:autoSpaceDN w:val="0"/>
        <w:spacing w:line="520" w:lineRule="exact"/>
        <w:ind w:left="0" w:firstLine="420" w:firstLineChars="0"/>
        <w:rPr>
          <w:rFonts w:ascii="仿宋" w:hAnsi="仿宋" w:eastAsia="仿宋"/>
          <w:color w:val="auto"/>
          <w:spacing w:val="-3"/>
          <w:sz w:val="24"/>
          <w:highlight w:val="none"/>
        </w:rPr>
      </w:pPr>
      <w:r>
        <w:rPr>
          <w:rFonts w:hint="eastAsia" w:ascii="仿宋" w:hAnsi="仿宋" w:eastAsia="仿宋"/>
          <w:color w:val="auto"/>
          <w:spacing w:val="-3"/>
          <w:sz w:val="24"/>
          <w:highlight w:val="none"/>
        </w:rPr>
        <w:t>中标人所提供的货物必须是原厂生产、全新未使用过的，并完全符合原厂质量检测标准（以说明书为准）和国家质量检测标准以及合同规定的性能要求。</w:t>
      </w:r>
    </w:p>
    <w:p>
      <w:pPr>
        <w:pStyle w:val="67"/>
        <w:numPr>
          <w:ilvl w:val="0"/>
          <w:numId w:val="10"/>
        </w:numPr>
        <w:tabs>
          <w:tab w:val="left" w:pos="709"/>
        </w:tabs>
        <w:autoSpaceDE w:val="0"/>
        <w:autoSpaceDN w:val="0"/>
        <w:spacing w:line="520" w:lineRule="exact"/>
        <w:ind w:left="0" w:firstLine="420" w:firstLineChars="0"/>
        <w:rPr>
          <w:rFonts w:ascii="仿宋" w:hAnsi="仿宋" w:eastAsia="仿宋"/>
          <w:color w:val="auto"/>
          <w:spacing w:val="-3"/>
          <w:sz w:val="24"/>
          <w:highlight w:val="none"/>
        </w:rPr>
      </w:pPr>
      <w:r>
        <w:rPr>
          <w:rFonts w:hint="eastAsia" w:ascii="仿宋" w:hAnsi="仿宋" w:eastAsia="仿宋"/>
          <w:color w:val="auto"/>
          <w:spacing w:val="-3"/>
          <w:sz w:val="24"/>
          <w:highlight w:val="none"/>
        </w:rPr>
        <w:t>货物出现质量问题，中标人应负责三包（包修、包退、包换）。由于使用单位保管不当造成的质量问题，中标人亦应负责修理，但费用由使用单位负担</w:t>
      </w:r>
      <w:r>
        <w:rPr>
          <w:rFonts w:ascii="仿宋" w:hAnsi="仿宋" w:eastAsia="仿宋"/>
          <w:color w:val="auto"/>
          <w:spacing w:val="-3"/>
          <w:sz w:val="24"/>
          <w:highlight w:val="none"/>
        </w:rPr>
        <w:t>。</w:t>
      </w:r>
    </w:p>
    <w:p>
      <w:pPr>
        <w:spacing w:line="520" w:lineRule="exact"/>
        <w:rPr>
          <w:rFonts w:ascii="仿宋" w:hAnsi="仿宋" w:eastAsia="仿宋"/>
          <w:b/>
          <w:color w:val="auto"/>
          <w:sz w:val="24"/>
          <w:highlight w:val="none"/>
        </w:rPr>
      </w:pPr>
      <w:r>
        <w:rPr>
          <w:rFonts w:ascii="仿宋" w:hAnsi="仿宋" w:eastAsia="仿宋"/>
          <w:b/>
          <w:color w:val="auto"/>
          <w:sz w:val="24"/>
          <w:highlight w:val="none"/>
        </w:rPr>
        <w:t>（二）交货地点及时间</w:t>
      </w:r>
    </w:p>
    <w:p>
      <w:pPr>
        <w:pStyle w:val="67"/>
        <w:numPr>
          <w:ilvl w:val="0"/>
          <w:numId w:val="10"/>
        </w:numPr>
        <w:tabs>
          <w:tab w:val="left" w:pos="709"/>
        </w:tabs>
        <w:autoSpaceDE w:val="0"/>
        <w:autoSpaceDN w:val="0"/>
        <w:spacing w:line="520" w:lineRule="exact"/>
        <w:ind w:left="0" w:firstLine="420" w:firstLineChars="0"/>
        <w:rPr>
          <w:rFonts w:ascii="仿宋" w:hAnsi="仿宋" w:eastAsia="仿宋"/>
          <w:color w:val="auto"/>
          <w:spacing w:val="-3"/>
          <w:sz w:val="24"/>
          <w:highlight w:val="none"/>
        </w:rPr>
      </w:pPr>
      <w:r>
        <w:rPr>
          <w:rFonts w:ascii="仿宋" w:hAnsi="仿宋" w:eastAsia="仿宋"/>
          <w:color w:val="auto"/>
          <w:spacing w:val="-3"/>
          <w:sz w:val="24"/>
          <w:highlight w:val="none"/>
        </w:rPr>
        <w:t>交货地点：采购人指定地点。</w:t>
      </w:r>
    </w:p>
    <w:p>
      <w:pPr>
        <w:pStyle w:val="67"/>
        <w:numPr>
          <w:ilvl w:val="0"/>
          <w:numId w:val="10"/>
        </w:numPr>
        <w:tabs>
          <w:tab w:val="left" w:pos="709"/>
        </w:tabs>
        <w:autoSpaceDE w:val="0"/>
        <w:autoSpaceDN w:val="0"/>
        <w:spacing w:line="520" w:lineRule="exact"/>
        <w:ind w:left="0" w:firstLine="420" w:firstLineChars="0"/>
        <w:rPr>
          <w:rFonts w:ascii="仿宋" w:hAnsi="仿宋" w:eastAsia="仿宋"/>
          <w:color w:val="auto"/>
          <w:spacing w:val="-3"/>
          <w:sz w:val="24"/>
          <w:highlight w:val="none"/>
        </w:rPr>
      </w:pPr>
      <w:r>
        <w:rPr>
          <w:rFonts w:ascii="仿宋" w:hAnsi="仿宋" w:eastAsia="仿宋"/>
          <w:color w:val="auto"/>
          <w:spacing w:val="-3"/>
          <w:sz w:val="24"/>
          <w:highlight w:val="none"/>
        </w:rPr>
        <w:t>交货时间：</w:t>
      </w:r>
      <w:r>
        <w:rPr>
          <w:rFonts w:hint="eastAsia" w:ascii="仿宋" w:hAnsi="仿宋" w:eastAsia="仿宋"/>
          <w:color w:val="auto"/>
          <w:sz w:val="24"/>
          <w:highlight w:val="none"/>
        </w:rPr>
        <w:t>自合同签订之日起30日内。</w:t>
      </w:r>
    </w:p>
    <w:p>
      <w:pPr>
        <w:pStyle w:val="67"/>
        <w:numPr>
          <w:ilvl w:val="0"/>
          <w:numId w:val="10"/>
        </w:numPr>
        <w:tabs>
          <w:tab w:val="left" w:pos="709"/>
        </w:tabs>
        <w:autoSpaceDE w:val="0"/>
        <w:autoSpaceDN w:val="0"/>
        <w:spacing w:line="520" w:lineRule="exact"/>
        <w:ind w:left="0" w:firstLine="420" w:firstLineChars="0"/>
        <w:rPr>
          <w:rFonts w:ascii="仿宋" w:hAnsi="仿宋" w:eastAsia="仿宋"/>
          <w:color w:val="auto"/>
          <w:spacing w:val="-3"/>
          <w:sz w:val="24"/>
          <w:highlight w:val="none"/>
        </w:rPr>
      </w:pPr>
      <w:r>
        <w:rPr>
          <w:rFonts w:ascii="仿宋" w:hAnsi="仿宋" w:eastAsia="仿宋"/>
          <w:color w:val="auto"/>
          <w:spacing w:val="-3"/>
          <w:sz w:val="24"/>
          <w:highlight w:val="none"/>
        </w:rPr>
        <w:t>延迟交货：如成交供应商未按谈判文件规定的时间供货，超出规定时间 5 日以内（含）交货的， 每天按本项目货物总价的千分之</w:t>
      </w:r>
      <w:r>
        <w:rPr>
          <w:rFonts w:hint="eastAsia" w:ascii="仿宋" w:hAnsi="仿宋" w:eastAsia="仿宋"/>
          <w:color w:val="auto"/>
          <w:spacing w:val="-3"/>
          <w:sz w:val="24"/>
          <w:highlight w:val="none"/>
        </w:rPr>
        <w:t>一</w:t>
      </w:r>
      <w:r>
        <w:rPr>
          <w:rFonts w:ascii="仿宋" w:hAnsi="仿宋" w:eastAsia="仿宋"/>
          <w:color w:val="auto"/>
          <w:spacing w:val="-3"/>
          <w:sz w:val="24"/>
          <w:highlight w:val="none"/>
        </w:rPr>
        <w:t>赔偿给采购人，超出规定时间 5 日以上交货的，将按本项目货物总价的 10％赔偿，相关赔偿从履约保证金中扣除，但违约金的最高限额为本项目货物总价的 10％赔偿。如果达到最高限额，视为成交供应商在采购过程中虚假响应谋取成交的，采购人有权单方解除合同。且成交供应商必须赔偿采购人全部损失。相关违约责任上报采购监管部门，依据相关规定处以采购项目成交金额千分之五以上千分之十以下的罚款，列入财政部门不良行为记录名单，在一至三年内禁止参加采购活动，并予以公告，有违法所得的，并处没收违法所得，情节严重的，由市场监管部门吊销营业执照；构成犯罪的，依法追究刑事责任。</w:t>
      </w:r>
    </w:p>
    <w:p>
      <w:pPr>
        <w:spacing w:line="520" w:lineRule="exact"/>
        <w:rPr>
          <w:rFonts w:ascii="仿宋" w:hAnsi="仿宋" w:eastAsia="仿宋"/>
          <w:b/>
          <w:color w:val="auto"/>
          <w:sz w:val="24"/>
          <w:highlight w:val="none"/>
        </w:rPr>
      </w:pPr>
      <w:r>
        <w:rPr>
          <w:rFonts w:ascii="仿宋" w:hAnsi="仿宋" w:eastAsia="仿宋"/>
          <w:b/>
          <w:color w:val="auto"/>
          <w:sz w:val="24"/>
          <w:highlight w:val="none"/>
        </w:rPr>
        <w:t>（三）付款方式</w:t>
      </w:r>
    </w:p>
    <w:p>
      <w:pPr>
        <w:pStyle w:val="67"/>
        <w:numPr>
          <w:ilvl w:val="0"/>
          <w:numId w:val="10"/>
        </w:numPr>
        <w:tabs>
          <w:tab w:val="left" w:pos="709"/>
        </w:tabs>
        <w:autoSpaceDE w:val="0"/>
        <w:autoSpaceDN w:val="0"/>
        <w:spacing w:line="520" w:lineRule="exact"/>
        <w:ind w:left="0" w:firstLine="420" w:firstLineChars="0"/>
        <w:rPr>
          <w:rFonts w:ascii="仿宋" w:hAnsi="仿宋" w:eastAsia="仿宋"/>
          <w:color w:val="auto"/>
          <w:spacing w:val="-3"/>
          <w:sz w:val="24"/>
          <w:highlight w:val="none"/>
        </w:rPr>
      </w:pPr>
      <w:r>
        <w:rPr>
          <w:rFonts w:ascii="仿宋" w:hAnsi="仿宋" w:eastAsia="仿宋"/>
          <w:color w:val="auto"/>
          <w:spacing w:val="-3"/>
          <w:sz w:val="24"/>
          <w:highlight w:val="none"/>
        </w:rPr>
        <w:t>货款支付：本项目合同签订后，所有合同下货物按采购人要求供货完毕并全部验收合格后，由采购人向成交供应商一次性支付合同金额 100%的货款。</w:t>
      </w:r>
    </w:p>
    <w:p>
      <w:pPr>
        <w:spacing w:line="360" w:lineRule="auto"/>
        <w:rPr>
          <w:rFonts w:ascii="仿宋" w:hAnsi="仿宋" w:eastAsia="仿宋"/>
          <w:b/>
          <w:color w:val="auto"/>
          <w:sz w:val="24"/>
          <w:highlight w:val="none"/>
        </w:rPr>
      </w:pPr>
      <w:r>
        <w:rPr>
          <w:rFonts w:ascii="仿宋" w:hAnsi="仿宋" w:eastAsia="仿宋"/>
          <w:b/>
          <w:color w:val="auto"/>
          <w:sz w:val="24"/>
          <w:highlight w:val="none"/>
        </w:rPr>
        <w:t>（四）验收</w:t>
      </w:r>
    </w:p>
    <w:p>
      <w:pPr>
        <w:numPr>
          <w:ilvl w:val="0"/>
          <w:numId w:val="10"/>
        </w:numPr>
        <w:adjustRightInd w:val="0"/>
        <w:spacing w:line="360" w:lineRule="auto"/>
        <w:ind w:left="0"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供应商应按合同约定按时交货并通知采购人对货物开箱之前进行初次验收； </w:t>
      </w:r>
    </w:p>
    <w:p>
      <w:pPr>
        <w:pStyle w:val="67"/>
        <w:numPr>
          <w:ilvl w:val="0"/>
          <w:numId w:val="10"/>
        </w:numPr>
        <w:tabs>
          <w:tab w:val="left" w:pos="709"/>
        </w:tabs>
        <w:autoSpaceDE w:val="0"/>
        <w:autoSpaceDN w:val="0"/>
        <w:adjustRightInd w:val="0"/>
        <w:spacing w:line="360" w:lineRule="auto"/>
        <w:ind w:left="0" w:firstLine="480"/>
        <w:rPr>
          <w:rFonts w:ascii="仿宋" w:hAnsi="仿宋" w:eastAsia="仿宋"/>
          <w:color w:val="auto"/>
          <w:spacing w:val="-3"/>
          <w:sz w:val="24"/>
          <w:highlight w:val="none"/>
        </w:rPr>
      </w:pPr>
      <w:r>
        <w:rPr>
          <w:rFonts w:hint="eastAsia" w:ascii="仿宋" w:hAnsi="仿宋" w:eastAsia="仿宋" w:cs="仿宋"/>
          <w:color w:val="auto"/>
          <w:sz w:val="24"/>
          <w:highlight w:val="none"/>
        </w:rPr>
        <w:t>成交供应商应根据合同、招（投）标文件等相关资料的要求完成项目产品的安装，由采购人组织人员按 合同、招（投）标文件等相关资料的约定对此项目进行最终验收， 验收地点由采购人指定。</w:t>
      </w:r>
    </w:p>
    <w:p>
      <w:pPr>
        <w:spacing w:line="360" w:lineRule="auto"/>
        <w:rPr>
          <w:rFonts w:ascii="仿宋" w:hAnsi="仿宋" w:eastAsia="仿宋"/>
          <w:b/>
          <w:color w:val="auto"/>
          <w:sz w:val="24"/>
          <w:highlight w:val="none"/>
        </w:rPr>
      </w:pPr>
      <w:r>
        <w:rPr>
          <w:rFonts w:ascii="仿宋" w:hAnsi="仿宋" w:eastAsia="仿宋"/>
          <w:b/>
          <w:color w:val="auto"/>
          <w:sz w:val="24"/>
          <w:highlight w:val="none"/>
        </w:rPr>
        <w:t>（</w:t>
      </w:r>
      <w:r>
        <w:rPr>
          <w:rFonts w:hint="eastAsia" w:ascii="仿宋" w:hAnsi="仿宋" w:eastAsia="仿宋"/>
          <w:b/>
          <w:color w:val="auto"/>
          <w:sz w:val="24"/>
          <w:highlight w:val="none"/>
        </w:rPr>
        <w:t>五</w:t>
      </w:r>
      <w:r>
        <w:rPr>
          <w:rFonts w:ascii="仿宋" w:hAnsi="仿宋" w:eastAsia="仿宋"/>
          <w:b/>
          <w:color w:val="auto"/>
          <w:sz w:val="24"/>
          <w:highlight w:val="none"/>
        </w:rPr>
        <w:t>）质保及售后服务</w:t>
      </w:r>
    </w:p>
    <w:p>
      <w:pPr>
        <w:pStyle w:val="67"/>
        <w:numPr>
          <w:ilvl w:val="0"/>
          <w:numId w:val="10"/>
        </w:numPr>
        <w:tabs>
          <w:tab w:val="left" w:pos="709"/>
        </w:tabs>
        <w:autoSpaceDE w:val="0"/>
        <w:autoSpaceDN w:val="0"/>
        <w:spacing w:line="360" w:lineRule="auto"/>
        <w:ind w:left="0" w:firstLine="420" w:firstLineChars="0"/>
        <w:rPr>
          <w:rFonts w:ascii="仿宋" w:hAnsi="仿宋" w:eastAsia="仿宋"/>
          <w:color w:val="auto"/>
          <w:spacing w:val="-3"/>
          <w:sz w:val="24"/>
          <w:highlight w:val="none"/>
        </w:rPr>
      </w:pPr>
      <w:r>
        <w:rPr>
          <w:rFonts w:ascii="仿宋" w:hAnsi="仿宋" w:eastAsia="仿宋"/>
          <w:color w:val="auto"/>
          <w:spacing w:val="-3"/>
          <w:sz w:val="24"/>
          <w:highlight w:val="none"/>
        </w:rPr>
        <w:t>质保期：提供 12 个月的免费质量保修期，按照合同货物最终验收合格且采购人签署验收文件之日起计算。</w:t>
      </w:r>
    </w:p>
    <w:p>
      <w:pPr>
        <w:pStyle w:val="67"/>
        <w:numPr>
          <w:ilvl w:val="0"/>
          <w:numId w:val="10"/>
        </w:numPr>
        <w:tabs>
          <w:tab w:val="left" w:pos="709"/>
        </w:tabs>
        <w:autoSpaceDE w:val="0"/>
        <w:autoSpaceDN w:val="0"/>
        <w:spacing w:line="360" w:lineRule="auto"/>
        <w:ind w:left="0" w:firstLine="420" w:firstLineChars="0"/>
        <w:rPr>
          <w:rFonts w:ascii="仿宋" w:hAnsi="仿宋" w:eastAsia="仿宋"/>
          <w:color w:val="auto"/>
          <w:spacing w:val="-3"/>
          <w:sz w:val="24"/>
          <w:highlight w:val="none"/>
        </w:rPr>
      </w:pPr>
      <w:r>
        <w:rPr>
          <w:rFonts w:ascii="仿宋" w:hAnsi="仿宋" w:eastAsia="仿宋"/>
          <w:color w:val="auto"/>
          <w:spacing w:val="-3"/>
          <w:sz w:val="24"/>
          <w:highlight w:val="none"/>
        </w:rPr>
        <w:t>质保期内产品若出现破损等质量问题，成交供应商应在三日内提供免费上门更换服务，更换货物及其专人专车运输、包装的费用由成交供应商承担，成交供应商对更换的货物从更换之日起重新计算质量保证期。（人为因素或不可抗力造成的事故除外）。</w:t>
      </w:r>
    </w:p>
    <w:p>
      <w:pPr>
        <w:rPr>
          <w:rFonts w:ascii="仿宋" w:hAnsi="仿宋" w:eastAsia="仿宋"/>
          <w:color w:val="auto"/>
          <w:highlight w:val="none"/>
        </w:rPr>
      </w:pPr>
    </w:p>
    <w:p>
      <w:pPr>
        <w:rPr>
          <w:rFonts w:ascii="仿宋" w:hAnsi="仿宋" w:eastAsia="仿宋"/>
          <w:color w:val="auto"/>
          <w:highlight w:val="none"/>
        </w:rPr>
      </w:pPr>
    </w:p>
    <w:p>
      <w:pPr>
        <w:rPr>
          <w:rFonts w:ascii="仿宋" w:hAnsi="仿宋" w:eastAsia="仿宋"/>
          <w:color w:val="auto"/>
          <w:highlight w:val="none"/>
        </w:rPr>
      </w:pPr>
    </w:p>
    <w:p>
      <w:pPr>
        <w:rPr>
          <w:rFonts w:ascii="仿宋" w:hAnsi="仿宋" w:eastAsia="仿宋"/>
          <w:color w:val="auto"/>
          <w:highlight w:val="none"/>
        </w:rPr>
      </w:pPr>
    </w:p>
    <w:p>
      <w:pPr>
        <w:rPr>
          <w:rFonts w:ascii="仿宋" w:hAnsi="仿宋" w:eastAsia="仿宋"/>
          <w:color w:val="auto"/>
          <w:highlight w:val="none"/>
        </w:rPr>
        <w:sectPr>
          <w:headerReference r:id="rId7" w:type="default"/>
          <w:footerReference r:id="rId8" w:type="default"/>
          <w:pgSz w:w="11907" w:h="16839"/>
          <w:pgMar w:top="1440" w:right="1080" w:bottom="1440" w:left="1080" w:header="567" w:footer="907" w:gutter="0"/>
          <w:pgNumType w:start="1"/>
          <w:cols w:space="720" w:num="1"/>
          <w:docGrid w:linePitch="286" w:charSpace="0"/>
        </w:sectPr>
      </w:pPr>
    </w:p>
    <w:p>
      <w:pPr>
        <w:pStyle w:val="2"/>
        <w:spacing w:before="0" w:line="720" w:lineRule="exact"/>
        <w:rPr>
          <w:rFonts w:ascii="仿宋" w:hAnsi="仿宋" w:eastAsia="仿宋"/>
          <w:color w:val="auto"/>
          <w:sz w:val="32"/>
          <w:szCs w:val="32"/>
          <w:highlight w:val="none"/>
        </w:rPr>
      </w:pPr>
      <w:bookmarkStart w:id="126" w:name="_Toc20036921"/>
      <w:bookmarkStart w:id="127" w:name="_Toc19976089"/>
      <w:bookmarkStart w:id="128" w:name="_Toc20318"/>
      <w:r>
        <w:rPr>
          <w:rFonts w:ascii="仿宋" w:hAnsi="仿宋" w:eastAsia="仿宋"/>
          <w:color w:val="auto"/>
          <w:sz w:val="32"/>
          <w:szCs w:val="32"/>
          <w:highlight w:val="none"/>
        </w:rPr>
        <w:t>第</w:t>
      </w:r>
      <w:r>
        <w:rPr>
          <w:rFonts w:hint="eastAsia" w:ascii="仿宋" w:hAnsi="仿宋" w:eastAsia="仿宋"/>
          <w:color w:val="auto"/>
          <w:sz w:val="32"/>
          <w:szCs w:val="32"/>
          <w:highlight w:val="none"/>
        </w:rPr>
        <w:t>四</w:t>
      </w:r>
      <w:r>
        <w:rPr>
          <w:rFonts w:ascii="仿宋" w:hAnsi="仿宋" w:eastAsia="仿宋"/>
          <w:color w:val="auto"/>
          <w:sz w:val="32"/>
          <w:szCs w:val="32"/>
          <w:highlight w:val="none"/>
        </w:rPr>
        <w:t>章</w:t>
      </w:r>
      <w:r>
        <w:rPr>
          <w:rFonts w:hint="eastAsia" w:ascii="仿宋" w:hAnsi="仿宋" w:eastAsia="仿宋"/>
          <w:color w:val="auto"/>
          <w:sz w:val="32"/>
          <w:szCs w:val="32"/>
          <w:highlight w:val="none"/>
        </w:rPr>
        <w:t>、</w:t>
      </w:r>
      <w:r>
        <w:rPr>
          <w:rFonts w:ascii="仿宋" w:hAnsi="仿宋" w:eastAsia="仿宋"/>
          <w:color w:val="auto"/>
          <w:sz w:val="32"/>
          <w:szCs w:val="32"/>
          <w:highlight w:val="none"/>
        </w:rPr>
        <w:t>合同格式</w:t>
      </w:r>
      <w:bookmarkEnd w:id="126"/>
      <w:bookmarkEnd w:id="127"/>
      <w:bookmarkEnd w:id="128"/>
    </w:p>
    <w:p>
      <w:pPr>
        <w:tabs>
          <w:tab w:val="left" w:pos="720"/>
        </w:tabs>
        <w:spacing w:line="520" w:lineRule="exact"/>
        <w:jc w:val="right"/>
        <w:rPr>
          <w:rFonts w:ascii="仿宋" w:hAnsi="仿宋" w:eastAsia="仿宋"/>
          <w:b/>
          <w:color w:val="auto"/>
          <w:sz w:val="28"/>
          <w:szCs w:val="28"/>
          <w:highlight w:val="none"/>
        </w:rPr>
      </w:pPr>
      <w:bookmarkStart w:id="129" w:name="_TOC_250013"/>
      <w:bookmarkEnd w:id="129"/>
      <w:bookmarkStart w:id="130" w:name="_TOC_250012"/>
      <w:bookmarkEnd w:id="130"/>
      <w:r>
        <w:rPr>
          <w:rFonts w:hint="eastAsia" w:ascii="仿宋" w:hAnsi="仿宋" w:eastAsia="仿宋"/>
          <w:b/>
          <w:color w:val="auto"/>
          <w:sz w:val="28"/>
          <w:szCs w:val="28"/>
          <w:highlight w:val="none"/>
        </w:rPr>
        <w:t xml:space="preserve">合同登记编号：    </w:t>
      </w:r>
    </w:p>
    <w:p>
      <w:pPr>
        <w:tabs>
          <w:tab w:val="left" w:pos="720"/>
        </w:tabs>
        <w:spacing w:line="1000" w:lineRule="exact"/>
        <w:jc w:val="center"/>
        <w:rPr>
          <w:rFonts w:ascii="仿宋" w:hAnsi="仿宋" w:eastAsia="仿宋"/>
          <w:b/>
          <w:color w:val="auto"/>
          <w:sz w:val="72"/>
          <w:szCs w:val="72"/>
          <w:highlight w:val="none"/>
        </w:rPr>
      </w:pPr>
      <w:r>
        <w:rPr>
          <w:rFonts w:hint="eastAsia" w:ascii="仿宋" w:hAnsi="仿宋" w:eastAsia="仿宋"/>
          <w:b/>
          <w:color w:val="auto"/>
          <w:sz w:val="72"/>
          <w:szCs w:val="72"/>
          <w:highlight w:val="none"/>
        </w:rPr>
        <w:t>采购合同</w:t>
      </w:r>
    </w:p>
    <w:p>
      <w:pPr>
        <w:tabs>
          <w:tab w:val="left" w:pos="720"/>
        </w:tabs>
        <w:spacing w:line="520" w:lineRule="exact"/>
        <w:rPr>
          <w:rFonts w:ascii="仿宋" w:hAnsi="仿宋" w:eastAsia="仿宋"/>
          <w:b/>
          <w:bCs/>
          <w:color w:val="auto"/>
          <w:kern w:val="0"/>
          <w:sz w:val="28"/>
          <w:szCs w:val="32"/>
          <w:highlight w:val="none"/>
        </w:rPr>
      </w:pPr>
    </w:p>
    <w:p>
      <w:pPr>
        <w:tabs>
          <w:tab w:val="left" w:pos="720"/>
        </w:tabs>
        <w:spacing w:line="520" w:lineRule="exact"/>
        <w:ind w:firstLine="562"/>
        <w:rPr>
          <w:rFonts w:ascii="仿宋" w:hAnsi="仿宋" w:eastAsia="仿宋"/>
          <w:b/>
          <w:bCs/>
          <w:color w:val="auto"/>
          <w:kern w:val="0"/>
          <w:sz w:val="30"/>
          <w:szCs w:val="30"/>
          <w:highlight w:val="none"/>
        </w:rPr>
      </w:pPr>
      <w:r>
        <w:rPr>
          <w:rFonts w:hint="eastAsia" w:ascii="仿宋" w:hAnsi="仿宋" w:eastAsia="仿宋"/>
          <w:b/>
          <w:bCs/>
          <w:color w:val="auto"/>
          <w:kern w:val="0"/>
          <w:sz w:val="30"/>
          <w:szCs w:val="30"/>
          <w:highlight w:val="none"/>
        </w:rPr>
        <w:t>项目名称：</w:t>
      </w:r>
      <w:r>
        <w:rPr>
          <w:rFonts w:hint="eastAsia" w:ascii="仿宋" w:hAnsi="仿宋" w:eastAsia="仿宋"/>
          <w:b/>
          <w:bCs/>
          <w:i/>
          <w:color w:val="auto"/>
          <w:kern w:val="0"/>
          <w:sz w:val="30"/>
          <w:szCs w:val="30"/>
          <w:highlight w:val="none"/>
          <w:u w:val="wave"/>
        </w:rPr>
        <w:t>项目名称</w:t>
      </w:r>
    </w:p>
    <w:p>
      <w:pPr>
        <w:tabs>
          <w:tab w:val="left" w:pos="720"/>
        </w:tabs>
        <w:spacing w:line="520" w:lineRule="exact"/>
        <w:ind w:firstLine="562"/>
        <w:rPr>
          <w:rFonts w:ascii="仿宋" w:hAnsi="仿宋" w:eastAsia="仿宋"/>
          <w:b/>
          <w:bCs/>
          <w:i/>
          <w:color w:val="auto"/>
          <w:kern w:val="0"/>
          <w:sz w:val="30"/>
          <w:szCs w:val="30"/>
          <w:highlight w:val="none"/>
          <w:u w:val="wave"/>
        </w:rPr>
      </w:pPr>
      <w:r>
        <w:rPr>
          <w:rFonts w:hint="eastAsia" w:ascii="仿宋" w:hAnsi="仿宋" w:eastAsia="仿宋"/>
          <w:b/>
          <w:bCs/>
          <w:color w:val="auto"/>
          <w:kern w:val="0"/>
          <w:sz w:val="30"/>
          <w:szCs w:val="30"/>
          <w:highlight w:val="none"/>
        </w:rPr>
        <w:t>项目编号：</w:t>
      </w:r>
      <w:r>
        <w:rPr>
          <w:rFonts w:hint="eastAsia" w:ascii="仿宋" w:hAnsi="仿宋" w:eastAsia="仿宋"/>
          <w:b/>
          <w:bCs/>
          <w:i/>
          <w:color w:val="auto"/>
          <w:kern w:val="0"/>
          <w:sz w:val="30"/>
          <w:szCs w:val="30"/>
          <w:highlight w:val="none"/>
          <w:u w:val="wave"/>
        </w:rPr>
        <w:t>项目编号</w:t>
      </w:r>
    </w:p>
    <w:p>
      <w:pPr>
        <w:tabs>
          <w:tab w:val="left" w:pos="720"/>
        </w:tabs>
        <w:spacing w:line="520" w:lineRule="exact"/>
        <w:ind w:firstLine="562"/>
        <w:rPr>
          <w:rFonts w:ascii="仿宋" w:hAnsi="仿宋" w:eastAsia="仿宋"/>
          <w:b/>
          <w:bCs/>
          <w:color w:val="auto"/>
          <w:kern w:val="0"/>
          <w:sz w:val="30"/>
          <w:szCs w:val="30"/>
          <w:highlight w:val="none"/>
          <w:u w:val="wave"/>
        </w:rPr>
      </w:pPr>
      <w:r>
        <w:rPr>
          <w:rFonts w:hint="eastAsia" w:ascii="仿宋" w:hAnsi="仿宋" w:eastAsia="仿宋"/>
          <w:b/>
          <w:bCs/>
          <w:color w:val="auto"/>
          <w:kern w:val="0"/>
          <w:sz w:val="30"/>
          <w:szCs w:val="30"/>
          <w:highlight w:val="none"/>
        </w:rPr>
        <w:t>采购计划编号：</w:t>
      </w:r>
      <w:r>
        <w:rPr>
          <w:rFonts w:hint="eastAsia" w:ascii="仿宋" w:hAnsi="仿宋" w:eastAsia="仿宋"/>
          <w:b/>
          <w:bCs/>
          <w:i/>
          <w:color w:val="auto"/>
          <w:kern w:val="0"/>
          <w:sz w:val="30"/>
          <w:szCs w:val="30"/>
          <w:highlight w:val="none"/>
          <w:u w:val="wave"/>
        </w:rPr>
        <w:t xml:space="preserve">          </w:t>
      </w:r>
    </w:p>
    <w:p>
      <w:pPr>
        <w:tabs>
          <w:tab w:val="left" w:pos="720"/>
        </w:tabs>
        <w:spacing w:line="520" w:lineRule="exact"/>
        <w:ind w:firstLine="562"/>
        <w:rPr>
          <w:rFonts w:ascii="仿宋" w:hAnsi="仿宋" w:eastAsia="仿宋"/>
          <w:b/>
          <w:bCs/>
          <w:color w:val="auto"/>
          <w:kern w:val="0"/>
          <w:sz w:val="30"/>
          <w:szCs w:val="30"/>
          <w:highlight w:val="none"/>
        </w:rPr>
      </w:pPr>
      <w:r>
        <w:rPr>
          <w:rFonts w:hint="eastAsia" w:ascii="仿宋" w:hAnsi="仿宋" w:eastAsia="仿宋"/>
          <w:b/>
          <w:bCs/>
          <w:color w:val="auto"/>
          <w:kern w:val="0"/>
          <w:sz w:val="30"/>
          <w:szCs w:val="30"/>
          <w:highlight w:val="none"/>
        </w:rPr>
        <w:t>买方：</w:t>
      </w:r>
    </w:p>
    <w:p>
      <w:pPr>
        <w:tabs>
          <w:tab w:val="left" w:pos="720"/>
        </w:tabs>
        <w:spacing w:line="520" w:lineRule="exact"/>
        <w:ind w:firstLine="562"/>
        <w:rPr>
          <w:rFonts w:ascii="仿宋" w:hAnsi="仿宋" w:eastAsia="仿宋"/>
          <w:b/>
          <w:bCs/>
          <w:color w:val="auto"/>
          <w:kern w:val="0"/>
          <w:sz w:val="30"/>
          <w:szCs w:val="30"/>
          <w:highlight w:val="none"/>
        </w:rPr>
      </w:pPr>
      <w:r>
        <w:rPr>
          <w:rFonts w:hint="eastAsia" w:ascii="仿宋" w:hAnsi="仿宋" w:eastAsia="仿宋"/>
          <w:b/>
          <w:bCs/>
          <w:color w:val="auto"/>
          <w:kern w:val="0"/>
          <w:sz w:val="30"/>
          <w:szCs w:val="30"/>
          <w:highlight w:val="none"/>
        </w:rPr>
        <w:t>卖方：</w:t>
      </w:r>
      <w:r>
        <w:rPr>
          <w:rFonts w:hint="eastAsia" w:ascii="仿宋" w:hAnsi="仿宋" w:eastAsia="仿宋"/>
          <w:b/>
          <w:bCs/>
          <w:i/>
          <w:color w:val="auto"/>
          <w:kern w:val="0"/>
          <w:sz w:val="30"/>
          <w:szCs w:val="30"/>
          <w:highlight w:val="none"/>
          <w:u w:val="wave"/>
        </w:rPr>
        <w:t>成交</w:t>
      </w:r>
      <w:r>
        <w:rPr>
          <w:rFonts w:ascii="仿宋" w:hAnsi="仿宋" w:eastAsia="仿宋"/>
          <w:b/>
          <w:bCs/>
          <w:i/>
          <w:color w:val="auto"/>
          <w:kern w:val="0"/>
          <w:sz w:val="30"/>
          <w:szCs w:val="30"/>
          <w:highlight w:val="none"/>
          <w:u w:val="wave"/>
        </w:rPr>
        <w:t>/</w:t>
      </w:r>
      <w:r>
        <w:rPr>
          <w:rFonts w:hint="eastAsia" w:ascii="仿宋" w:hAnsi="仿宋" w:eastAsia="仿宋"/>
          <w:b/>
          <w:bCs/>
          <w:i/>
          <w:color w:val="auto"/>
          <w:kern w:val="0"/>
          <w:sz w:val="30"/>
          <w:szCs w:val="30"/>
          <w:highlight w:val="none"/>
          <w:u w:val="wave"/>
        </w:rPr>
        <w:t>中标供应商名称</w:t>
      </w:r>
    </w:p>
    <w:p>
      <w:pPr>
        <w:tabs>
          <w:tab w:val="left" w:pos="720"/>
        </w:tabs>
        <w:spacing w:line="520" w:lineRule="exact"/>
        <w:ind w:firstLine="602" w:firstLineChars="200"/>
        <w:rPr>
          <w:rFonts w:ascii="仿宋" w:hAnsi="仿宋" w:eastAsia="仿宋"/>
          <w:b/>
          <w:bCs/>
          <w:color w:val="auto"/>
          <w:kern w:val="0"/>
          <w:sz w:val="28"/>
          <w:szCs w:val="32"/>
          <w:highlight w:val="none"/>
        </w:rPr>
      </w:pPr>
      <w:r>
        <w:rPr>
          <w:rFonts w:hint="eastAsia" w:ascii="仿宋" w:hAnsi="仿宋" w:eastAsia="仿宋"/>
          <w:b/>
          <w:bCs/>
          <w:color w:val="auto"/>
          <w:kern w:val="0"/>
          <w:sz w:val="30"/>
          <w:szCs w:val="30"/>
          <w:highlight w:val="none"/>
        </w:rPr>
        <w:t>签订地点：南昌</w:t>
      </w:r>
    </w:p>
    <w:p>
      <w:pPr>
        <w:autoSpaceDE w:val="0"/>
        <w:autoSpaceDN w:val="0"/>
        <w:spacing w:line="520" w:lineRule="exact"/>
        <w:ind w:firstLine="525" w:firstLineChars="250"/>
        <w:rPr>
          <w:rFonts w:ascii="仿宋" w:hAnsi="仿宋" w:eastAsia="仿宋" w:cs="仿宋_GB2312"/>
          <w:color w:val="auto"/>
          <w:highlight w:val="none"/>
        </w:rPr>
      </w:pPr>
      <w:r>
        <w:rPr>
          <w:rFonts w:ascii="仿宋" w:hAnsi="仿宋" w:eastAsia="仿宋"/>
          <w:color w:val="auto"/>
          <w:highlight w:val="none"/>
        </w:rPr>
        <w:br w:type="page"/>
      </w:r>
      <w:r>
        <w:rPr>
          <w:rFonts w:hint="eastAsia" w:ascii="仿宋" w:hAnsi="仿宋" w:eastAsia="仿宋" w:cs="仿宋_GB2312"/>
          <w:b/>
          <w:i/>
          <w:color w:val="auto"/>
          <w:highlight w:val="none"/>
          <w:u w:val="wave"/>
        </w:rPr>
        <w:t>项目名称项目编号</w:t>
      </w:r>
      <w:r>
        <w:rPr>
          <w:rFonts w:ascii="仿宋" w:hAnsi="仿宋" w:eastAsia="仿宋" w:cs="仿宋_GB2312"/>
          <w:color w:val="auto"/>
          <w:highlight w:val="none"/>
        </w:rPr>
        <w:t xml:space="preserve"> </w:t>
      </w:r>
      <w:r>
        <w:rPr>
          <w:rFonts w:hint="eastAsia" w:ascii="仿宋" w:hAnsi="仿宋" w:eastAsia="仿宋" w:cs="仿宋_GB2312"/>
          <w:color w:val="auto"/>
          <w:highlight w:val="none"/>
        </w:rPr>
        <w:t>所需</w:t>
      </w:r>
      <w:r>
        <w:rPr>
          <w:rFonts w:hint="eastAsia" w:ascii="仿宋" w:hAnsi="仿宋" w:eastAsia="仿宋" w:cs="仿宋_GB2312"/>
          <w:b/>
          <w:i/>
          <w:color w:val="auto"/>
          <w:highlight w:val="none"/>
          <w:u w:val="wave"/>
        </w:rPr>
        <w:t>货物名称</w:t>
      </w:r>
      <w:r>
        <w:rPr>
          <w:rFonts w:hint="eastAsia" w:ascii="仿宋" w:hAnsi="仿宋" w:eastAsia="仿宋" w:cs="仿宋_GB2312"/>
          <w:color w:val="auto"/>
          <w:highlight w:val="none"/>
        </w:rPr>
        <w:t>经</w:t>
      </w:r>
      <w:r>
        <w:rPr>
          <w:rFonts w:hint="eastAsia" w:ascii="仿宋" w:hAnsi="仿宋" w:eastAsia="仿宋" w:cs="仿宋_GB2312"/>
          <w:b/>
          <w:i/>
          <w:color w:val="auto"/>
          <w:highlight w:val="none"/>
          <w:u w:val="wave"/>
        </w:rPr>
        <w:t>招标代理公司名称</w:t>
      </w:r>
      <w:r>
        <w:rPr>
          <w:rFonts w:hint="eastAsia" w:ascii="仿宋" w:hAnsi="仿宋" w:eastAsia="仿宋" w:cs="仿宋_GB2312"/>
          <w:color w:val="auto"/>
          <w:highlight w:val="none"/>
        </w:rPr>
        <w:t>通过</w:t>
      </w:r>
      <w:r>
        <w:rPr>
          <w:rFonts w:hint="eastAsia" w:ascii="仿宋" w:hAnsi="仿宋" w:eastAsia="仿宋" w:cs="仿宋_GB2312"/>
          <w:b/>
          <w:i/>
          <w:color w:val="auto"/>
          <w:highlight w:val="none"/>
          <w:u w:val="wave"/>
        </w:rPr>
        <w:t>竞争性谈判采购</w:t>
      </w:r>
      <w:r>
        <w:rPr>
          <w:rFonts w:hint="eastAsia" w:ascii="仿宋" w:hAnsi="仿宋" w:eastAsia="仿宋" w:cs="仿宋_GB2312"/>
          <w:color w:val="auto"/>
          <w:highlight w:val="none"/>
        </w:rPr>
        <w:t>方式，确定</w:t>
      </w:r>
      <w:r>
        <w:rPr>
          <w:rFonts w:hint="eastAsia" w:ascii="仿宋" w:hAnsi="仿宋" w:eastAsia="仿宋" w:cs="仿宋_GB2312"/>
          <w:b/>
          <w:i/>
          <w:color w:val="auto"/>
          <w:highlight w:val="none"/>
          <w:u w:val="wave"/>
        </w:rPr>
        <w:t>卖方名称</w:t>
      </w:r>
      <w:r>
        <w:rPr>
          <w:rFonts w:hint="eastAsia" w:ascii="仿宋" w:hAnsi="仿宋" w:eastAsia="仿宋" w:cs="仿宋_GB2312"/>
          <w:color w:val="auto"/>
          <w:highlight w:val="none"/>
        </w:rPr>
        <w:t>为成交供应商。现依据《中华人民共和国民法典》签订如下合同：</w:t>
      </w:r>
    </w:p>
    <w:p>
      <w:pPr>
        <w:autoSpaceDE w:val="0"/>
        <w:autoSpaceDN w:val="0"/>
        <w:spacing w:line="520" w:lineRule="exact"/>
        <w:rPr>
          <w:rFonts w:ascii="仿宋" w:hAnsi="仿宋" w:eastAsia="仿宋" w:cs="FangSong_GB2312,Bold"/>
          <w:b/>
          <w:bCs/>
          <w:color w:val="auto"/>
          <w:highlight w:val="none"/>
        </w:rPr>
      </w:pPr>
      <w:r>
        <w:rPr>
          <w:rFonts w:hint="eastAsia" w:ascii="仿宋" w:hAnsi="仿宋" w:eastAsia="仿宋" w:cs="FangSong_GB2312,Bold"/>
          <w:b/>
          <w:bCs/>
          <w:color w:val="auto"/>
          <w:highlight w:val="none"/>
        </w:rPr>
        <w:t>合同条款前附表</w:t>
      </w:r>
    </w:p>
    <w:tbl>
      <w:tblPr>
        <w:tblStyle w:val="38"/>
        <w:tblW w:w="978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93" w:type="dxa"/>
            <w:vAlign w:val="center"/>
          </w:tcPr>
          <w:p>
            <w:pPr>
              <w:spacing w:line="520" w:lineRule="exact"/>
              <w:jc w:val="center"/>
              <w:rPr>
                <w:rFonts w:ascii="仿宋" w:hAnsi="仿宋" w:eastAsia="仿宋" w:cs="仿宋_GB2312"/>
                <w:b/>
                <w:color w:val="auto"/>
                <w:highlight w:val="none"/>
              </w:rPr>
            </w:pPr>
            <w:r>
              <w:rPr>
                <w:rFonts w:hint="eastAsia" w:ascii="仿宋" w:hAnsi="仿宋" w:eastAsia="仿宋" w:cs="仿宋_GB2312"/>
                <w:b/>
                <w:color w:val="auto"/>
                <w:highlight w:val="none"/>
              </w:rPr>
              <w:t>条款号</w:t>
            </w:r>
          </w:p>
        </w:tc>
        <w:tc>
          <w:tcPr>
            <w:tcW w:w="8789" w:type="dxa"/>
            <w:vAlign w:val="center"/>
          </w:tcPr>
          <w:p>
            <w:pPr>
              <w:spacing w:line="520" w:lineRule="exact"/>
              <w:jc w:val="center"/>
              <w:rPr>
                <w:rFonts w:ascii="仿宋" w:hAnsi="仿宋" w:eastAsia="仿宋" w:cs="仿宋_GB2312"/>
                <w:b/>
                <w:color w:val="auto"/>
                <w:highlight w:val="none"/>
              </w:rPr>
            </w:pPr>
            <w:r>
              <w:rPr>
                <w:rFonts w:hint="eastAsia" w:ascii="仿宋" w:hAnsi="仿宋" w:eastAsia="仿宋" w:cs="仿宋_GB2312"/>
                <w:b/>
                <w:color w:val="auto"/>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93" w:type="dxa"/>
            <w:vAlign w:val="center"/>
          </w:tcPr>
          <w:p>
            <w:pPr>
              <w:spacing w:line="520" w:lineRule="exact"/>
              <w:jc w:val="center"/>
              <w:rPr>
                <w:rFonts w:ascii="仿宋" w:hAnsi="仿宋" w:eastAsia="仿宋" w:cs="仿宋_GB2312"/>
                <w:color w:val="auto"/>
                <w:highlight w:val="none"/>
              </w:rPr>
            </w:pPr>
            <w:r>
              <w:rPr>
                <w:rFonts w:ascii="仿宋" w:hAnsi="仿宋" w:eastAsia="仿宋" w:cs="仿宋_GB2312"/>
                <w:color w:val="auto"/>
                <w:highlight w:val="none"/>
              </w:rPr>
              <w:t>1</w:t>
            </w:r>
          </w:p>
        </w:tc>
        <w:tc>
          <w:tcPr>
            <w:tcW w:w="8789" w:type="dxa"/>
            <w:vAlign w:val="center"/>
          </w:tcPr>
          <w:p>
            <w:pPr>
              <w:spacing w:line="520" w:lineRule="exact"/>
              <w:rPr>
                <w:rFonts w:ascii="仿宋" w:hAnsi="仿宋" w:eastAsia="仿宋" w:cs="仿宋_GB2312"/>
                <w:b/>
                <w:color w:val="auto"/>
                <w:highlight w:val="none"/>
                <w:u w:val="single"/>
              </w:rPr>
            </w:pPr>
            <w:r>
              <w:rPr>
                <w:rFonts w:hint="eastAsia" w:ascii="仿宋" w:hAnsi="仿宋" w:eastAsia="仿宋" w:cs="仿宋_GB2312"/>
                <w:color w:val="auto"/>
                <w:highlight w:val="none"/>
              </w:rPr>
              <w:t>买方名称(甲方)：                     地址：</w:t>
            </w:r>
          </w:p>
          <w:p>
            <w:pPr>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卖方名称（乙方）：</w:t>
            </w:r>
            <w:r>
              <w:rPr>
                <w:rFonts w:hint="eastAsia" w:ascii="仿宋" w:hAnsi="仿宋" w:eastAsia="仿宋" w:cs="仿宋_GB2312"/>
                <w:b/>
                <w:i/>
                <w:color w:val="auto"/>
                <w:highlight w:val="none"/>
                <w:u w:val="wave"/>
              </w:rPr>
              <w:t>卖方名称</w:t>
            </w:r>
          </w:p>
          <w:p>
            <w:pPr>
              <w:spacing w:line="520" w:lineRule="exact"/>
              <w:rPr>
                <w:rFonts w:ascii="仿宋" w:hAnsi="仿宋" w:eastAsia="仿宋" w:cs="仿宋_GB2312"/>
                <w:b/>
                <w:color w:val="auto"/>
                <w:highlight w:val="none"/>
                <w:u w:val="single"/>
              </w:rPr>
            </w:pPr>
            <w:r>
              <w:rPr>
                <w:rFonts w:hint="eastAsia" w:ascii="仿宋" w:hAnsi="仿宋" w:eastAsia="仿宋" w:cs="仿宋_GB2312"/>
                <w:color w:val="auto"/>
                <w:highlight w:val="none"/>
              </w:rPr>
              <w:t>卖方地址：</w:t>
            </w:r>
            <w:r>
              <w:rPr>
                <w:rFonts w:hint="eastAsia" w:ascii="仿宋" w:hAnsi="仿宋" w:eastAsia="仿宋" w:cs="仿宋_GB2312"/>
                <w:b/>
                <w:i/>
                <w:color w:val="auto"/>
                <w:highlight w:val="none"/>
                <w:u w:val="wave"/>
              </w:rPr>
              <w:t>卖方地址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93" w:type="dxa"/>
            <w:vAlign w:val="center"/>
          </w:tcPr>
          <w:p>
            <w:pPr>
              <w:spacing w:line="520" w:lineRule="exact"/>
              <w:jc w:val="center"/>
              <w:rPr>
                <w:rFonts w:ascii="仿宋" w:hAnsi="仿宋" w:eastAsia="仿宋" w:cs="仿宋_GB2312"/>
                <w:color w:val="auto"/>
                <w:highlight w:val="none"/>
              </w:rPr>
            </w:pPr>
            <w:r>
              <w:rPr>
                <w:rFonts w:ascii="仿宋" w:hAnsi="仿宋" w:eastAsia="仿宋" w:cs="仿宋_GB2312"/>
                <w:color w:val="auto"/>
                <w:highlight w:val="none"/>
              </w:rPr>
              <w:t>2</w:t>
            </w:r>
          </w:p>
        </w:tc>
        <w:tc>
          <w:tcPr>
            <w:tcW w:w="8789" w:type="dxa"/>
            <w:vAlign w:val="center"/>
          </w:tcPr>
          <w:p>
            <w:pPr>
              <w:spacing w:line="520" w:lineRule="exact"/>
              <w:rPr>
                <w:rFonts w:ascii="仿宋" w:hAnsi="仿宋" w:eastAsia="仿宋"/>
                <w:b/>
                <w:color w:val="auto"/>
                <w:highlight w:val="none"/>
                <w:u w:val="single"/>
              </w:rPr>
            </w:pPr>
            <w:r>
              <w:rPr>
                <w:rFonts w:hint="eastAsia" w:ascii="仿宋" w:hAnsi="仿宋" w:eastAsia="仿宋" w:cs="仿宋_GB2312"/>
                <w:b/>
                <w:i/>
                <w:color w:val="auto"/>
                <w:highlight w:val="none"/>
                <w:u w:val="wave"/>
              </w:rPr>
              <w:t>请将你</w:t>
            </w:r>
            <w:r>
              <w:rPr>
                <w:rFonts w:ascii="仿宋" w:hAnsi="仿宋" w:eastAsia="仿宋" w:cs="仿宋_GB2312"/>
                <w:b/>
                <w:i/>
                <w:color w:val="auto"/>
                <w:highlight w:val="none"/>
                <w:u w:val="wave"/>
              </w:rPr>
              <w:t>公司</w:t>
            </w:r>
            <w:r>
              <w:rPr>
                <w:rFonts w:hint="eastAsia" w:ascii="仿宋" w:hAnsi="仿宋" w:eastAsia="仿宋" w:cs="仿宋_GB2312"/>
                <w:b/>
                <w:i/>
                <w:color w:val="auto"/>
                <w:highlight w:val="none"/>
                <w:u w:val="wave"/>
              </w:rPr>
              <w:t>投标</w:t>
            </w:r>
            <w:r>
              <w:rPr>
                <w:rFonts w:ascii="仿宋" w:hAnsi="仿宋" w:eastAsia="仿宋" w:cs="仿宋_GB2312"/>
                <w:b/>
                <w:i/>
                <w:color w:val="auto"/>
                <w:highlight w:val="none"/>
                <w:u w:val="wave"/>
              </w:rPr>
              <w:t>/</w:t>
            </w:r>
            <w:r>
              <w:rPr>
                <w:rFonts w:hint="eastAsia" w:ascii="仿宋" w:hAnsi="仿宋" w:eastAsia="仿宋" w:cs="仿宋_GB2312"/>
                <w:b/>
                <w:i/>
                <w:color w:val="auto"/>
                <w:highlight w:val="none"/>
                <w:u w:val="wave"/>
              </w:rPr>
              <w:t>响应文件的商务条款全文复制到此处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993" w:type="dxa"/>
            <w:vAlign w:val="center"/>
          </w:tcPr>
          <w:p>
            <w:pPr>
              <w:spacing w:line="520" w:lineRule="exact"/>
              <w:jc w:val="center"/>
              <w:rPr>
                <w:rFonts w:ascii="仿宋" w:hAnsi="仿宋" w:eastAsia="仿宋" w:cs="仿宋_GB2312"/>
                <w:color w:val="auto"/>
                <w:highlight w:val="none"/>
              </w:rPr>
            </w:pPr>
            <w:r>
              <w:rPr>
                <w:rFonts w:ascii="仿宋" w:hAnsi="仿宋" w:eastAsia="仿宋" w:cs="仿宋_GB2312"/>
                <w:color w:val="auto"/>
                <w:highlight w:val="none"/>
              </w:rPr>
              <w:t>3</w:t>
            </w:r>
          </w:p>
        </w:tc>
        <w:tc>
          <w:tcPr>
            <w:tcW w:w="8789" w:type="dxa"/>
            <w:vAlign w:val="center"/>
          </w:tcPr>
          <w:p>
            <w:pPr>
              <w:autoSpaceDE w:val="0"/>
              <w:autoSpaceDN w:val="0"/>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以下文件构成本合同的组成部分，如各文件之间有任何抵触、矛盾或歧义，应按如下先后顺序进行解释：</w:t>
            </w:r>
          </w:p>
          <w:p>
            <w:pPr>
              <w:autoSpaceDE w:val="0"/>
              <w:autoSpaceDN w:val="0"/>
              <w:spacing w:line="520" w:lineRule="exact"/>
              <w:ind w:firstLine="420" w:firstLineChars="200"/>
              <w:rPr>
                <w:rFonts w:ascii="仿宋" w:hAnsi="仿宋" w:eastAsia="仿宋" w:cs="仿宋_GB2312"/>
                <w:color w:val="auto"/>
                <w:highlight w:val="none"/>
              </w:rPr>
            </w:pPr>
            <w:r>
              <w:rPr>
                <w:rFonts w:ascii="仿宋" w:hAnsi="仿宋" w:eastAsia="仿宋" w:cs="TimesNewRomanPSMT"/>
                <w:color w:val="auto"/>
                <w:highlight w:val="none"/>
              </w:rPr>
              <w:t>a.</w:t>
            </w:r>
            <w:r>
              <w:rPr>
                <w:rFonts w:hint="eastAsia" w:ascii="仿宋" w:hAnsi="仿宋" w:eastAsia="仿宋" w:cs="仿宋_GB2312"/>
                <w:color w:val="auto"/>
                <w:highlight w:val="none"/>
              </w:rPr>
              <w:t>招标</w:t>
            </w:r>
            <w:r>
              <w:rPr>
                <w:rFonts w:ascii="仿宋" w:hAnsi="仿宋" w:eastAsia="仿宋" w:cs="仿宋_GB2312"/>
                <w:color w:val="auto"/>
                <w:highlight w:val="none"/>
              </w:rPr>
              <w:t>/</w:t>
            </w:r>
            <w:r>
              <w:rPr>
                <w:rFonts w:hint="eastAsia" w:ascii="仿宋" w:hAnsi="仿宋" w:eastAsia="仿宋" w:cs="仿宋_GB2312"/>
                <w:color w:val="auto"/>
                <w:highlight w:val="none"/>
              </w:rPr>
              <w:t>采购文件（含文件补充通知）；</w:t>
            </w:r>
          </w:p>
          <w:p>
            <w:pPr>
              <w:autoSpaceDE w:val="0"/>
              <w:autoSpaceDN w:val="0"/>
              <w:spacing w:line="520" w:lineRule="exact"/>
              <w:ind w:firstLine="420" w:firstLineChars="200"/>
              <w:rPr>
                <w:rFonts w:ascii="仿宋" w:hAnsi="仿宋" w:eastAsia="仿宋" w:cs="仿宋_GB2312"/>
                <w:color w:val="auto"/>
                <w:highlight w:val="none"/>
              </w:rPr>
            </w:pPr>
            <w:r>
              <w:rPr>
                <w:rFonts w:ascii="仿宋" w:hAnsi="仿宋" w:eastAsia="仿宋" w:cs="TimesNewRomanPSMT"/>
                <w:color w:val="auto"/>
                <w:highlight w:val="none"/>
              </w:rPr>
              <w:t>b.</w:t>
            </w:r>
            <w:r>
              <w:rPr>
                <w:rFonts w:hint="eastAsia" w:ascii="仿宋" w:hAnsi="仿宋" w:eastAsia="仿宋" w:cs="仿宋_GB2312"/>
                <w:color w:val="auto"/>
                <w:highlight w:val="none"/>
              </w:rPr>
              <w:t>投标</w:t>
            </w:r>
            <w:r>
              <w:rPr>
                <w:rFonts w:ascii="仿宋" w:hAnsi="仿宋" w:eastAsia="仿宋" w:cs="仿宋_GB2312"/>
                <w:color w:val="auto"/>
                <w:highlight w:val="none"/>
              </w:rPr>
              <w:t>/</w:t>
            </w:r>
            <w:r>
              <w:rPr>
                <w:rFonts w:hint="eastAsia" w:ascii="仿宋" w:hAnsi="仿宋" w:eastAsia="仿宋" w:cs="仿宋_GB2312"/>
                <w:color w:val="auto"/>
                <w:highlight w:val="none"/>
              </w:rPr>
              <w:t>响应文件（含澄清文件）；</w:t>
            </w:r>
          </w:p>
          <w:p>
            <w:pPr>
              <w:autoSpaceDE w:val="0"/>
              <w:autoSpaceDN w:val="0"/>
              <w:spacing w:line="520" w:lineRule="exact"/>
              <w:ind w:firstLine="420" w:firstLineChars="200"/>
              <w:rPr>
                <w:rFonts w:ascii="仿宋" w:hAnsi="仿宋" w:eastAsia="仿宋" w:cs="仿宋_GB2312"/>
                <w:color w:val="auto"/>
                <w:highlight w:val="none"/>
              </w:rPr>
            </w:pPr>
            <w:r>
              <w:rPr>
                <w:rFonts w:ascii="仿宋" w:hAnsi="仿宋" w:eastAsia="仿宋" w:cs="TimesNewRomanPSMT"/>
                <w:color w:val="auto"/>
                <w:highlight w:val="none"/>
              </w:rPr>
              <w:t>c.</w:t>
            </w:r>
            <w:r>
              <w:rPr>
                <w:rFonts w:hint="eastAsia" w:ascii="仿宋" w:hAnsi="仿宋" w:eastAsia="仿宋" w:cs="仿宋_GB2312"/>
                <w:color w:val="auto"/>
                <w:highlight w:val="none"/>
              </w:rPr>
              <w:t>中标</w:t>
            </w:r>
            <w:r>
              <w:rPr>
                <w:rFonts w:ascii="仿宋" w:hAnsi="仿宋" w:eastAsia="仿宋" w:cs="仿宋_GB2312"/>
                <w:color w:val="auto"/>
                <w:highlight w:val="none"/>
              </w:rPr>
              <w:t>/</w:t>
            </w:r>
            <w:r>
              <w:rPr>
                <w:rFonts w:hint="eastAsia" w:ascii="仿宋" w:hAnsi="仿宋" w:eastAsia="仿宋" w:cs="仿宋_GB2312"/>
                <w:color w:val="auto"/>
                <w:highlight w:val="none"/>
              </w:rPr>
              <w:t>成交通知书；</w:t>
            </w:r>
          </w:p>
          <w:p>
            <w:pPr>
              <w:autoSpaceDE w:val="0"/>
              <w:autoSpaceDN w:val="0"/>
              <w:spacing w:line="520" w:lineRule="exact"/>
              <w:ind w:firstLine="420" w:firstLineChars="200"/>
              <w:rPr>
                <w:rFonts w:ascii="仿宋" w:hAnsi="仿宋" w:eastAsia="仿宋" w:cs="仿宋_GB2312"/>
                <w:color w:val="auto"/>
                <w:highlight w:val="none"/>
              </w:rPr>
            </w:pPr>
            <w:r>
              <w:rPr>
                <w:rFonts w:ascii="仿宋" w:hAnsi="仿宋" w:eastAsia="仿宋" w:cs="仿宋_GB2312"/>
                <w:color w:val="auto"/>
                <w:highlight w:val="none"/>
              </w:rPr>
              <w:t>d.</w:t>
            </w:r>
            <w:r>
              <w:rPr>
                <w:rFonts w:hint="eastAsia" w:ascii="仿宋" w:hAnsi="仿宋" w:eastAsia="仿宋" w:cs="仿宋_GB2312"/>
                <w:color w:val="auto"/>
                <w:highlight w:val="none"/>
              </w:rPr>
              <w:t>合同书；</w:t>
            </w:r>
          </w:p>
          <w:p>
            <w:pPr>
              <w:autoSpaceDE w:val="0"/>
              <w:autoSpaceDN w:val="0"/>
              <w:spacing w:line="520" w:lineRule="exact"/>
              <w:ind w:firstLine="420" w:firstLineChars="200"/>
              <w:rPr>
                <w:rFonts w:ascii="仿宋" w:hAnsi="仿宋" w:eastAsia="仿宋" w:cs="仿宋_GB2312"/>
                <w:color w:val="auto"/>
                <w:highlight w:val="none"/>
              </w:rPr>
            </w:pPr>
            <w:r>
              <w:rPr>
                <w:rFonts w:ascii="仿宋" w:hAnsi="仿宋" w:eastAsia="仿宋" w:cs="仿宋_GB2312"/>
                <w:color w:val="auto"/>
                <w:highlight w:val="none"/>
              </w:rPr>
              <w:t>e.</w:t>
            </w:r>
            <w:r>
              <w:rPr>
                <w:rFonts w:hint="eastAsia" w:ascii="仿宋" w:hAnsi="仿宋" w:eastAsia="仿宋" w:cs="仿宋_GB2312"/>
                <w:color w:val="auto"/>
                <w:highlight w:val="none"/>
              </w:rPr>
              <w:t>合同条款（含合同条款附件）；</w:t>
            </w:r>
          </w:p>
          <w:p>
            <w:pPr>
              <w:autoSpaceDE w:val="0"/>
              <w:autoSpaceDN w:val="0"/>
              <w:spacing w:line="520" w:lineRule="exact"/>
              <w:ind w:firstLine="420" w:firstLineChars="200"/>
              <w:rPr>
                <w:rFonts w:ascii="仿宋" w:hAnsi="仿宋" w:eastAsia="仿宋" w:cs="仿宋_GB2312"/>
                <w:color w:val="auto"/>
                <w:highlight w:val="none"/>
              </w:rPr>
            </w:pPr>
            <w:r>
              <w:rPr>
                <w:rFonts w:ascii="仿宋" w:hAnsi="仿宋" w:eastAsia="仿宋" w:cs="仿宋_GB2312"/>
                <w:color w:val="auto"/>
                <w:highlight w:val="none"/>
              </w:rPr>
              <w:t>f.</w:t>
            </w:r>
            <w:r>
              <w:rPr>
                <w:rFonts w:hint="eastAsia" w:ascii="仿宋" w:hAnsi="仿宋" w:eastAsia="仿宋" w:cs="仿宋_GB2312"/>
                <w:color w:val="auto"/>
                <w:highlight w:val="none"/>
              </w:rPr>
              <w:t>标准、规范及有关技术文件；</w:t>
            </w:r>
          </w:p>
          <w:p>
            <w:pPr>
              <w:spacing w:line="520" w:lineRule="exact"/>
              <w:ind w:firstLine="420" w:firstLineChars="200"/>
              <w:rPr>
                <w:rFonts w:ascii="仿宋" w:hAnsi="仿宋" w:eastAsia="仿宋" w:cs="仿宋_GB2312"/>
                <w:color w:val="auto"/>
                <w:highlight w:val="none"/>
              </w:rPr>
            </w:pPr>
            <w:r>
              <w:rPr>
                <w:rFonts w:ascii="仿宋" w:hAnsi="仿宋" w:eastAsia="仿宋" w:cs="仿宋_GB2312"/>
                <w:color w:val="auto"/>
                <w:highlight w:val="none"/>
              </w:rPr>
              <w:t>g.</w:t>
            </w:r>
            <w:r>
              <w:rPr>
                <w:rFonts w:hint="eastAsia" w:ascii="仿宋" w:hAnsi="仿宋" w:eastAsia="仿宋" w:cs="仿宋_GB2312"/>
                <w:color w:val="auto"/>
                <w:highlight w:val="none"/>
              </w:rPr>
              <w:t>合同附件（承诺书等）</w:t>
            </w:r>
          </w:p>
          <w:p>
            <w:pPr>
              <w:spacing w:line="520" w:lineRule="exact"/>
              <w:ind w:firstLine="420" w:firstLineChars="200"/>
              <w:rPr>
                <w:rFonts w:ascii="仿宋" w:hAnsi="仿宋" w:eastAsia="仿宋" w:cs="仿宋_GB2312"/>
                <w:b/>
                <w:color w:val="auto"/>
                <w:highlight w:val="none"/>
                <w:u w:val="single"/>
              </w:rPr>
            </w:pPr>
            <w:r>
              <w:rPr>
                <w:rFonts w:ascii="仿宋" w:hAnsi="仿宋" w:eastAsia="仿宋" w:cs="仿宋_GB2312"/>
                <w:color w:val="auto"/>
                <w:highlight w:val="none"/>
              </w:rPr>
              <w:t>h.</w:t>
            </w:r>
            <w:r>
              <w:rPr>
                <w:rFonts w:hint="eastAsia" w:ascii="仿宋" w:hAnsi="仿宋" w:eastAsia="仿宋" w:cs="仿宋_GB2312"/>
                <w:color w:val="auto"/>
                <w:highlight w:val="none"/>
              </w:rPr>
              <w:t>补充合同（如有）</w:t>
            </w:r>
          </w:p>
        </w:tc>
      </w:tr>
    </w:tbl>
    <w:p>
      <w:pPr>
        <w:autoSpaceDE w:val="0"/>
        <w:autoSpaceDN w:val="0"/>
        <w:spacing w:line="520" w:lineRule="exact"/>
        <w:rPr>
          <w:rFonts w:ascii="仿宋" w:hAnsi="仿宋" w:eastAsia="仿宋" w:cs="仿宋_GB2312"/>
          <w:b/>
          <w:bCs/>
          <w:color w:val="auto"/>
          <w:highlight w:val="none"/>
        </w:rPr>
      </w:pPr>
      <w:r>
        <w:rPr>
          <w:rFonts w:ascii="仿宋" w:hAnsi="仿宋" w:eastAsia="仿宋" w:cs="TimesNewRomanPS-BoldMT"/>
          <w:b/>
          <w:bCs/>
          <w:color w:val="auto"/>
          <w:highlight w:val="none"/>
        </w:rPr>
        <w:t>1</w:t>
      </w:r>
      <w:r>
        <w:rPr>
          <w:rFonts w:ascii="仿宋" w:hAnsi="仿宋" w:eastAsia="仿宋" w:cs="仿宋_GB2312"/>
          <w:b/>
          <w:bCs/>
          <w:color w:val="auto"/>
          <w:highlight w:val="none"/>
        </w:rPr>
        <w:t>.</w:t>
      </w:r>
      <w:r>
        <w:rPr>
          <w:rFonts w:hint="eastAsia" w:ascii="仿宋" w:hAnsi="仿宋" w:eastAsia="仿宋" w:cs="仿宋_GB2312"/>
          <w:b/>
          <w:bCs/>
          <w:color w:val="auto"/>
          <w:highlight w:val="none"/>
        </w:rPr>
        <w:t>质量保证</w:t>
      </w:r>
    </w:p>
    <w:p>
      <w:pPr>
        <w:autoSpaceDE w:val="0"/>
        <w:autoSpaceDN w:val="0"/>
        <w:spacing w:line="520" w:lineRule="exact"/>
        <w:ind w:left="420" w:hanging="420" w:hangingChars="200"/>
        <w:rPr>
          <w:rFonts w:ascii="仿宋" w:hAnsi="仿宋" w:eastAsia="仿宋" w:cs="仿宋_GB2312"/>
          <w:color w:val="auto"/>
          <w:highlight w:val="none"/>
        </w:rPr>
      </w:pPr>
      <w:r>
        <w:rPr>
          <w:rFonts w:ascii="仿宋" w:hAnsi="仿宋" w:eastAsia="仿宋" w:cs="TimesNewRomanPSMT"/>
          <w:color w:val="auto"/>
          <w:highlight w:val="none"/>
        </w:rPr>
        <w:t xml:space="preserve">1.1 </w:t>
      </w:r>
      <w:r>
        <w:rPr>
          <w:rFonts w:hint="eastAsia" w:ascii="仿宋" w:hAnsi="仿宋" w:eastAsia="仿宋" w:cs="仿宋_GB2312"/>
          <w:color w:val="auto"/>
          <w:highlight w:val="none"/>
        </w:rPr>
        <w:t>卖方须保证货物是全新、未使用过的，并完全符合强制性的国家技术质量规范和合同规定的质量、规格、性能和技术规范等的要求。</w:t>
      </w:r>
    </w:p>
    <w:p>
      <w:pPr>
        <w:autoSpaceDE w:val="0"/>
        <w:autoSpaceDN w:val="0"/>
        <w:spacing w:line="520" w:lineRule="exact"/>
        <w:ind w:left="420" w:hanging="420" w:hangingChars="200"/>
        <w:rPr>
          <w:rFonts w:ascii="仿宋" w:hAnsi="仿宋" w:eastAsia="仿宋" w:cs="仿宋_GB2312"/>
          <w:color w:val="auto"/>
          <w:highlight w:val="none"/>
        </w:rPr>
      </w:pPr>
      <w:r>
        <w:rPr>
          <w:rFonts w:ascii="仿宋" w:hAnsi="仿宋" w:eastAsia="仿宋" w:cs="TimesNewRomanPSMT"/>
          <w:color w:val="auto"/>
          <w:highlight w:val="none"/>
        </w:rPr>
        <w:t xml:space="preserve">1.2 </w:t>
      </w:r>
      <w:r>
        <w:rPr>
          <w:rFonts w:hint="eastAsia" w:ascii="仿宋" w:hAnsi="仿宋" w:eastAsia="仿宋" w:cs="仿宋_GB2312"/>
          <w:color w:val="auto"/>
          <w:highlight w:val="none"/>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autoSpaceDE w:val="0"/>
        <w:autoSpaceDN w:val="0"/>
        <w:spacing w:line="520" w:lineRule="exact"/>
        <w:ind w:left="315" w:hanging="315" w:hangingChars="150"/>
        <w:rPr>
          <w:rFonts w:ascii="仿宋" w:hAnsi="仿宋" w:eastAsia="仿宋" w:cs="仿宋_GB2312"/>
          <w:color w:val="auto"/>
          <w:highlight w:val="none"/>
        </w:rPr>
      </w:pPr>
      <w:r>
        <w:rPr>
          <w:rFonts w:ascii="仿宋" w:hAnsi="仿宋" w:eastAsia="仿宋" w:cs="TimesNewRomanPSMT"/>
          <w:color w:val="auto"/>
          <w:highlight w:val="none"/>
        </w:rPr>
        <w:t xml:space="preserve">1.3 </w:t>
      </w:r>
      <w:r>
        <w:rPr>
          <w:rFonts w:hint="eastAsia" w:ascii="仿宋" w:hAnsi="仿宋" w:eastAsia="仿宋" w:cs="仿宋_GB2312"/>
          <w:color w:val="auto"/>
          <w:highlight w:val="none"/>
        </w:rPr>
        <w:t>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发现货物的数量、质量、规格与合同不符；或者在质量保证期内，证实货物存在缺陷，包括潜在的缺陷或使用不符合要求的材料等，应尽快以书面形式通知卖方。卖方在收到通知后应免费维修或更换有缺陷的货物或部件。</w:t>
      </w:r>
    </w:p>
    <w:p>
      <w:pPr>
        <w:autoSpaceDE w:val="0"/>
        <w:autoSpaceDN w:val="0"/>
        <w:spacing w:line="520" w:lineRule="exact"/>
        <w:ind w:left="315" w:hanging="315" w:hangingChars="150"/>
        <w:rPr>
          <w:rFonts w:ascii="仿宋" w:hAnsi="仿宋" w:eastAsia="仿宋" w:cs="仿宋_GB2312"/>
          <w:color w:val="auto"/>
          <w:highlight w:val="none"/>
        </w:rPr>
      </w:pPr>
      <w:r>
        <w:rPr>
          <w:rFonts w:ascii="仿宋" w:hAnsi="仿宋" w:eastAsia="仿宋" w:cs="TimesNewRomanPSMT"/>
          <w:color w:val="auto"/>
          <w:highlight w:val="none"/>
        </w:rPr>
        <w:t xml:space="preserve">1.4 </w:t>
      </w:r>
      <w:r>
        <w:rPr>
          <w:rFonts w:hint="eastAsia" w:ascii="仿宋" w:hAnsi="仿宋" w:eastAsia="仿宋" w:cs="仿宋_GB2312"/>
          <w:color w:val="auto"/>
          <w:highlight w:val="none"/>
        </w:rPr>
        <w:t>如果卖方在收到通知后没有弥补缺陷，买方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使用单位可采取必要的补救措施，但由此引发的风险和费用将由卖方承担。</w:t>
      </w:r>
    </w:p>
    <w:p>
      <w:pPr>
        <w:autoSpaceDE w:val="0"/>
        <w:autoSpaceDN w:val="0"/>
        <w:spacing w:line="520" w:lineRule="exact"/>
        <w:ind w:left="315" w:hanging="315" w:hangingChars="150"/>
        <w:rPr>
          <w:rFonts w:ascii="仿宋" w:hAnsi="仿宋" w:eastAsia="仿宋" w:cs="仿宋_GB2312"/>
          <w:color w:val="auto"/>
          <w:highlight w:val="none"/>
        </w:rPr>
      </w:pPr>
      <w:r>
        <w:rPr>
          <w:rFonts w:hint="eastAsia" w:ascii="仿宋" w:hAnsi="仿宋" w:eastAsia="仿宋" w:cs="仿宋_GB2312"/>
          <w:color w:val="auto"/>
          <w:highlight w:val="none"/>
        </w:rPr>
        <w:t>1.5</w:t>
      </w:r>
      <w:r>
        <w:rPr>
          <w:rFonts w:ascii="仿宋" w:hAnsi="仿宋" w:eastAsia="仿宋" w:cs="仿宋_GB2312"/>
          <w:color w:val="auto"/>
          <w:highlight w:val="none"/>
        </w:rPr>
        <w:t xml:space="preserve"> </w:t>
      </w:r>
      <w:r>
        <w:rPr>
          <w:rFonts w:hint="eastAsia" w:ascii="仿宋" w:hAnsi="仿宋" w:eastAsia="仿宋" w:cs="仿宋_GB2312"/>
          <w:color w:val="auto"/>
          <w:highlight w:val="none"/>
        </w:rPr>
        <w:t>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autoSpaceDE w:val="0"/>
        <w:autoSpaceDN w:val="0"/>
        <w:spacing w:line="520" w:lineRule="exact"/>
        <w:ind w:left="315" w:hanging="315" w:hangingChars="150"/>
        <w:rPr>
          <w:rFonts w:ascii="仿宋" w:hAnsi="仿宋" w:eastAsia="仿宋" w:cs="仿宋_GB2312"/>
          <w:color w:val="auto"/>
          <w:highlight w:val="none"/>
        </w:rPr>
      </w:pPr>
      <w:r>
        <w:rPr>
          <w:rFonts w:ascii="仿宋" w:hAnsi="仿宋" w:eastAsia="仿宋" w:cs="仿宋_GB2312"/>
          <w:color w:val="auto"/>
          <w:highlight w:val="none"/>
        </w:rPr>
        <w:t xml:space="preserve">1.6 </w:t>
      </w:r>
      <w:r>
        <w:rPr>
          <w:rFonts w:hint="eastAsia" w:ascii="仿宋" w:hAnsi="仿宋" w:eastAsia="仿宋" w:cs="仿宋_GB2312"/>
          <w:color w:val="auto"/>
          <w:highlight w:val="none"/>
        </w:rPr>
        <w:t>安装调试期间所发生的一切安全和质量事故及产生费用，均由成交供应商承担；</w:t>
      </w:r>
    </w:p>
    <w:p>
      <w:pPr>
        <w:autoSpaceDE w:val="0"/>
        <w:autoSpaceDN w:val="0"/>
        <w:spacing w:line="520" w:lineRule="exact"/>
        <w:rPr>
          <w:rFonts w:ascii="仿宋" w:hAnsi="仿宋" w:eastAsia="仿宋" w:cs="仿宋_GB2312"/>
          <w:b/>
          <w:bCs/>
          <w:color w:val="auto"/>
          <w:highlight w:val="none"/>
        </w:rPr>
      </w:pPr>
      <w:r>
        <w:rPr>
          <w:rFonts w:ascii="仿宋" w:hAnsi="仿宋" w:eastAsia="仿宋" w:cs="TimesNewRomanPS-BoldMT"/>
          <w:b/>
          <w:bCs/>
          <w:color w:val="auto"/>
          <w:highlight w:val="none"/>
        </w:rPr>
        <w:t>2</w:t>
      </w:r>
      <w:r>
        <w:rPr>
          <w:rFonts w:ascii="仿宋" w:hAnsi="仿宋" w:eastAsia="仿宋" w:cs="仿宋_GB2312"/>
          <w:b/>
          <w:bCs/>
          <w:color w:val="auto"/>
          <w:highlight w:val="none"/>
        </w:rPr>
        <w:t>.</w:t>
      </w:r>
      <w:r>
        <w:rPr>
          <w:rFonts w:hint="eastAsia" w:ascii="仿宋" w:hAnsi="仿宋" w:eastAsia="仿宋" w:cs="仿宋_GB2312"/>
          <w:b/>
          <w:bCs/>
          <w:color w:val="auto"/>
          <w:highlight w:val="none"/>
        </w:rPr>
        <w:t>检验和验收</w:t>
      </w:r>
    </w:p>
    <w:p>
      <w:pPr>
        <w:autoSpaceDE w:val="0"/>
        <w:autoSpaceDN w:val="0"/>
        <w:spacing w:line="520" w:lineRule="exact"/>
        <w:ind w:left="315" w:hanging="315" w:hangingChars="150"/>
        <w:rPr>
          <w:rFonts w:ascii="仿宋" w:hAnsi="仿宋" w:eastAsia="仿宋" w:cs="仿宋_GB2312"/>
          <w:color w:val="auto"/>
          <w:highlight w:val="none"/>
        </w:rPr>
      </w:pPr>
      <w:r>
        <w:rPr>
          <w:rFonts w:ascii="仿宋" w:hAnsi="仿宋" w:eastAsia="仿宋" w:cs="TimesNewRomanPSMT"/>
          <w:color w:val="auto"/>
          <w:highlight w:val="none"/>
        </w:rPr>
        <w:t xml:space="preserve">2.1 </w:t>
      </w:r>
      <w:r>
        <w:rPr>
          <w:rFonts w:hint="eastAsia" w:ascii="仿宋" w:hAnsi="仿宋" w:eastAsia="仿宋" w:cs="仿宋_GB2312"/>
          <w:color w:val="auto"/>
          <w:highlight w:val="none"/>
        </w:rPr>
        <w:t>在交货前，卖方应对货物的质量、规格、型号、性能、数量和重量等进行详细而全面的检验。</w:t>
      </w:r>
    </w:p>
    <w:p>
      <w:pPr>
        <w:autoSpaceDE w:val="0"/>
        <w:autoSpaceDN w:val="0"/>
        <w:spacing w:line="520" w:lineRule="exact"/>
        <w:ind w:left="420" w:hanging="420" w:hangingChars="200"/>
        <w:rPr>
          <w:rFonts w:ascii="仿宋" w:hAnsi="仿宋" w:eastAsia="仿宋" w:cs="仿宋_GB2312"/>
          <w:color w:val="auto"/>
          <w:highlight w:val="none"/>
        </w:rPr>
      </w:pPr>
      <w:r>
        <w:rPr>
          <w:rFonts w:ascii="仿宋" w:hAnsi="仿宋" w:eastAsia="仿宋"/>
          <w:color w:val="auto"/>
          <w:highlight w:val="none"/>
        </w:rPr>
        <w:t xml:space="preserve">2.2 </w:t>
      </w:r>
      <w:r>
        <w:rPr>
          <w:rFonts w:hint="eastAsia" w:ascii="仿宋" w:hAnsi="仿宋" w:eastAsia="仿宋"/>
          <w:color w:val="auto"/>
          <w:highlight w:val="none"/>
        </w:rPr>
        <w:t>在合同规定的时间内将货物交至使用单位指定的位置，有关运输和保险的一切费用由供应商承担。</w:t>
      </w:r>
    </w:p>
    <w:p>
      <w:pPr>
        <w:autoSpaceDE w:val="0"/>
        <w:autoSpaceDN w:val="0"/>
        <w:spacing w:line="520" w:lineRule="exact"/>
        <w:ind w:left="315" w:hanging="315" w:hangingChars="150"/>
        <w:rPr>
          <w:rFonts w:ascii="仿宋" w:hAnsi="仿宋" w:eastAsia="仿宋" w:cs="仿宋_GB2312"/>
          <w:color w:val="auto"/>
          <w:highlight w:val="none"/>
        </w:rPr>
      </w:pPr>
      <w:r>
        <w:rPr>
          <w:rFonts w:ascii="仿宋" w:hAnsi="仿宋" w:eastAsia="仿宋" w:cs="TimesNewRomanPSMT"/>
          <w:color w:val="auto"/>
          <w:highlight w:val="none"/>
        </w:rPr>
        <w:t xml:space="preserve">2.3 </w:t>
      </w:r>
      <w:r>
        <w:rPr>
          <w:rFonts w:hint="eastAsia" w:ascii="仿宋" w:hAnsi="仿宋" w:eastAsia="仿宋" w:cs="仿宋_GB2312"/>
          <w:color w:val="auto"/>
          <w:highlight w:val="none"/>
        </w:rPr>
        <w:t>货物运抵现场后</w:t>
      </w:r>
      <w:r>
        <w:rPr>
          <w:rFonts w:hint="eastAsia" w:ascii="仿宋" w:hAnsi="仿宋" w:eastAsia="仿宋"/>
          <w:color w:val="auto"/>
          <w:highlight w:val="none"/>
        </w:rPr>
        <w:t>，使用单位</w:t>
      </w:r>
      <w:r>
        <w:rPr>
          <w:rFonts w:hint="eastAsia" w:ascii="仿宋" w:hAnsi="仿宋" w:eastAsia="仿宋" w:cs="仿宋_GB2312"/>
          <w:color w:val="auto"/>
          <w:highlight w:val="none"/>
        </w:rPr>
        <w:t>应组织初步验收，并制作初步验收备忘录。</w:t>
      </w:r>
    </w:p>
    <w:p>
      <w:pPr>
        <w:spacing w:line="520" w:lineRule="exact"/>
        <w:ind w:left="420" w:hanging="420" w:hangingChars="200"/>
        <w:rPr>
          <w:rFonts w:ascii="仿宋" w:hAnsi="仿宋" w:eastAsia="仿宋"/>
          <w:color w:val="auto"/>
          <w:highlight w:val="none"/>
        </w:rPr>
      </w:pPr>
      <w:r>
        <w:rPr>
          <w:rFonts w:ascii="仿宋" w:hAnsi="仿宋" w:eastAsia="仿宋" w:cs="TimesNewRomanPSMT"/>
          <w:color w:val="auto"/>
          <w:highlight w:val="none"/>
        </w:rPr>
        <w:t xml:space="preserve">2.4 </w:t>
      </w:r>
      <w:r>
        <w:rPr>
          <w:rFonts w:hint="eastAsia" w:ascii="仿宋" w:hAnsi="仿宋" w:eastAsia="仿宋"/>
          <w:color w:val="auto"/>
          <w:highlight w:val="none"/>
        </w:rPr>
        <w:t>在验收过程中发现有缺陷等质量问题，应按照买方</w:t>
      </w:r>
      <w:r>
        <w:rPr>
          <w:rFonts w:ascii="仿宋" w:hAnsi="仿宋" w:eastAsia="仿宋"/>
          <w:color w:val="auto"/>
          <w:highlight w:val="none"/>
        </w:rPr>
        <w:t>/</w:t>
      </w:r>
      <w:r>
        <w:rPr>
          <w:rFonts w:hint="eastAsia" w:ascii="仿宋" w:hAnsi="仿宋" w:eastAsia="仿宋"/>
          <w:color w:val="auto"/>
          <w:highlight w:val="none"/>
        </w:rPr>
        <w:t>使用单位的要求更换或退货等措施妥善处理，并承担由此发生的一切费用和损失。</w:t>
      </w:r>
    </w:p>
    <w:p>
      <w:pPr>
        <w:autoSpaceDE w:val="0"/>
        <w:autoSpaceDN w:val="0"/>
        <w:spacing w:line="520" w:lineRule="exact"/>
        <w:ind w:left="420" w:hanging="420" w:hangingChars="200"/>
        <w:rPr>
          <w:rFonts w:ascii="仿宋" w:hAnsi="仿宋" w:eastAsia="仿宋" w:cs="仿宋_GB2312"/>
          <w:color w:val="auto"/>
          <w:highlight w:val="none"/>
        </w:rPr>
      </w:pPr>
      <w:r>
        <w:rPr>
          <w:rFonts w:ascii="仿宋" w:hAnsi="仿宋" w:eastAsia="仿宋" w:cs="TimesNewRomanPSMT"/>
          <w:color w:val="auto"/>
          <w:highlight w:val="none"/>
        </w:rPr>
        <w:t xml:space="preserve">2.5 </w:t>
      </w:r>
      <w:r>
        <w:rPr>
          <w:rFonts w:hint="eastAsia" w:ascii="仿宋" w:hAnsi="仿宋" w:eastAsia="仿宋" w:cs="仿宋_GB2312"/>
          <w:color w:val="auto"/>
          <w:highlight w:val="none"/>
        </w:rPr>
        <w:t>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使用单位有权有在货物制造过程中派员监造的权利，卖方有义务为买方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使用单位监造人员行使该权利提供方便。</w:t>
      </w:r>
    </w:p>
    <w:p>
      <w:pPr>
        <w:spacing w:line="520" w:lineRule="exact"/>
        <w:ind w:firstLine="105" w:firstLineChars="50"/>
        <w:rPr>
          <w:rFonts w:ascii="仿宋" w:hAnsi="仿宋" w:eastAsia="仿宋"/>
          <w:color w:val="auto"/>
          <w:highlight w:val="none"/>
        </w:rPr>
      </w:pPr>
      <w:r>
        <w:rPr>
          <w:rFonts w:ascii="仿宋" w:hAnsi="仿宋" w:eastAsia="仿宋"/>
          <w:color w:val="auto"/>
          <w:highlight w:val="none"/>
        </w:rPr>
        <w:t>2.6</w:t>
      </w:r>
      <w:r>
        <w:rPr>
          <w:rFonts w:hint="eastAsia" w:ascii="仿宋" w:hAnsi="仿宋" w:eastAsia="仿宋"/>
          <w:color w:val="auto"/>
          <w:highlight w:val="none"/>
        </w:rPr>
        <w:t>交付验收标准：依次序对照适用标准为：</w:t>
      </w:r>
    </w:p>
    <w:p>
      <w:pPr>
        <w:spacing w:line="520" w:lineRule="exact"/>
        <w:ind w:firstLine="560"/>
        <w:rPr>
          <w:rFonts w:ascii="仿宋" w:hAnsi="仿宋" w:eastAsia="仿宋"/>
          <w:color w:val="auto"/>
          <w:highlight w:val="none"/>
        </w:rPr>
      </w:pPr>
      <w:r>
        <w:rPr>
          <w:rFonts w:ascii="仿宋" w:hAnsi="仿宋" w:eastAsia="仿宋"/>
          <w:color w:val="auto"/>
          <w:highlight w:val="none"/>
        </w:rPr>
        <w:t>2.61</w:t>
      </w:r>
      <w:r>
        <w:rPr>
          <w:rFonts w:hint="eastAsia" w:ascii="仿宋" w:hAnsi="仿宋" w:eastAsia="仿宋"/>
          <w:color w:val="auto"/>
          <w:highlight w:val="none"/>
        </w:rPr>
        <w:t>符合中华人民共和国国家安全质量标准、环保标准或行业标准；</w:t>
      </w:r>
    </w:p>
    <w:p>
      <w:pPr>
        <w:spacing w:line="520" w:lineRule="exact"/>
        <w:ind w:firstLine="560"/>
        <w:rPr>
          <w:rFonts w:ascii="仿宋" w:hAnsi="仿宋" w:eastAsia="仿宋"/>
          <w:color w:val="auto"/>
          <w:highlight w:val="none"/>
        </w:rPr>
      </w:pPr>
      <w:r>
        <w:rPr>
          <w:rFonts w:ascii="仿宋" w:hAnsi="仿宋" w:eastAsia="仿宋"/>
          <w:color w:val="auto"/>
          <w:highlight w:val="none"/>
        </w:rPr>
        <w:t>2.62</w:t>
      </w:r>
      <w:r>
        <w:rPr>
          <w:rFonts w:hint="eastAsia" w:ascii="仿宋" w:hAnsi="仿宋" w:eastAsia="仿宋"/>
          <w:color w:val="auto"/>
          <w:highlight w:val="none"/>
        </w:rPr>
        <w:t>符合招标</w:t>
      </w:r>
      <w:r>
        <w:rPr>
          <w:rFonts w:ascii="仿宋" w:hAnsi="仿宋" w:eastAsia="仿宋"/>
          <w:color w:val="auto"/>
          <w:highlight w:val="none"/>
        </w:rPr>
        <w:t>/</w:t>
      </w:r>
      <w:r>
        <w:rPr>
          <w:rFonts w:hint="eastAsia" w:ascii="仿宋" w:hAnsi="仿宋" w:eastAsia="仿宋"/>
          <w:color w:val="auto"/>
          <w:highlight w:val="none"/>
        </w:rPr>
        <w:t>采购文件和买方</w:t>
      </w:r>
      <w:r>
        <w:rPr>
          <w:rFonts w:ascii="仿宋" w:hAnsi="仿宋" w:eastAsia="仿宋"/>
          <w:color w:val="auto"/>
          <w:highlight w:val="none"/>
        </w:rPr>
        <w:t>/</w:t>
      </w:r>
      <w:r>
        <w:rPr>
          <w:rFonts w:hint="eastAsia" w:ascii="仿宋" w:hAnsi="仿宋" w:eastAsia="仿宋"/>
          <w:color w:val="auto"/>
          <w:highlight w:val="none"/>
        </w:rPr>
        <w:t>使用单位认可的合理最佳配置、参数及各项要求；</w:t>
      </w:r>
    </w:p>
    <w:p>
      <w:pPr>
        <w:spacing w:line="520" w:lineRule="exact"/>
        <w:ind w:firstLine="560"/>
        <w:rPr>
          <w:rFonts w:ascii="仿宋" w:hAnsi="仿宋" w:eastAsia="仿宋"/>
          <w:color w:val="auto"/>
          <w:highlight w:val="none"/>
        </w:rPr>
      </w:pPr>
      <w:r>
        <w:rPr>
          <w:rFonts w:ascii="仿宋" w:hAnsi="仿宋" w:eastAsia="仿宋"/>
          <w:color w:val="auto"/>
          <w:highlight w:val="none"/>
        </w:rPr>
        <w:t>2.63</w:t>
      </w:r>
      <w:r>
        <w:rPr>
          <w:rFonts w:hint="eastAsia" w:ascii="仿宋" w:hAnsi="仿宋" w:eastAsia="仿宋"/>
          <w:color w:val="auto"/>
          <w:highlight w:val="none"/>
        </w:rPr>
        <w:t>货物来源国官方标准。上述标准必须是有关官方机构发布的最新版本的标准；</w:t>
      </w:r>
    </w:p>
    <w:p>
      <w:pPr>
        <w:autoSpaceDE w:val="0"/>
        <w:autoSpaceDN w:val="0"/>
        <w:spacing w:line="520" w:lineRule="exact"/>
        <w:rPr>
          <w:rFonts w:ascii="仿宋" w:hAnsi="仿宋" w:eastAsia="仿宋" w:cs="仿宋_GB2312"/>
          <w:b/>
          <w:bCs/>
          <w:color w:val="auto"/>
          <w:highlight w:val="none"/>
        </w:rPr>
      </w:pPr>
      <w:r>
        <w:rPr>
          <w:rFonts w:ascii="仿宋" w:hAnsi="仿宋" w:eastAsia="仿宋" w:cs="TimesNewRomanPS-BoldMT"/>
          <w:b/>
          <w:bCs/>
          <w:color w:val="auto"/>
          <w:highlight w:val="none"/>
        </w:rPr>
        <w:t>3</w:t>
      </w:r>
      <w:r>
        <w:rPr>
          <w:rFonts w:ascii="仿宋" w:hAnsi="仿宋" w:eastAsia="仿宋" w:cs="仿宋_GB2312"/>
          <w:b/>
          <w:bCs/>
          <w:color w:val="auto"/>
          <w:highlight w:val="none"/>
        </w:rPr>
        <w:t>.</w:t>
      </w:r>
      <w:r>
        <w:rPr>
          <w:rFonts w:hint="eastAsia" w:ascii="仿宋" w:hAnsi="仿宋" w:eastAsia="仿宋" w:cs="仿宋_GB2312"/>
          <w:b/>
          <w:bCs/>
          <w:color w:val="auto"/>
          <w:highlight w:val="none"/>
        </w:rPr>
        <w:t>索赔</w:t>
      </w:r>
    </w:p>
    <w:p>
      <w:pPr>
        <w:autoSpaceDE w:val="0"/>
        <w:autoSpaceDN w:val="0"/>
        <w:spacing w:line="520" w:lineRule="exact"/>
        <w:ind w:left="315" w:hanging="315" w:hangingChars="150"/>
        <w:rPr>
          <w:rFonts w:ascii="仿宋" w:hAnsi="仿宋" w:eastAsia="仿宋" w:cs="仿宋_GB2312"/>
          <w:color w:val="auto"/>
          <w:highlight w:val="none"/>
        </w:rPr>
      </w:pPr>
      <w:r>
        <w:rPr>
          <w:rFonts w:ascii="仿宋" w:hAnsi="仿宋" w:eastAsia="仿宋" w:cs="TimesNewRomanPSMT"/>
          <w:color w:val="auto"/>
          <w:highlight w:val="none"/>
        </w:rPr>
        <w:t xml:space="preserve">3.1 </w:t>
      </w:r>
      <w:r>
        <w:rPr>
          <w:rFonts w:hint="eastAsia" w:ascii="仿宋" w:hAnsi="仿宋" w:eastAsia="仿宋" w:cs="仿宋_GB2312"/>
          <w:color w:val="auto"/>
          <w:highlight w:val="none"/>
        </w:rPr>
        <w:t>如果货物的质量、规格、型号、数量、重量等与合同不符，或在质量保证期内证实货物存有缺陷，包括潜在的缺陷或使用不符合要求的材料等，买方有权根据有资质的权威质检机构的检验结果向卖方提出索赔。</w:t>
      </w:r>
    </w:p>
    <w:p>
      <w:pPr>
        <w:autoSpaceDE w:val="0"/>
        <w:autoSpaceDN w:val="0"/>
        <w:spacing w:line="520" w:lineRule="exact"/>
        <w:ind w:left="315" w:hanging="315" w:hangingChars="150"/>
        <w:rPr>
          <w:rFonts w:ascii="仿宋" w:hAnsi="仿宋" w:eastAsia="仿宋" w:cs="仿宋_GB2312"/>
          <w:color w:val="auto"/>
          <w:highlight w:val="none"/>
        </w:rPr>
      </w:pPr>
      <w:r>
        <w:rPr>
          <w:rFonts w:ascii="仿宋" w:hAnsi="仿宋" w:eastAsia="仿宋" w:cs="TimesNewRomanPSMT"/>
          <w:color w:val="auto"/>
          <w:highlight w:val="none"/>
        </w:rPr>
        <w:t xml:space="preserve">3.2 </w:t>
      </w:r>
      <w:r>
        <w:rPr>
          <w:rFonts w:hint="eastAsia" w:ascii="仿宋" w:hAnsi="仿宋" w:eastAsia="仿宋" w:cs="仿宋_GB2312"/>
          <w:color w:val="auto"/>
          <w:highlight w:val="none"/>
        </w:rPr>
        <w:t>如果卖方对使用单位提出的索赔负有责任，卖方应按照买方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使用单位同意的下列一种或多种方式解决索赔事宜：</w:t>
      </w:r>
    </w:p>
    <w:p>
      <w:pPr>
        <w:autoSpaceDE w:val="0"/>
        <w:autoSpaceDN w:val="0"/>
        <w:spacing w:line="520" w:lineRule="exact"/>
        <w:rPr>
          <w:rFonts w:ascii="仿宋" w:hAnsi="仿宋" w:eastAsia="仿宋" w:cs="F6"/>
          <w:color w:val="auto"/>
          <w:highlight w:val="none"/>
        </w:rPr>
      </w:pPr>
      <w:r>
        <w:rPr>
          <w:rFonts w:ascii="仿宋" w:hAnsi="仿宋" w:eastAsia="仿宋" w:cs="TimesNewRomanPSMT"/>
          <w:color w:val="auto"/>
          <w:highlight w:val="none"/>
        </w:rPr>
        <w:t>3.2.1</w:t>
      </w:r>
      <w:r>
        <w:rPr>
          <w:rFonts w:hint="eastAsia" w:ascii="仿宋" w:hAnsi="仿宋" w:eastAsia="仿宋" w:cs="仿宋_GB2312"/>
          <w:color w:val="auto"/>
          <w:highlight w:val="none"/>
        </w:rPr>
        <w:t>退货：卖方应按合同规定将货款退还给买方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使用单位，并承担由此发生的一切损失和费用，包括利息、银行手续费、运费、保险费、检验费、仓储费、装卸费以及为保护退回货物所需的其它必要费用。</w:t>
      </w:r>
    </w:p>
    <w:p>
      <w:pPr>
        <w:autoSpaceDE w:val="0"/>
        <w:autoSpaceDN w:val="0"/>
        <w:spacing w:line="520" w:lineRule="exact"/>
        <w:rPr>
          <w:rFonts w:ascii="仿宋" w:hAnsi="仿宋" w:eastAsia="仿宋" w:cs="仿宋_GB2312"/>
          <w:color w:val="auto"/>
          <w:highlight w:val="none"/>
        </w:rPr>
      </w:pPr>
      <w:r>
        <w:rPr>
          <w:rFonts w:ascii="仿宋" w:hAnsi="仿宋" w:eastAsia="仿宋" w:cs="TimesNewRomanPSMT"/>
          <w:color w:val="auto"/>
          <w:highlight w:val="none"/>
        </w:rPr>
        <w:t xml:space="preserve">3.2.2 </w:t>
      </w:r>
      <w:r>
        <w:rPr>
          <w:rFonts w:hint="eastAsia" w:ascii="仿宋" w:hAnsi="仿宋" w:eastAsia="仿宋" w:cs="仿宋_GB2312"/>
          <w:color w:val="auto"/>
          <w:highlight w:val="none"/>
        </w:rPr>
        <w:t>降价：根据货物低劣程度、损坏程度以及买方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使用单位所遭受损失的数额，经双方商定降低货物的价格，或由有权的部门评估，以降低后的价格或评估价格为准。</w:t>
      </w:r>
    </w:p>
    <w:p>
      <w:pPr>
        <w:autoSpaceDE w:val="0"/>
        <w:autoSpaceDN w:val="0"/>
        <w:spacing w:line="520" w:lineRule="exact"/>
        <w:rPr>
          <w:rFonts w:ascii="仿宋" w:hAnsi="仿宋" w:eastAsia="仿宋" w:cs="仿宋_GB2312"/>
          <w:color w:val="auto"/>
          <w:highlight w:val="none"/>
        </w:rPr>
      </w:pPr>
      <w:r>
        <w:rPr>
          <w:rFonts w:ascii="仿宋" w:hAnsi="仿宋" w:eastAsia="仿宋" w:cs="TimesNewRomanPSMT"/>
          <w:color w:val="auto"/>
          <w:highlight w:val="none"/>
        </w:rPr>
        <w:t xml:space="preserve">3.2.3 </w:t>
      </w:r>
      <w:r>
        <w:rPr>
          <w:rFonts w:hint="eastAsia" w:ascii="仿宋" w:hAnsi="仿宋" w:eastAsia="仿宋" w:cs="仿宋_GB2312"/>
          <w:color w:val="auto"/>
          <w:highlight w:val="none"/>
        </w:rPr>
        <w:t>更换／修补：用符合规格、质量和性能要求的新零件、部件或货物来更换有缺陷的部分或／和修补缺陷部分，卖方应承担一切费用和风险并负担买方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使用单位所发生的一切直接费用。同时，卖方应相应延长修补或更换件的质量保证期。</w:t>
      </w:r>
    </w:p>
    <w:p>
      <w:pPr>
        <w:autoSpaceDE w:val="0"/>
        <w:autoSpaceDN w:val="0"/>
        <w:spacing w:line="520" w:lineRule="exact"/>
        <w:ind w:left="420" w:hanging="420" w:hangingChars="200"/>
        <w:rPr>
          <w:rFonts w:ascii="仿宋" w:hAnsi="仿宋" w:eastAsia="仿宋" w:cs="仿宋_GB2312"/>
          <w:color w:val="auto"/>
          <w:highlight w:val="none"/>
        </w:rPr>
      </w:pPr>
      <w:r>
        <w:rPr>
          <w:rFonts w:ascii="仿宋" w:hAnsi="仿宋" w:eastAsia="仿宋" w:cs="TimesNewRomanPSMT"/>
          <w:color w:val="auto"/>
          <w:highlight w:val="none"/>
        </w:rPr>
        <w:t xml:space="preserve">3.3 </w:t>
      </w:r>
      <w:r>
        <w:rPr>
          <w:rFonts w:hint="eastAsia" w:ascii="仿宋" w:hAnsi="仿宋" w:eastAsia="仿宋" w:cs="仿宋_GB2312"/>
          <w:color w:val="auto"/>
          <w:highlight w:val="none"/>
        </w:rPr>
        <w:t>如果在买方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使用单位发出索赔通知后，卖方未作答复，上述索赔应视为已被卖方接受。买方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使用单位将从合同款或从卖方的履约保证金中扣回索赔金额。如果这些金额不足以补偿索赔金额，买方有权向卖方提出不足部分的补偿。</w:t>
      </w:r>
    </w:p>
    <w:p>
      <w:pPr>
        <w:autoSpaceDE w:val="0"/>
        <w:autoSpaceDN w:val="0"/>
        <w:spacing w:line="520" w:lineRule="exact"/>
        <w:ind w:left="422" w:hanging="422" w:hangingChars="200"/>
        <w:rPr>
          <w:rFonts w:ascii="仿宋" w:hAnsi="仿宋" w:eastAsia="仿宋" w:cs="仿宋_GB2312"/>
          <w:b/>
          <w:bCs/>
          <w:color w:val="auto"/>
          <w:highlight w:val="none"/>
        </w:rPr>
      </w:pPr>
      <w:r>
        <w:rPr>
          <w:rFonts w:ascii="仿宋" w:hAnsi="仿宋" w:eastAsia="仿宋" w:cs="仿宋_GB2312"/>
          <w:b/>
          <w:bCs/>
          <w:color w:val="auto"/>
          <w:highlight w:val="none"/>
        </w:rPr>
        <w:t>4</w:t>
      </w:r>
      <w:r>
        <w:rPr>
          <w:rFonts w:hint="eastAsia" w:ascii="仿宋" w:hAnsi="仿宋" w:eastAsia="仿宋" w:cs="仿宋_GB2312"/>
          <w:b/>
          <w:bCs/>
          <w:color w:val="auto"/>
          <w:highlight w:val="none"/>
        </w:rPr>
        <w:t>、培训</w:t>
      </w:r>
    </w:p>
    <w:p>
      <w:pPr>
        <w:spacing w:line="520" w:lineRule="exact"/>
        <w:ind w:left="210" w:hanging="210" w:hangingChars="100"/>
        <w:rPr>
          <w:rFonts w:ascii="仿宋" w:hAnsi="仿宋" w:eastAsia="仿宋"/>
          <w:color w:val="auto"/>
          <w:highlight w:val="none"/>
        </w:rPr>
      </w:pPr>
      <w:r>
        <w:rPr>
          <w:rFonts w:ascii="仿宋" w:hAnsi="仿宋" w:eastAsia="仿宋"/>
          <w:color w:val="auto"/>
          <w:highlight w:val="none"/>
        </w:rPr>
        <w:t>4.1</w:t>
      </w:r>
      <w:r>
        <w:rPr>
          <w:rFonts w:hint="eastAsia" w:ascii="仿宋" w:hAnsi="仿宋" w:eastAsia="仿宋"/>
          <w:color w:val="auto"/>
          <w:highlight w:val="none"/>
        </w:rPr>
        <w:t>卖方应派遣其精通业务的、健康的、合格的技术人员到合同货物的安装现场提供技术服务。</w:t>
      </w:r>
    </w:p>
    <w:p>
      <w:pPr>
        <w:spacing w:line="520" w:lineRule="exact"/>
        <w:ind w:firstLine="315" w:firstLineChars="150"/>
        <w:rPr>
          <w:rFonts w:ascii="仿宋" w:hAnsi="仿宋" w:eastAsia="仿宋"/>
          <w:color w:val="auto"/>
          <w:highlight w:val="none"/>
        </w:rPr>
      </w:pPr>
      <w:r>
        <w:rPr>
          <w:rFonts w:ascii="仿宋" w:hAnsi="仿宋" w:eastAsia="仿宋"/>
          <w:color w:val="auto"/>
          <w:highlight w:val="none"/>
        </w:rPr>
        <w:t>4.2</w:t>
      </w:r>
      <w:r>
        <w:rPr>
          <w:rFonts w:hint="eastAsia" w:ascii="仿宋" w:hAnsi="仿宋" w:eastAsia="仿宋"/>
          <w:color w:val="auto"/>
          <w:highlight w:val="none"/>
        </w:rPr>
        <w:t>卖方将根据自身的培训政策和使用方的具体的要求，直接向使用单位提供培训，包括卖方提供的设备管理培训、技术培训和使用方要求的其他培训内容。</w:t>
      </w:r>
    </w:p>
    <w:p>
      <w:pPr>
        <w:spacing w:line="520" w:lineRule="exact"/>
        <w:ind w:firstLine="315" w:firstLineChars="150"/>
        <w:rPr>
          <w:rFonts w:ascii="仿宋" w:hAnsi="仿宋" w:eastAsia="仿宋"/>
          <w:color w:val="auto"/>
          <w:highlight w:val="none"/>
        </w:rPr>
      </w:pPr>
      <w:r>
        <w:rPr>
          <w:rFonts w:ascii="仿宋" w:hAnsi="仿宋" w:eastAsia="仿宋"/>
          <w:color w:val="auto"/>
          <w:highlight w:val="none"/>
        </w:rPr>
        <w:t>4.3</w:t>
      </w:r>
      <w:r>
        <w:rPr>
          <w:rFonts w:hint="eastAsia" w:ascii="仿宋" w:hAnsi="仿宋" w:eastAsia="仿宋"/>
          <w:color w:val="auto"/>
          <w:highlight w:val="none"/>
        </w:rPr>
        <w:t>以上培训内容的培训费用由卖方承担。</w:t>
      </w:r>
    </w:p>
    <w:p>
      <w:pPr>
        <w:autoSpaceDE w:val="0"/>
        <w:autoSpaceDN w:val="0"/>
        <w:spacing w:line="520" w:lineRule="exact"/>
        <w:rPr>
          <w:rFonts w:ascii="仿宋" w:hAnsi="仿宋" w:eastAsia="仿宋" w:cs="仿宋_GB2312"/>
          <w:b/>
          <w:bCs/>
          <w:color w:val="auto"/>
          <w:highlight w:val="none"/>
        </w:rPr>
      </w:pPr>
      <w:r>
        <w:rPr>
          <w:rFonts w:ascii="仿宋" w:hAnsi="仿宋" w:eastAsia="仿宋" w:cs="仿宋_GB2312"/>
          <w:b/>
          <w:bCs/>
          <w:color w:val="auto"/>
          <w:highlight w:val="none"/>
        </w:rPr>
        <w:t>5.</w:t>
      </w:r>
      <w:r>
        <w:rPr>
          <w:rFonts w:hint="eastAsia" w:ascii="仿宋" w:hAnsi="仿宋" w:eastAsia="仿宋" w:cs="仿宋_GB2312"/>
          <w:b/>
          <w:bCs/>
          <w:color w:val="auto"/>
          <w:highlight w:val="none"/>
        </w:rPr>
        <w:t>延迟签订合同</w:t>
      </w:r>
    </w:p>
    <w:p>
      <w:pPr>
        <w:autoSpaceDE w:val="0"/>
        <w:autoSpaceDN w:val="0"/>
        <w:spacing w:line="520" w:lineRule="exact"/>
        <w:ind w:left="211" w:hanging="211" w:hangingChars="100"/>
        <w:rPr>
          <w:rFonts w:ascii="仿宋" w:hAnsi="仿宋" w:eastAsia="仿宋" w:cs="仿宋_GB2312"/>
          <w:b/>
          <w:color w:val="auto"/>
          <w:highlight w:val="none"/>
        </w:rPr>
      </w:pPr>
      <w:r>
        <w:rPr>
          <w:rFonts w:ascii="仿宋" w:hAnsi="仿宋" w:eastAsia="仿宋" w:cs="仿宋_GB2312"/>
          <w:b/>
          <w:color w:val="auto"/>
          <w:highlight w:val="none"/>
        </w:rPr>
        <w:t>5</w:t>
      </w:r>
      <w:r>
        <w:rPr>
          <w:rFonts w:hint="eastAsia" w:ascii="仿宋" w:hAnsi="仿宋" w:eastAsia="仿宋" w:cs="仿宋_GB2312"/>
          <w:b/>
          <w:color w:val="auto"/>
          <w:highlight w:val="none"/>
        </w:rPr>
        <w:t>.</w:t>
      </w:r>
      <w:r>
        <w:rPr>
          <w:rFonts w:ascii="仿宋" w:hAnsi="仿宋" w:eastAsia="仿宋" w:cs="仿宋_GB2312"/>
          <w:b/>
          <w:color w:val="auto"/>
          <w:highlight w:val="none"/>
        </w:rPr>
        <w:t>1</w:t>
      </w:r>
      <w:r>
        <w:rPr>
          <w:rFonts w:hint="eastAsia" w:ascii="仿宋" w:hAnsi="仿宋" w:eastAsia="仿宋" w:cs="仿宋_GB2312"/>
          <w:b/>
          <w:color w:val="auto"/>
          <w:highlight w:val="none"/>
        </w:rPr>
        <w:t>在</w:t>
      </w:r>
      <w:r>
        <w:rPr>
          <w:rFonts w:ascii="仿宋" w:hAnsi="仿宋" w:eastAsia="仿宋" w:cs="仿宋_GB2312"/>
          <w:b/>
          <w:color w:val="auto"/>
          <w:highlight w:val="none"/>
        </w:rPr>
        <w:t>法定时间</w:t>
      </w:r>
      <w:r>
        <w:rPr>
          <w:rFonts w:hint="eastAsia" w:ascii="仿宋" w:hAnsi="仿宋" w:eastAsia="仿宋" w:cs="仿宋_GB2312"/>
          <w:b/>
          <w:color w:val="auto"/>
          <w:highlight w:val="none"/>
        </w:rPr>
        <w:t>/承诺</w:t>
      </w:r>
      <w:r>
        <w:rPr>
          <w:rFonts w:ascii="仿宋" w:hAnsi="仿宋" w:eastAsia="仿宋" w:cs="仿宋_GB2312"/>
          <w:b/>
          <w:color w:val="auto"/>
          <w:highlight w:val="none"/>
        </w:rPr>
        <w:t>时间内</w:t>
      </w:r>
      <w:r>
        <w:rPr>
          <w:rFonts w:hint="eastAsia" w:ascii="仿宋" w:hAnsi="仿宋" w:eastAsia="仿宋" w:cs="仿宋_GB2312"/>
          <w:b/>
          <w:color w:val="auto"/>
          <w:highlight w:val="none"/>
        </w:rPr>
        <w:t>，卖方按照</w:t>
      </w:r>
      <w:r>
        <w:rPr>
          <w:rFonts w:ascii="仿宋" w:hAnsi="仿宋" w:eastAsia="仿宋" w:cs="仿宋_GB2312"/>
          <w:b/>
          <w:color w:val="auto"/>
          <w:highlight w:val="none"/>
        </w:rPr>
        <w:t>以下顺序完成：</w:t>
      </w:r>
      <w:r>
        <w:rPr>
          <w:rFonts w:hint="eastAsia" w:ascii="仿宋" w:hAnsi="仿宋" w:eastAsia="仿宋" w:cs="仿宋_GB2312"/>
          <w:b/>
          <w:color w:val="auto"/>
          <w:highlight w:val="none"/>
        </w:rPr>
        <w:t>1、拟定合同；2、将合同送至采购人，双方签字盖章。无正当理由的情况下，卖方未完成上述流程的，采购人将暂停履行合同，并依据相关规定追究法律责任，并按照相关法规进行处罚。</w:t>
      </w:r>
    </w:p>
    <w:p>
      <w:pPr>
        <w:autoSpaceDE w:val="0"/>
        <w:autoSpaceDN w:val="0"/>
        <w:spacing w:line="520" w:lineRule="exact"/>
        <w:ind w:left="211" w:hanging="211" w:hangingChars="100"/>
        <w:rPr>
          <w:rFonts w:ascii="仿宋" w:hAnsi="仿宋" w:eastAsia="仿宋" w:cs="仿宋_GB2312"/>
          <w:b/>
          <w:color w:val="auto"/>
          <w:highlight w:val="none"/>
        </w:rPr>
      </w:pPr>
      <w:r>
        <w:rPr>
          <w:rFonts w:ascii="仿宋" w:hAnsi="仿宋" w:eastAsia="仿宋" w:cs="仿宋_GB2312"/>
          <w:b/>
          <w:color w:val="auto"/>
          <w:highlight w:val="none"/>
        </w:rPr>
        <w:t>5.</w:t>
      </w:r>
      <w:r>
        <w:rPr>
          <w:rFonts w:hint="eastAsia" w:ascii="仿宋" w:hAnsi="仿宋" w:eastAsia="仿宋" w:cs="仿宋_GB2312"/>
          <w:b/>
          <w:color w:val="auto"/>
          <w:highlight w:val="none"/>
        </w:rPr>
        <w:t>2如因使用单位延误合同签订，卖方须以书面或邮件的方式提前告知采购人，否则仍视为卖方失信。</w:t>
      </w:r>
    </w:p>
    <w:p>
      <w:pPr>
        <w:autoSpaceDE w:val="0"/>
        <w:autoSpaceDN w:val="0"/>
        <w:spacing w:line="520" w:lineRule="exact"/>
        <w:rPr>
          <w:rFonts w:ascii="仿宋" w:hAnsi="仿宋" w:eastAsia="仿宋" w:cs="仿宋_GB2312"/>
          <w:b/>
          <w:bCs/>
          <w:color w:val="auto"/>
          <w:highlight w:val="none"/>
        </w:rPr>
      </w:pPr>
      <w:r>
        <w:rPr>
          <w:rFonts w:ascii="仿宋" w:hAnsi="仿宋" w:eastAsia="仿宋" w:cs="仿宋_GB2312"/>
          <w:b/>
          <w:bCs/>
          <w:color w:val="auto"/>
          <w:highlight w:val="none"/>
        </w:rPr>
        <w:t>6</w:t>
      </w:r>
      <w:r>
        <w:rPr>
          <w:rFonts w:hint="eastAsia" w:ascii="仿宋" w:hAnsi="仿宋" w:eastAsia="仿宋" w:cs="仿宋_GB2312"/>
          <w:b/>
          <w:bCs/>
          <w:color w:val="auto"/>
          <w:highlight w:val="none"/>
        </w:rPr>
        <w:t>、履约时间</w:t>
      </w:r>
    </w:p>
    <w:p>
      <w:pPr>
        <w:autoSpaceDE w:val="0"/>
        <w:autoSpaceDN w:val="0"/>
        <w:spacing w:line="520" w:lineRule="exact"/>
        <w:ind w:firstLine="105" w:firstLineChars="50"/>
        <w:rPr>
          <w:rFonts w:ascii="仿宋" w:hAnsi="仿宋" w:eastAsia="仿宋" w:cs="仿宋_GB2312"/>
          <w:b/>
          <w:bCs/>
          <w:color w:val="auto"/>
          <w:highlight w:val="none"/>
          <w:u w:val="wave"/>
        </w:rPr>
      </w:pPr>
      <w:r>
        <w:rPr>
          <w:rFonts w:ascii="仿宋" w:hAnsi="仿宋" w:eastAsia="仿宋" w:cs="仿宋_GB2312"/>
          <w:b/>
          <w:bCs/>
          <w:color w:val="auto"/>
          <w:highlight w:val="none"/>
        </w:rPr>
        <w:t xml:space="preserve">6.1 </w:t>
      </w:r>
      <w:r>
        <w:rPr>
          <w:rFonts w:hint="eastAsia" w:ascii="仿宋" w:hAnsi="仿宋" w:eastAsia="仿宋" w:cs="仿宋_GB2312"/>
          <w:b/>
          <w:bCs/>
          <w:color w:val="auto"/>
          <w:highlight w:val="none"/>
        </w:rPr>
        <w:t>开始履约时间为：</w:t>
      </w:r>
      <w:r>
        <w:rPr>
          <w:rFonts w:hint="eastAsia" w:ascii="仿宋" w:hAnsi="仿宋" w:eastAsia="仿宋" w:cs="仿宋_GB2312"/>
          <w:b/>
          <w:bCs/>
          <w:color w:val="auto"/>
          <w:highlight w:val="none"/>
          <w:u w:val="wave"/>
        </w:rPr>
        <w:t xml:space="preserve">   </w:t>
      </w:r>
      <w:r>
        <w:rPr>
          <w:rFonts w:ascii="仿宋" w:hAnsi="仿宋" w:eastAsia="仿宋" w:cs="仿宋_GB2312"/>
          <w:b/>
          <w:bCs/>
          <w:color w:val="auto"/>
          <w:highlight w:val="none"/>
          <w:u w:val="wave"/>
        </w:rPr>
        <w:t xml:space="preserve">  </w:t>
      </w:r>
      <w:r>
        <w:rPr>
          <w:rFonts w:hint="eastAsia" w:ascii="仿宋" w:hAnsi="仿宋" w:eastAsia="仿宋" w:cs="仿宋_GB2312"/>
          <w:b/>
          <w:bCs/>
          <w:color w:val="auto"/>
          <w:highlight w:val="none"/>
        </w:rPr>
        <w:t>年</w:t>
      </w:r>
      <w:r>
        <w:rPr>
          <w:rFonts w:hint="eastAsia" w:ascii="仿宋" w:hAnsi="仿宋" w:eastAsia="仿宋" w:cs="仿宋_GB2312"/>
          <w:b/>
          <w:bCs/>
          <w:color w:val="auto"/>
          <w:highlight w:val="none"/>
          <w:u w:val="wave"/>
        </w:rPr>
        <w:t xml:space="preserve">    </w:t>
      </w:r>
      <w:r>
        <w:rPr>
          <w:rFonts w:hint="eastAsia" w:ascii="仿宋" w:hAnsi="仿宋" w:eastAsia="仿宋" w:cs="仿宋_GB2312"/>
          <w:b/>
          <w:bCs/>
          <w:color w:val="auto"/>
          <w:highlight w:val="none"/>
        </w:rPr>
        <w:t>月</w:t>
      </w:r>
      <w:r>
        <w:rPr>
          <w:rFonts w:hint="eastAsia" w:ascii="仿宋" w:hAnsi="仿宋" w:eastAsia="仿宋" w:cs="仿宋_GB2312"/>
          <w:b/>
          <w:bCs/>
          <w:color w:val="auto"/>
          <w:highlight w:val="none"/>
          <w:u w:val="wave"/>
        </w:rPr>
        <w:t xml:space="preserve">    </w:t>
      </w:r>
      <w:r>
        <w:rPr>
          <w:rFonts w:hint="eastAsia" w:ascii="仿宋" w:hAnsi="仿宋" w:eastAsia="仿宋" w:cs="仿宋_GB2312"/>
          <w:b/>
          <w:bCs/>
          <w:color w:val="auto"/>
          <w:highlight w:val="none"/>
        </w:rPr>
        <w:t>日 （使用</w:t>
      </w:r>
      <w:r>
        <w:rPr>
          <w:rFonts w:ascii="仿宋" w:hAnsi="仿宋" w:eastAsia="仿宋" w:cs="仿宋_GB2312"/>
          <w:b/>
          <w:bCs/>
          <w:color w:val="auto"/>
          <w:highlight w:val="none"/>
        </w:rPr>
        <w:t>单位填写，必填</w:t>
      </w:r>
      <w:r>
        <w:rPr>
          <w:rFonts w:hint="eastAsia" w:ascii="仿宋" w:hAnsi="仿宋" w:eastAsia="仿宋" w:cs="仿宋_GB2312"/>
          <w:b/>
          <w:bCs/>
          <w:color w:val="auto"/>
          <w:highlight w:val="none"/>
        </w:rPr>
        <w:t>）</w:t>
      </w:r>
    </w:p>
    <w:p>
      <w:pPr>
        <w:autoSpaceDE w:val="0"/>
        <w:autoSpaceDN w:val="0"/>
        <w:spacing w:line="520" w:lineRule="exact"/>
        <w:ind w:left="422" w:hanging="422" w:hangingChars="200"/>
        <w:rPr>
          <w:rFonts w:ascii="仿宋" w:hAnsi="仿宋" w:eastAsia="仿宋" w:cs="仿宋_GB2312"/>
          <w:b/>
          <w:bCs/>
          <w:color w:val="auto"/>
          <w:highlight w:val="none"/>
        </w:rPr>
      </w:pPr>
      <w:r>
        <w:rPr>
          <w:rFonts w:ascii="仿宋" w:hAnsi="仿宋" w:eastAsia="仿宋" w:cs="仿宋_GB2312"/>
          <w:b/>
          <w:bCs/>
          <w:color w:val="auto"/>
          <w:highlight w:val="none"/>
        </w:rPr>
        <w:t xml:space="preserve">6.2 </w:t>
      </w:r>
      <w:r>
        <w:rPr>
          <w:rFonts w:hint="eastAsia" w:ascii="仿宋" w:hAnsi="仿宋" w:eastAsia="仿宋" w:cs="仿宋_GB2312"/>
          <w:b/>
          <w:bCs/>
          <w:color w:val="auto"/>
          <w:highlight w:val="none"/>
        </w:rPr>
        <w:t>以开始履约时间起算，卖方必须在</w:t>
      </w:r>
      <w:r>
        <w:rPr>
          <w:rFonts w:hint="eastAsia" w:ascii="仿宋" w:hAnsi="仿宋" w:eastAsia="仿宋" w:cs="仿宋_GB2312"/>
          <w:b/>
          <w:bCs/>
          <w:i/>
          <w:color w:val="auto"/>
          <w:highlight w:val="none"/>
          <w:u w:val="wave"/>
        </w:rPr>
        <w:t xml:space="preserve"> </w:t>
      </w:r>
      <w:r>
        <w:rPr>
          <w:rFonts w:ascii="仿宋" w:hAnsi="仿宋" w:eastAsia="仿宋" w:cs="仿宋_GB2312"/>
          <w:b/>
          <w:bCs/>
          <w:i/>
          <w:color w:val="auto"/>
          <w:highlight w:val="none"/>
          <w:u w:val="wave"/>
        </w:rPr>
        <w:t xml:space="preserve">           </w:t>
      </w:r>
      <w:r>
        <w:rPr>
          <w:rFonts w:hint="eastAsia" w:ascii="仿宋" w:hAnsi="仿宋" w:eastAsia="仿宋" w:cs="仿宋_GB2312"/>
          <w:b/>
          <w:bCs/>
          <w:i/>
          <w:color w:val="auto"/>
          <w:highlight w:val="none"/>
          <w:u w:val="wave"/>
        </w:rPr>
        <w:t xml:space="preserve"> </w:t>
      </w:r>
      <w:r>
        <w:rPr>
          <w:rFonts w:hint="eastAsia" w:ascii="仿宋" w:hAnsi="仿宋" w:eastAsia="仿宋" w:cs="仿宋_GB2312"/>
          <w:b/>
          <w:bCs/>
          <w:color w:val="auto"/>
          <w:highlight w:val="none"/>
        </w:rPr>
        <w:t>天内完成设备的安装、调试。</w:t>
      </w:r>
    </w:p>
    <w:p>
      <w:pPr>
        <w:autoSpaceDE w:val="0"/>
        <w:autoSpaceDN w:val="0"/>
        <w:spacing w:line="520" w:lineRule="exact"/>
        <w:ind w:left="422" w:hanging="422" w:hangingChars="200"/>
        <w:rPr>
          <w:rFonts w:ascii="仿宋" w:hAnsi="仿宋" w:eastAsia="仿宋" w:cs="仿宋_GB2312"/>
          <w:b/>
          <w:bCs/>
          <w:color w:val="auto"/>
          <w:highlight w:val="none"/>
        </w:rPr>
      </w:pPr>
      <w:r>
        <w:rPr>
          <w:rFonts w:ascii="仿宋" w:hAnsi="仿宋" w:eastAsia="仿宋" w:cs="仿宋_GB2312"/>
          <w:b/>
          <w:bCs/>
          <w:color w:val="auto"/>
          <w:highlight w:val="none"/>
        </w:rPr>
        <w:t xml:space="preserve">6.3 </w:t>
      </w:r>
      <w:r>
        <w:rPr>
          <w:rFonts w:hint="eastAsia" w:ascii="仿宋" w:hAnsi="仿宋" w:eastAsia="仿宋" w:cs="仿宋_GB2312"/>
          <w:b/>
          <w:bCs/>
          <w:color w:val="auto"/>
          <w:highlight w:val="none"/>
        </w:rPr>
        <w:t>使用单位需配合卖方，确定施工方案、提供必须要的场地和施工条件。否则视为使用单位违约。</w:t>
      </w:r>
    </w:p>
    <w:p>
      <w:pPr>
        <w:autoSpaceDE w:val="0"/>
        <w:autoSpaceDN w:val="0"/>
        <w:spacing w:line="520" w:lineRule="exact"/>
        <w:rPr>
          <w:rFonts w:ascii="仿宋" w:hAnsi="仿宋" w:eastAsia="仿宋" w:cs="仿宋_GB2312"/>
          <w:b/>
          <w:bCs/>
          <w:color w:val="auto"/>
          <w:highlight w:val="none"/>
        </w:rPr>
      </w:pPr>
      <w:r>
        <w:rPr>
          <w:rFonts w:ascii="仿宋" w:hAnsi="仿宋" w:eastAsia="仿宋" w:cs="仿宋_GB2312"/>
          <w:b/>
          <w:bCs/>
          <w:color w:val="auto"/>
          <w:highlight w:val="none"/>
        </w:rPr>
        <w:t>7.</w:t>
      </w:r>
      <w:r>
        <w:rPr>
          <w:rFonts w:hint="eastAsia" w:ascii="仿宋" w:hAnsi="仿宋" w:eastAsia="仿宋" w:cs="仿宋_GB2312"/>
          <w:b/>
          <w:bCs/>
          <w:color w:val="auto"/>
          <w:highlight w:val="none"/>
        </w:rPr>
        <w:t>延迟供货、完工</w:t>
      </w:r>
    </w:p>
    <w:p>
      <w:pPr>
        <w:autoSpaceDE w:val="0"/>
        <w:autoSpaceDN w:val="0"/>
        <w:spacing w:line="520" w:lineRule="exact"/>
        <w:ind w:left="210" w:hanging="210" w:hangingChars="100"/>
        <w:rPr>
          <w:rFonts w:ascii="仿宋" w:hAnsi="仿宋" w:eastAsia="仿宋" w:cs="仿宋_GB2312"/>
          <w:b/>
          <w:color w:val="auto"/>
          <w:highlight w:val="none"/>
        </w:rPr>
      </w:pPr>
      <w:r>
        <w:rPr>
          <w:rFonts w:ascii="仿宋" w:hAnsi="仿宋" w:eastAsia="仿宋" w:cs="TimesNewRomanPSMT"/>
          <w:color w:val="auto"/>
          <w:highlight w:val="none"/>
        </w:rPr>
        <w:t>7.1</w:t>
      </w:r>
      <w:r>
        <w:rPr>
          <w:rFonts w:hint="eastAsia" w:ascii="仿宋" w:hAnsi="仿宋" w:eastAsia="仿宋" w:cs="仿宋_GB2312"/>
          <w:color w:val="auto"/>
          <w:highlight w:val="none"/>
        </w:rPr>
        <w:t>如果卖方无正当理由逾期</w:t>
      </w:r>
      <w:r>
        <w:rPr>
          <w:rFonts w:ascii="仿宋" w:hAnsi="仿宋" w:eastAsia="仿宋" w:cs="仿宋_GB2312"/>
          <w:color w:val="auto"/>
          <w:highlight w:val="none"/>
        </w:rPr>
        <w:t>签订合同、</w:t>
      </w:r>
      <w:r>
        <w:rPr>
          <w:rFonts w:hint="eastAsia" w:ascii="仿宋" w:hAnsi="仿宋" w:eastAsia="仿宋" w:cs="仿宋_GB2312"/>
          <w:color w:val="auto"/>
          <w:highlight w:val="none"/>
        </w:rPr>
        <w:t>迟延交货，买方有权提出违约损失赔偿或解除合同或者予以</w:t>
      </w:r>
      <w:r>
        <w:rPr>
          <w:rFonts w:hint="eastAsia" w:ascii="仿宋" w:hAnsi="仿宋" w:eastAsia="仿宋" w:cs="仿宋_GB2312"/>
          <w:b/>
          <w:color w:val="auto"/>
          <w:highlight w:val="none"/>
        </w:rPr>
        <w:t>延期付款作为处罚。</w:t>
      </w:r>
    </w:p>
    <w:p>
      <w:pPr>
        <w:autoSpaceDE w:val="0"/>
        <w:autoSpaceDN w:val="0"/>
        <w:spacing w:line="520" w:lineRule="exact"/>
        <w:rPr>
          <w:rFonts w:ascii="仿宋" w:hAnsi="仿宋" w:eastAsia="仿宋" w:cs="仿宋_GB2312"/>
          <w:color w:val="auto"/>
          <w:highlight w:val="none"/>
        </w:rPr>
      </w:pPr>
      <w:r>
        <w:rPr>
          <w:rFonts w:ascii="仿宋" w:hAnsi="仿宋" w:eastAsia="仿宋" w:cs="TimesNewRomanPSMT"/>
          <w:color w:val="auto"/>
          <w:highlight w:val="none"/>
        </w:rPr>
        <w:t>7.2</w:t>
      </w:r>
      <w:r>
        <w:rPr>
          <w:rFonts w:hint="eastAsia" w:ascii="仿宋" w:hAnsi="仿宋" w:eastAsia="仿宋" w:cs="仿宋_GB2312"/>
          <w:color w:val="auto"/>
          <w:highlight w:val="none"/>
        </w:rPr>
        <w:t>在履行合同过程中，如果卖方遇到不能按时交货和提供服务的情况，应及时以书面形式将不能按时交货的理由、预期延误时间通知买方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使用单位。买方</w:t>
      </w:r>
      <w:r>
        <w:rPr>
          <w:rFonts w:ascii="仿宋" w:hAnsi="仿宋" w:eastAsia="仿宋" w:cs="仿宋_GB2312"/>
          <w:color w:val="auto"/>
          <w:highlight w:val="none"/>
        </w:rPr>
        <w:t>/</w:t>
      </w:r>
      <w:r>
        <w:rPr>
          <w:rFonts w:hint="eastAsia" w:ascii="仿宋" w:hAnsi="仿宋" w:eastAsia="仿宋" w:cs="仿宋_GB2312"/>
          <w:color w:val="auto"/>
          <w:highlight w:val="none"/>
        </w:rPr>
        <w:t>使用单位收到卖方通知后，认为其理由正当的，可酌情延长交货时间。</w:t>
      </w:r>
    </w:p>
    <w:p>
      <w:pPr>
        <w:autoSpaceDE w:val="0"/>
        <w:autoSpaceDN w:val="0"/>
        <w:spacing w:line="520" w:lineRule="exact"/>
        <w:rPr>
          <w:rFonts w:ascii="仿宋" w:hAnsi="仿宋" w:eastAsia="仿宋" w:cs="仿宋_GB2312"/>
          <w:b/>
          <w:bCs/>
          <w:color w:val="auto"/>
          <w:highlight w:val="none"/>
        </w:rPr>
      </w:pPr>
      <w:r>
        <w:rPr>
          <w:rFonts w:ascii="仿宋" w:hAnsi="仿宋" w:eastAsia="仿宋" w:cs="TimesNewRomanPS-BoldMT"/>
          <w:b/>
          <w:bCs/>
          <w:color w:val="auto"/>
          <w:highlight w:val="none"/>
        </w:rPr>
        <w:t>8</w:t>
      </w:r>
      <w:r>
        <w:rPr>
          <w:rFonts w:ascii="仿宋" w:hAnsi="仿宋" w:eastAsia="仿宋" w:cs="仿宋_GB2312"/>
          <w:b/>
          <w:bCs/>
          <w:color w:val="auto"/>
          <w:highlight w:val="none"/>
        </w:rPr>
        <w:t>.</w:t>
      </w:r>
      <w:r>
        <w:rPr>
          <w:rFonts w:hint="eastAsia" w:ascii="仿宋" w:hAnsi="仿宋" w:eastAsia="仿宋" w:cs="仿宋_GB2312"/>
          <w:b/>
          <w:bCs/>
          <w:color w:val="auto"/>
          <w:highlight w:val="none"/>
        </w:rPr>
        <w:t>不可抗力</w:t>
      </w:r>
    </w:p>
    <w:p>
      <w:pPr>
        <w:autoSpaceDE w:val="0"/>
        <w:autoSpaceDN w:val="0"/>
        <w:spacing w:line="520" w:lineRule="exact"/>
        <w:ind w:left="315" w:hanging="315" w:hangingChars="150"/>
        <w:rPr>
          <w:rFonts w:ascii="仿宋" w:hAnsi="仿宋" w:eastAsia="仿宋" w:cs="仿宋_GB2312"/>
          <w:color w:val="auto"/>
          <w:highlight w:val="none"/>
        </w:rPr>
      </w:pPr>
      <w:r>
        <w:rPr>
          <w:rFonts w:ascii="仿宋" w:hAnsi="仿宋" w:eastAsia="仿宋" w:cs="TimesNewRomanPSMT"/>
          <w:color w:val="auto"/>
          <w:highlight w:val="none"/>
        </w:rPr>
        <w:t xml:space="preserve">8.1 </w:t>
      </w:r>
      <w:r>
        <w:rPr>
          <w:rFonts w:hint="eastAsia" w:ascii="仿宋" w:hAnsi="仿宋" w:eastAsia="仿宋" w:cs="仿宋_GB2312"/>
          <w:color w:val="auto"/>
          <w:highlight w:val="none"/>
        </w:rPr>
        <w:t>如果双方中任何一方遭遇法律规定的不可抗力，致使合同履行受阻时，履行合同的期限应予延长，延长的期限应相当于不可抗力所影响的时间。</w:t>
      </w:r>
    </w:p>
    <w:p>
      <w:pPr>
        <w:autoSpaceDE w:val="0"/>
        <w:autoSpaceDN w:val="0"/>
        <w:spacing w:line="520" w:lineRule="exact"/>
        <w:ind w:left="315" w:hanging="315" w:hangingChars="150"/>
        <w:rPr>
          <w:rFonts w:ascii="仿宋" w:hAnsi="仿宋" w:eastAsia="仿宋" w:cs="仿宋_GB2312"/>
          <w:color w:val="auto"/>
          <w:highlight w:val="none"/>
        </w:rPr>
      </w:pPr>
      <w:r>
        <w:rPr>
          <w:rFonts w:ascii="仿宋" w:hAnsi="仿宋" w:eastAsia="仿宋" w:cs="TimesNewRomanPSMT"/>
          <w:color w:val="auto"/>
          <w:highlight w:val="none"/>
        </w:rPr>
        <w:t xml:space="preserve">8.2 </w:t>
      </w:r>
      <w:r>
        <w:rPr>
          <w:rFonts w:hint="eastAsia" w:ascii="仿宋" w:hAnsi="仿宋" w:eastAsia="仿宋" w:cs="仿宋_GB2312"/>
          <w:color w:val="auto"/>
          <w:highlight w:val="none"/>
        </w:rPr>
        <w:t>受事故影响的一方应在不可抗力的事故发生后尽快书面形式通知另一方，并在事故发生后，将有关部门出具的证明文件送达另一方。</w:t>
      </w:r>
    </w:p>
    <w:p>
      <w:pPr>
        <w:autoSpaceDE w:val="0"/>
        <w:autoSpaceDN w:val="0"/>
        <w:spacing w:line="520" w:lineRule="exact"/>
        <w:ind w:left="420" w:hanging="420" w:hangingChars="200"/>
        <w:rPr>
          <w:rFonts w:ascii="仿宋" w:hAnsi="仿宋" w:eastAsia="仿宋" w:cs="仿宋_GB2312"/>
          <w:color w:val="auto"/>
          <w:highlight w:val="none"/>
        </w:rPr>
      </w:pPr>
      <w:r>
        <w:rPr>
          <w:rFonts w:ascii="仿宋" w:hAnsi="仿宋" w:eastAsia="仿宋" w:cs="TimesNewRomanPSMT"/>
          <w:color w:val="auto"/>
          <w:highlight w:val="none"/>
        </w:rPr>
        <w:t xml:space="preserve">8.3 </w:t>
      </w:r>
      <w:r>
        <w:rPr>
          <w:rFonts w:hint="eastAsia" w:ascii="仿宋" w:hAnsi="仿宋" w:eastAsia="仿宋" w:cs="仿宋_GB2312"/>
          <w:color w:val="auto"/>
          <w:highlight w:val="none"/>
        </w:rPr>
        <w:t>不可抗力使合同的某些内容有变更必要的，双方应通过协商达成进一步履行合同的协议，因不可抗力致使合同不能履行的，合同终止。</w:t>
      </w:r>
    </w:p>
    <w:p>
      <w:pPr>
        <w:autoSpaceDE w:val="0"/>
        <w:autoSpaceDN w:val="0"/>
        <w:spacing w:line="520" w:lineRule="exact"/>
        <w:rPr>
          <w:rFonts w:ascii="仿宋" w:hAnsi="仿宋" w:eastAsia="仿宋" w:cs="FangSong_GB2312,Bold"/>
          <w:b/>
          <w:bCs/>
          <w:color w:val="auto"/>
          <w:highlight w:val="none"/>
        </w:rPr>
      </w:pPr>
      <w:r>
        <w:rPr>
          <w:rFonts w:ascii="仿宋" w:hAnsi="仿宋" w:eastAsia="仿宋" w:cs="TimesNewRomanPS-BoldMT"/>
          <w:b/>
          <w:bCs/>
          <w:color w:val="auto"/>
          <w:highlight w:val="none"/>
        </w:rPr>
        <w:t>9</w:t>
      </w:r>
      <w:r>
        <w:rPr>
          <w:rFonts w:ascii="仿宋" w:hAnsi="仿宋" w:eastAsia="仿宋" w:cs="FangSong_GB2312,Bold"/>
          <w:b/>
          <w:bCs/>
          <w:color w:val="auto"/>
          <w:highlight w:val="none"/>
        </w:rPr>
        <w:t>.</w:t>
      </w:r>
      <w:r>
        <w:rPr>
          <w:rFonts w:hint="eastAsia" w:ascii="仿宋" w:hAnsi="仿宋" w:eastAsia="仿宋" w:cs="FangSong_GB2312,Bold"/>
          <w:b/>
          <w:bCs/>
          <w:color w:val="auto"/>
          <w:highlight w:val="none"/>
        </w:rPr>
        <w:t>合同价款</w:t>
      </w:r>
    </w:p>
    <w:p>
      <w:pPr>
        <w:autoSpaceDE w:val="0"/>
        <w:autoSpaceDN w:val="0"/>
        <w:spacing w:line="520" w:lineRule="exact"/>
        <w:ind w:firstLine="315" w:firstLineChars="150"/>
        <w:rPr>
          <w:rFonts w:ascii="仿宋" w:hAnsi="仿宋" w:eastAsia="仿宋" w:cs="仿宋_GB2312"/>
          <w:color w:val="auto"/>
          <w:highlight w:val="none"/>
        </w:rPr>
      </w:pPr>
      <w:r>
        <w:rPr>
          <w:rFonts w:ascii="仿宋" w:hAnsi="仿宋" w:eastAsia="仿宋" w:cs="仿宋_GB2312"/>
          <w:color w:val="auto"/>
          <w:highlight w:val="none"/>
        </w:rPr>
        <w:t>9.1</w:t>
      </w:r>
      <w:r>
        <w:rPr>
          <w:rFonts w:hint="eastAsia" w:ascii="仿宋" w:hAnsi="仿宋" w:eastAsia="仿宋" w:cs="仿宋_GB2312"/>
          <w:color w:val="auto"/>
          <w:highlight w:val="none"/>
        </w:rPr>
        <w:t>本合同金额为</w:t>
      </w:r>
      <w:r>
        <w:rPr>
          <w:rFonts w:hint="eastAsia" w:ascii="仿宋" w:hAnsi="仿宋" w:eastAsia="仿宋" w:cs="TimesNewRomanPSMT"/>
          <w:b/>
          <w:i/>
          <w:color w:val="auto"/>
          <w:highlight w:val="none"/>
          <w:u w:val="wave"/>
        </w:rPr>
        <w:t>填写中标</w:t>
      </w:r>
      <w:r>
        <w:rPr>
          <w:rFonts w:ascii="仿宋" w:hAnsi="仿宋" w:eastAsia="仿宋" w:cs="TimesNewRomanPSMT"/>
          <w:b/>
          <w:i/>
          <w:color w:val="auto"/>
          <w:highlight w:val="none"/>
          <w:u w:val="wave"/>
        </w:rPr>
        <w:t>/</w:t>
      </w:r>
      <w:r>
        <w:rPr>
          <w:rFonts w:hint="eastAsia" w:ascii="仿宋" w:hAnsi="仿宋" w:eastAsia="仿宋" w:cs="TimesNewRomanPSMT"/>
          <w:b/>
          <w:i/>
          <w:color w:val="auto"/>
          <w:highlight w:val="none"/>
          <w:u w:val="wave"/>
        </w:rPr>
        <w:t>成交金额</w:t>
      </w:r>
      <w:r>
        <w:rPr>
          <w:rFonts w:hint="eastAsia" w:ascii="仿宋" w:hAnsi="仿宋" w:eastAsia="仿宋" w:cs="仿宋_GB2312"/>
          <w:color w:val="auto"/>
          <w:highlight w:val="none"/>
        </w:rPr>
        <w:t>元人民币。</w:t>
      </w:r>
    </w:p>
    <w:p>
      <w:pPr>
        <w:autoSpaceDE w:val="0"/>
        <w:autoSpaceDN w:val="0"/>
        <w:spacing w:line="520" w:lineRule="exact"/>
        <w:ind w:firstLine="315" w:firstLineChars="150"/>
        <w:rPr>
          <w:rFonts w:ascii="仿宋" w:hAnsi="仿宋" w:eastAsia="仿宋" w:cs="仿宋_GB2312"/>
          <w:color w:val="auto"/>
          <w:highlight w:val="none"/>
        </w:rPr>
      </w:pPr>
    </w:p>
    <w:p>
      <w:pPr>
        <w:autoSpaceDE w:val="0"/>
        <w:autoSpaceDN w:val="0"/>
        <w:spacing w:line="520" w:lineRule="exact"/>
        <w:rPr>
          <w:rFonts w:ascii="仿宋" w:hAnsi="仿宋" w:eastAsia="仿宋" w:cs="仿宋_GB2312"/>
          <w:b/>
          <w:color w:val="auto"/>
          <w:highlight w:val="none"/>
        </w:rPr>
      </w:pPr>
      <w:r>
        <w:rPr>
          <w:rFonts w:hint="eastAsia" w:ascii="仿宋" w:hAnsi="仿宋" w:eastAsia="仿宋" w:cs="仿宋_GB2312"/>
          <w:b/>
          <w:color w:val="auto"/>
          <w:highlight w:val="none"/>
        </w:rPr>
        <w:t>10.履约</w:t>
      </w:r>
      <w:r>
        <w:rPr>
          <w:rFonts w:ascii="仿宋" w:hAnsi="仿宋" w:eastAsia="仿宋" w:cs="仿宋_GB2312"/>
          <w:b/>
          <w:color w:val="auto"/>
          <w:highlight w:val="none"/>
        </w:rPr>
        <w:t>保证金</w:t>
      </w:r>
    </w:p>
    <w:p>
      <w:pPr>
        <w:autoSpaceDE w:val="0"/>
        <w:autoSpaceDN w:val="0"/>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10.1本</w:t>
      </w:r>
      <w:r>
        <w:rPr>
          <w:rFonts w:ascii="仿宋" w:hAnsi="仿宋" w:eastAsia="仿宋" w:cs="仿宋_GB2312"/>
          <w:color w:val="auto"/>
          <w:highlight w:val="none"/>
        </w:rPr>
        <w:t>项目缴纳的履约保证金</w:t>
      </w:r>
      <w:r>
        <w:rPr>
          <w:rFonts w:hint="eastAsia" w:ascii="仿宋" w:hAnsi="仿宋" w:eastAsia="仿宋" w:cs="仿宋_GB2312"/>
          <w:color w:val="auto"/>
          <w:highlight w:val="none"/>
        </w:rPr>
        <w:t>为</w:t>
      </w:r>
      <w:r>
        <w:rPr>
          <w:rFonts w:ascii="仿宋" w:hAnsi="仿宋" w:eastAsia="仿宋" w:cs="仿宋_GB2312"/>
          <w:color w:val="auto"/>
          <w:highlight w:val="none"/>
        </w:rPr>
        <w:t>：</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元人民币。</w:t>
      </w:r>
    </w:p>
    <w:p>
      <w:pPr>
        <w:autoSpaceDE w:val="0"/>
        <w:autoSpaceDN w:val="0"/>
        <w:spacing w:line="520" w:lineRule="exact"/>
        <w:rPr>
          <w:rFonts w:ascii="仿宋" w:hAnsi="仿宋" w:eastAsia="仿宋" w:cs="仿宋_GB2312"/>
          <w:color w:val="auto"/>
          <w:highlight w:val="none"/>
        </w:rPr>
      </w:pPr>
      <w:r>
        <w:rPr>
          <w:rFonts w:ascii="仿宋" w:hAnsi="仿宋" w:eastAsia="仿宋" w:cs="仿宋_GB2312"/>
          <w:color w:val="auto"/>
          <w:highlight w:val="none"/>
        </w:rPr>
        <w:t>10.2</w:t>
      </w:r>
      <w:r>
        <w:rPr>
          <w:rFonts w:hint="eastAsia" w:ascii="仿宋" w:hAnsi="仿宋" w:eastAsia="仿宋" w:cs="仿宋_GB2312"/>
          <w:color w:val="auto"/>
          <w:highlight w:val="none"/>
        </w:rPr>
        <w:t>履约保证金用于补偿因成交供应商不能完成其合同义务而使采购人蒙受的损失。履约保证金的退回：从该项目验收之日起算，质保期结束之后供应商可以申请退回履约保证金。</w:t>
      </w:r>
    </w:p>
    <w:p>
      <w:pPr>
        <w:autoSpaceDE w:val="0"/>
        <w:autoSpaceDN w:val="0"/>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10.3履约保证金的缴款账户（户名：   、账号：  、开户行：   ,备注栏中必须注明供应商的统一社会信用代码）</w:t>
      </w:r>
    </w:p>
    <w:p>
      <w:pPr>
        <w:autoSpaceDE w:val="0"/>
        <w:autoSpaceDN w:val="0"/>
        <w:spacing w:line="520" w:lineRule="exact"/>
        <w:rPr>
          <w:rFonts w:ascii="仿宋" w:hAnsi="仿宋" w:eastAsia="仿宋" w:cs="仿宋_GB2312"/>
          <w:b/>
          <w:bCs/>
          <w:color w:val="auto"/>
          <w:highlight w:val="none"/>
        </w:rPr>
      </w:pPr>
      <w:r>
        <w:rPr>
          <w:rFonts w:ascii="仿宋" w:hAnsi="仿宋" w:eastAsia="仿宋" w:cs="TimesNewRomanPS-BoldMT"/>
          <w:b/>
          <w:bCs/>
          <w:color w:val="auto"/>
          <w:highlight w:val="none"/>
        </w:rPr>
        <w:t>11</w:t>
      </w:r>
      <w:r>
        <w:rPr>
          <w:rFonts w:ascii="仿宋" w:hAnsi="仿宋" w:eastAsia="仿宋" w:cs="仿宋_GB2312"/>
          <w:b/>
          <w:bCs/>
          <w:color w:val="auto"/>
          <w:highlight w:val="none"/>
        </w:rPr>
        <w:t>.</w:t>
      </w:r>
      <w:r>
        <w:rPr>
          <w:rFonts w:hint="eastAsia" w:ascii="仿宋" w:hAnsi="仿宋" w:eastAsia="仿宋" w:cs="仿宋_GB2312"/>
          <w:b/>
          <w:bCs/>
          <w:color w:val="auto"/>
          <w:highlight w:val="none"/>
        </w:rPr>
        <w:t>合同生效和其它</w:t>
      </w:r>
    </w:p>
    <w:p>
      <w:pPr>
        <w:autoSpaceDE w:val="0"/>
        <w:autoSpaceDN w:val="0"/>
        <w:spacing w:line="520" w:lineRule="exact"/>
        <w:ind w:left="211" w:hanging="211" w:hangingChars="100"/>
        <w:rPr>
          <w:rFonts w:ascii="仿宋" w:hAnsi="仿宋" w:eastAsia="仿宋" w:cs="仿宋_GB2312"/>
          <w:b/>
          <w:color w:val="auto"/>
          <w:highlight w:val="none"/>
        </w:rPr>
      </w:pPr>
      <w:r>
        <w:rPr>
          <w:rFonts w:hint="eastAsia" w:ascii="仿宋" w:hAnsi="仿宋" w:eastAsia="仿宋" w:cs="仿宋_GB2312"/>
          <w:b/>
          <w:color w:val="auto"/>
          <w:highlight w:val="none"/>
        </w:rPr>
        <w:t>1</w:t>
      </w:r>
      <w:r>
        <w:rPr>
          <w:rFonts w:ascii="仿宋" w:hAnsi="仿宋" w:eastAsia="仿宋" w:cs="仿宋_GB2312"/>
          <w:b/>
          <w:color w:val="auto"/>
          <w:highlight w:val="none"/>
        </w:rPr>
        <w:t>1</w:t>
      </w:r>
      <w:r>
        <w:rPr>
          <w:rFonts w:hint="eastAsia" w:ascii="仿宋" w:hAnsi="仿宋" w:eastAsia="仿宋" w:cs="仿宋_GB2312"/>
          <w:b/>
          <w:color w:val="auto"/>
          <w:highlight w:val="none"/>
        </w:rPr>
        <w:t>.1合同内容的确定应以招标/采购文件、投标/响应文件为基础，不得违背其实质性内容。</w:t>
      </w:r>
    </w:p>
    <w:p>
      <w:pPr>
        <w:autoSpaceDE w:val="0"/>
        <w:autoSpaceDN w:val="0"/>
        <w:spacing w:line="520" w:lineRule="exact"/>
        <w:ind w:left="211" w:hanging="211" w:hangingChars="100"/>
        <w:rPr>
          <w:rFonts w:ascii="仿宋" w:hAnsi="仿宋" w:eastAsia="仿宋" w:cs="仿宋_GB2312"/>
          <w:b/>
          <w:color w:val="auto"/>
          <w:highlight w:val="none"/>
        </w:rPr>
      </w:pPr>
      <w:r>
        <w:rPr>
          <w:rFonts w:hint="eastAsia" w:ascii="仿宋" w:hAnsi="仿宋" w:eastAsia="仿宋" w:cs="仿宋_GB2312"/>
          <w:b/>
          <w:color w:val="auto"/>
          <w:highlight w:val="none"/>
        </w:rPr>
        <w:t>1</w:t>
      </w:r>
      <w:r>
        <w:rPr>
          <w:rFonts w:ascii="仿宋" w:hAnsi="仿宋" w:eastAsia="仿宋" w:cs="仿宋_GB2312"/>
          <w:b/>
          <w:color w:val="auto"/>
          <w:highlight w:val="none"/>
        </w:rPr>
        <w:t>1</w:t>
      </w:r>
      <w:r>
        <w:rPr>
          <w:rFonts w:hint="eastAsia" w:ascii="仿宋" w:hAnsi="仿宋" w:eastAsia="仿宋" w:cs="仿宋_GB2312"/>
          <w:b/>
          <w:color w:val="auto"/>
          <w:highlight w:val="none"/>
        </w:rPr>
        <w:t>.2合同由卖方和使用单位双方签字、加盖单位公章之后，可以开始执行。</w:t>
      </w:r>
    </w:p>
    <w:p>
      <w:pPr>
        <w:autoSpaceDE w:val="0"/>
        <w:autoSpaceDN w:val="0"/>
        <w:spacing w:line="520" w:lineRule="exact"/>
        <w:ind w:left="211" w:hanging="211" w:hangingChars="100"/>
        <w:rPr>
          <w:rFonts w:ascii="仿宋" w:hAnsi="仿宋" w:eastAsia="仿宋" w:cs="仿宋_GB2312"/>
          <w:b/>
          <w:color w:val="auto"/>
          <w:highlight w:val="none"/>
        </w:rPr>
      </w:pPr>
      <w:r>
        <w:rPr>
          <w:rFonts w:hint="eastAsia" w:ascii="仿宋" w:hAnsi="仿宋" w:eastAsia="仿宋" w:cs="仿宋_GB2312"/>
          <w:b/>
          <w:color w:val="auto"/>
          <w:highlight w:val="none"/>
        </w:rPr>
        <w:t>1</w:t>
      </w:r>
      <w:r>
        <w:rPr>
          <w:rFonts w:ascii="仿宋" w:hAnsi="仿宋" w:eastAsia="仿宋" w:cs="仿宋_GB2312"/>
          <w:b/>
          <w:color w:val="auto"/>
          <w:highlight w:val="none"/>
        </w:rPr>
        <w:t>1</w:t>
      </w:r>
      <w:r>
        <w:rPr>
          <w:rFonts w:hint="eastAsia" w:ascii="仿宋" w:hAnsi="仿宋" w:eastAsia="仿宋" w:cs="仿宋_GB2312"/>
          <w:b/>
          <w:color w:val="auto"/>
          <w:highlight w:val="none"/>
        </w:rPr>
        <w:t>.</w:t>
      </w:r>
      <w:r>
        <w:rPr>
          <w:rFonts w:ascii="仿宋" w:hAnsi="仿宋" w:eastAsia="仿宋" w:cs="仿宋_GB2312"/>
          <w:b/>
          <w:color w:val="auto"/>
          <w:highlight w:val="none"/>
        </w:rPr>
        <w:t>3</w:t>
      </w:r>
      <w:r>
        <w:rPr>
          <w:rFonts w:hint="eastAsia" w:ascii="仿宋" w:hAnsi="仿宋" w:eastAsia="仿宋" w:cs="仿宋_GB2312"/>
          <w:b/>
          <w:color w:val="auto"/>
          <w:highlight w:val="none"/>
        </w:rPr>
        <w:t>本合同一式4份，具有同等法律效力。卖方2份，买方执1份，招标代理执1份。</w:t>
      </w:r>
      <w:r>
        <w:rPr>
          <w:rFonts w:ascii="仿宋" w:hAnsi="仿宋" w:eastAsia="仿宋" w:cs="仿宋_GB2312"/>
          <w:b/>
          <w:color w:val="auto"/>
          <w:highlight w:val="none"/>
        </w:rPr>
        <w:t xml:space="preserve">   </w:t>
      </w:r>
    </w:p>
    <w:p>
      <w:pPr>
        <w:autoSpaceDE w:val="0"/>
        <w:autoSpaceDN w:val="0"/>
        <w:spacing w:line="520" w:lineRule="exact"/>
        <w:ind w:left="210" w:hanging="210" w:hangingChars="100"/>
        <w:rPr>
          <w:rFonts w:ascii="仿宋" w:hAnsi="仿宋" w:eastAsia="仿宋" w:cs="仿宋_GB2312"/>
          <w:color w:val="auto"/>
          <w:highlight w:val="none"/>
        </w:rPr>
      </w:pPr>
      <w:r>
        <w:rPr>
          <w:rFonts w:ascii="仿宋" w:hAnsi="仿宋" w:eastAsia="仿宋" w:cs="仿宋_GB2312"/>
          <w:color w:val="auto"/>
          <w:highlight w:val="none"/>
        </w:rPr>
        <w:t>11.4</w:t>
      </w:r>
      <w:r>
        <w:rPr>
          <w:rFonts w:hint="eastAsia" w:ascii="仿宋" w:hAnsi="仿宋" w:eastAsia="仿宋" w:cs="仿宋_GB2312"/>
          <w:color w:val="auto"/>
          <w:highlight w:val="none"/>
        </w:rPr>
        <w:t>合同未尽事宜,经双方协商后可签订补充协议,所签订的补充协议与合同具有同等的法律效力。</w:t>
      </w:r>
    </w:p>
    <w:p>
      <w:pPr>
        <w:spacing w:line="520" w:lineRule="exact"/>
        <w:rPr>
          <w:rFonts w:ascii="仿宋" w:hAnsi="仿宋" w:eastAsia="仿宋" w:cs="仿宋_GB2312"/>
          <w:b/>
          <w:color w:val="auto"/>
          <w:highlight w:val="none"/>
        </w:rPr>
      </w:pPr>
      <w:r>
        <w:rPr>
          <w:rFonts w:hint="eastAsia" w:ascii="仿宋" w:hAnsi="仿宋" w:eastAsia="仿宋" w:cs="仿宋_GB2312"/>
          <w:b/>
          <w:color w:val="auto"/>
          <w:highlight w:val="none"/>
        </w:rPr>
        <w:t>1</w:t>
      </w:r>
      <w:r>
        <w:rPr>
          <w:rFonts w:ascii="仿宋" w:hAnsi="仿宋" w:eastAsia="仿宋" w:cs="仿宋_GB2312"/>
          <w:b/>
          <w:color w:val="auto"/>
          <w:highlight w:val="none"/>
        </w:rPr>
        <w:t>2</w:t>
      </w:r>
      <w:r>
        <w:rPr>
          <w:rFonts w:hint="eastAsia" w:ascii="仿宋" w:hAnsi="仿宋" w:eastAsia="仿宋" w:cs="仿宋_GB2312"/>
          <w:b/>
          <w:color w:val="auto"/>
          <w:highlight w:val="none"/>
        </w:rPr>
        <w:t>、合同</w:t>
      </w:r>
      <w:r>
        <w:rPr>
          <w:rFonts w:ascii="仿宋" w:hAnsi="仿宋" w:eastAsia="仿宋" w:cs="仿宋_GB2312"/>
          <w:b/>
          <w:color w:val="auto"/>
          <w:highlight w:val="none"/>
        </w:rPr>
        <w:t>争议的</w:t>
      </w:r>
      <w:r>
        <w:rPr>
          <w:rFonts w:hint="eastAsia" w:ascii="仿宋" w:hAnsi="仿宋" w:eastAsia="仿宋" w:cs="仿宋_GB2312"/>
          <w:b/>
          <w:color w:val="auto"/>
          <w:highlight w:val="none"/>
        </w:rPr>
        <w:t>解决</w:t>
      </w:r>
    </w:p>
    <w:p>
      <w:pPr>
        <w:spacing w:line="520" w:lineRule="exact"/>
        <w:rPr>
          <w:rFonts w:ascii="仿宋" w:hAnsi="仿宋" w:eastAsia="仿宋" w:cs="仿宋_GB2312"/>
          <w:color w:val="auto"/>
          <w:highlight w:val="none"/>
        </w:rPr>
      </w:pPr>
      <w:r>
        <w:rPr>
          <w:rFonts w:ascii="仿宋" w:hAnsi="仿宋" w:eastAsia="仿宋" w:cs="仿宋_GB2312"/>
          <w:color w:val="auto"/>
          <w:highlight w:val="none"/>
        </w:rPr>
        <w:t>12</w:t>
      </w:r>
      <w:r>
        <w:rPr>
          <w:rFonts w:hint="eastAsia" w:ascii="仿宋" w:hAnsi="仿宋" w:eastAsia="仿宋" w:cs="仿宋_GB2312"/>
          <w:color w:val="auto"/>
          <w:highlight w:val="none"/>
        </w:rPr>
        <w:t>.1因合同履行中发生的争议，合同当事人双方可通过协商解决，解决在执行合同过程中所发生的或与合同有关的一切争端。如从协商开始后十日内仍不能解决，可以向财政部门提请调解。</w:t>
      </w:r>
    </w:p>
    <w:p>
      <w:pPr>
        <w:spacing w:line="520" w:lineRule="exact"/>
        <w:rPr>
          <w:rFonts w:ascii="仿宋" w:hAnsi="仿宋" w:eastAsia="仿宋" w:cs="仿宋_GB2312"/>
          <w:color w:val="auto"/>
          <w:highlight w:val="none"/>
        </w:rPr>
      </w:pPr>
      <w:r>
        <w:rPr>
          <w:rFonts w:ascii="仿宋" w:hAnsi="仿宋" w:eastAsia="仿宋" w:cs="仿宋_GB2312"/>
          <w:color w:val="auto"/>
          <w:highlight w:val="none"/>
        </w:rPr>
        <w:t>12</w:t>
      </w:r>
      <w:r>
        <w:rPr>
          <w:rFonts w:hint="eastAsia" w:ascii="仿宋" w:hAnsi="仿宋" w:eastAsia="仿宋" w:cs="仿宋_GB2312"/>
          <w:color w:val="auto"/>
          <w:highlight w:val="none"/>
        </w:rPr>
        <w:t>.2 调解不成可以按下列方式之一提起仲裁或诉讼：</w:t>
      </w:r>
    </w:p>
    <w:p>
      <w:pPr>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（1）向甲方所在地仲裁机构提起仲裁；</w:t>
      </w:r>
    </w:p>
    <w:p>
      <w:pPr>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（2）向甲方所在地人民法院提起诉讼。</w:t>
      </w:r>
    </w:p>
    <w:p>
      <w:pPr>
        <w:spacing w:line="520" w:lineRule="exact"/>
        <w:rPr>
          <w:rFonts w:ascii="仿宋" w:hAnsi="仿宋" w:eastAsia="仿宋" w:cs="仿宋_GB2312"/>
          <w:color w:val="auto"/>
          <w:highlight w:val="none"/>
        </w:rPr>
      </w:pPr>
      <w:r>
        <w:rPr>
          <w:rFonts w:ascii="仿宋" w:hAnsi="仿宋" w:eastAsia="仿宋" w:cs="仿宋_GB2312"/>
          <w:color w:val="auto"/>
          <w:highlight w:val="none"/>
        </w:rPr>
        <w:t>12</w:t>
      </w:r>
      <w:r>
        <w:rPr>
          <w:rFonts w:hint="eastAsia" w:ascii="仿宋" w:hAnsi="仿宋" w:eastAsia="仿宋" w:cs="仿宋_GB2312"/>
          <w:color w:val="auto"/>
          <w:highlight w:val="none"/>
        </w:rPr>
        <w:t>.3 如仲裁或诉讼事项不影响合同其它部分的履行，则在仲裁或诉讼期间，除正在进行仲裁或诉讼的部分外，合同的其它部分应继续执行。</w:t>
      </w:r>
    </w:p>
    <w:p>
      <w:pPr>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1</w:t>
      </w:r>
      <w:r>
        <w:rPr>
          <w:rFonts w:ascii="仿宋" w:hAnsi="仿宋" w:eastAsia="仿宋" w:cs="仿宋_GB2312"/>
          <w:color w:val="auto"/>
          <w:highlight w:val="none"/>
        </w:rPr>
        <w:t>2</w:t>
      </w:r>
      <w:r>
        <w:rPr>
          <w:rFonts w:hint="eastAsia" w:ascii="仿宋" w:hAnsi="仿宋" w:eastAsia="仿宋" w:cs="仿宋_GB2312"/>
          <w:color w:val="auto"/>
          <w:highlight w:val="none"/>
        </w:rPr>
        <w:t>.4仲裁裁决应为最终裁决，当事人一方在规定时间内不履行仲裁机构裁决的，另一方可以申请人民法院强制执行。</w:t>
      </w:r>
    </w:p>
    <w:p>
      <w:pPr>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1</w:t>
      </w:r>
      <w:r>
        <w:rPr>
          <w:rFonts w:ascii="仿宋" w:hAnsi="仿宋" w:eastAsia="仿宋" w:cs="仿宋_GB2312"/>
          <w:color w:val="auto"/>
          <w:highlight w:val="none"/>
        </w:rPr>
        <w:t>2</w:t>
      </w:r>
      <w:r>
        <w:rPr>
          <w:rFonts w:hint="eastAsia" w:ascii="仿宋" w:hAnsi="仿宋" w:eastAsia="仿宋" w:cs="仿宋_GB2312"/>
          <w:color w:val="auto"/>
          <w:highlight w:val="none"/>
        </w:rPr>
        <w:t>.5仲裁费用和诉讼费用除仲裁机构另有裁决外，应由败诉方负担</w:t>
      </w:r>
    </w:p>
    <w:p>
      <w:pPr>
        <w:spacing w:line="520" w:lineRule="exact"/>
        <w:rPr>
          <w:rFonts w:ascii="仿宋" w:hAnsi="仿宋" w:eastAsia="仿宋" w:cs="仿宋_GB2312"/>
          <w:color w:val="auto"/>
          <w:highlight w:val="none"/>
        </w:rPr>
      </w:pPr>
    </w:p>
    <w:p>
      <w:pPr>
        <w:autoSpaceDE w:val="0"/>
        <w:autoSpaceDN w:val="0"/>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买方：（必填）</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w:t>
      </w:r>
      <w:r>
        <w:rPr>
          <w:rFonts w:ascii="仿宋" w:hAnsi="仿宋" w:eastAsia="仿宋" w:cs="仿宋_GB2312"/>
          <w:color w:val="auto"/>
          <w:highlight w:val="none"/>
        </w:rPr>
        <w:t xml:space="preserve">     </w:t>
      </w:r>
      <w:r>
        <w:rPr>
          <w:rFonts w:hint="eastAsia" w:ascii="仿宋" w:hAnsi="仿宋" w:eastAsia="仿宋" w:cs="仿宋_GB2312"/>
          <w:color w:val="auto"/>
          <w:highlight w:val="none"/>
        </w:rPr>
        <w:t xml:space="preserve">      </w:t>
      </w:r>
      <w:r>
        <w:rPr>
          <w:rFonts w:ascii="仿宋" w:hAnsi="仿宋" w:eastAsia="仿宋" w:cs="仿宋_GB2312"/>
          <w:color w:val="auto"/>
          <w:highlight w:val="none"/>
        </w:rPr>
        <w:t xml:space="preserve"> </w:t>
      </w:r>
      <w:r>
        <w:rPr>
          <w:rFonts w:hint="eastAsia" w:ascii="仿宋" w:hAnsi="仿宋" w:eastAsia="仿宋" w:cs="仿宋_GB2312"/>
          <w:color w:val="auto"/>
          <w:highlight w:val="none"/>
        </w:rPr>
        <w:t xml:space="preserve">    卖方名称：（必填）</w:t>
      </w:r>
      <w:r>
        <w:rPr>
          <w:rFonts w:hint="eastAsia" w:ascii="仿宋" w:hAnsi="仿宋" w:eastAsia="仿宋" w:cs="仿宋_GB2312"/>
          <w:color w:val="auto"/>
          <w:highlight w:val="none"/>
          <w:u w:val="wave"/>
        </w:rPr>
        <w:t xml:space="preserve"> </w:t>
      </w:r>
      <w:r>
        <w:rPr>
          <w:rFonts w:ascii="仿宋" w:hAnsi="仿宋" w:eastAsia="仿宋" w:cs="仿宋_GB2312"/>
          <w:color w:val="auto"/>
          <w:highlight w:val="none"/>
          <w:u w:val="wave"/>
        </w:rPr>
        <w:t xml:space="preserve">          </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w:t>
      </w:r>
      <w:r>
        <w:rPr>
          <w:rFonts w:ascii="仿宋" w:hAnsi="仿宋" w:eastAsia="仿宋" w:cs="仿宋_GB2312"/>
          <w:color w:val="auto"/>
          <w:highlight w:val="none"/>
        </w:rPr>
        <w:t xml:space="preserve">  </w:t>
      </w:r>
      <w:r>
        <w:rPr>
          <w:rFonts w:hint="eastAsia" w:ascii="仿宋" w:hAnsi="仿宋" w:eastAsia="仿宋" w:cs="仿宋_GB2312"/>
          <w:color w:val="auto"/>
          <w:highlight w:val="none"/>
        </w:rPr>
        <w:t xml:space="preserve">       </w:t>
      </w:r>
    </w:p>
    <w:p>
      <w:pPr>
        <w:autoSpaceDE w:val="0"/>
        <w:autoSpaceDN w:val="0"/>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买方地址：（必填）</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w:t>
      </w:r>
      <w:r>
        <w:rPr>
          <w:rFonts w:ascii="仿宋" w:hAnsi="仿宋" w:eastAsia="仿宋" w:cs="仿宋_GB2312"/>
          <w:color w:val="auto"/>
          <w:highlight w:val="none"/>
        </w:rPr>
        <w:t xml:space="preserve">    </w:t>
      </w:r>
      <w:r>
        <w:rPr>
          <w:rFonts w:hint="eastAsia" w:ascii="仿宋" w:hAnsi="仿宋" w:eastAsia="仿宋" w:cs="仿宋_GB2312"/>
          <w:color w:val="auto"/>
          <w:highlight w:val="none"/>
        </w:rPr>
        <w:t>卖方地址：（必填）</w:t>
      </w:r>
      <w:r>
        <w:rPr>
          <w:rFonts w:hint="eastAsia" w:ascii="仿宋" w:hAnsi="仿宋" w:eastAsia="仿宋" w:cs="仿宋_GB2312"/>
          <w:color w:val="auto"/>
          <w:highlight w:val="none"/>
          <w:u w:val="wave"/>
        </w:rPr>
        <w:t xml:space="preserve">            </w:t>
      </w:r>
      <w:r>
        <w:rPr>
          <w:rFonts w:ascii="仿宋" w:hAnsi="仿宋" w:eastAsia="仿宋" w:cs="仿宋_GB2312"/>
          <w:color w:val="auto"/>
          <w:highlight w:val="none"/>
          <w:u w:val="wave"/>
        </w:rPr>
        <w:t xml:space="preserve">     </w:t>
      </w:r>
      <w:r>
        <w:rPr>
          <w:rFonts w:ascii="仿宋" w:hAnsi="仿宋" w:eastAsia="仿宋" w:cs="仿宋_GB2312"/>
          <w:color w:val="auto"/>
          <w:highlight w:val="none"/>
        </w:rPr>
        <w:t xml:space="preserve">               </w:t>
      </w:r>
    </w:p>
    <w:p>
      <w:pPr>
        <w:autoSpaceDE w:val="0"/>
        <w:autoSpaceDN w:val="0"/>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法人或授权代表（签字）：（必填）</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w:t>
      </w:r>
      <w:r>
        <w:rPr>
          <w:rFonts w:ascii="仿宋" w:hAnsi="仿宋" w:eastAsia="仿宋" w:cs="仿宋_GB2312"/>
          <w:color w:val="auto"/>
          <w:highlight w:val="none"/>
        </w:rPr>
        <w:t xml:space="preserve">   </w:t>
      </w:r>
      <w:r>
        <w:rPr>
          <w:rFonts w:hint="eastAsia" w:ascii="仿宋" w:hAnsi="仿宋" w:eastAsia="仿宋" w:cs="仿宋_GB2312"/>
          <w:color w:val="auto"/>
          <w:highlight w:val="none"/>
        </w:rPr>
        <w:t>授权代表（签字）：（必填）</w:t>
      </w:r>
      <w:r>
        <w:rPr>
          <w:rFonts w:hint="eastAsia" w:ascii="仿宋" w:hAnsi="仿宋" w:eastAsia="仿宋" w:cs="仿宋_GB2312"/>
          <w:color w:val="auto"/>
          <w:highlight w:val="none"/>
          <w:u w:val="wave"/>
        </w:rPr>
        <w:t xml:space="preserve">            </w:t>
      </w:r>
      <w:r>
        <w:rPr>
          <w:rFonts w:ascii="仿宋" w:hAnsi="仿宋" w:eastAsia="仿宋" w:cs="仿宋_GB2312"/>
          <w:color w:val="auto"/>
          <w:highlight w:val="none"/>
          <w:u w:val="wave"/>
        </w:rPr>
        <w:t xml:space="preserve">  </w:t>
      </w:r>
      <w:r>
        <w:rPr>
          <w:rFonts w:ascii="仿宋" w:hAnsi="仿宋" w:eastAsia="仿宋" w:cs="仿宋_GB2312"/>
          <w:color w:val="auto"/>
          <w:highlight w:val="none"/>
        </w:rPr>
        <w:t xml:space="preserve">        </w:t>
      </w:r>
    </w:p>
    <w:p>
      <w:pPr>
        <w:autoSpaceDE w:val="0"/>
        <w:autoSpaceDN w:val="0"/>
        <w:spacing w:line="520" w:lineRule="exact"/>
        <w:rPr>
          <w:rFonts w:ascii="仿宋" w:hAnsi="仿宋" w:eastAsia="仿宋" w:cs="仿宋_GB2312"/>
          <w:color w:val="auto"/>
          <w:highlight w:val="none"/>
          <w:u w:val="wave"/>
        </w:rPr>
      </w:pPr>
      <w:r>
        <w:rPr>
          <w:rFonts w:hint="eastAsia" w:ascii="仿宋" w:hAnsi="仿宋" w:eastAsia="仿宋" w:cs="仿宋_GB2312"/>
          <w:color w:val="auto"/>
          <w:highlight w:val="none"/>
        </w:rPr>
        <w:t>法人联系电话：</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w:t>
      </w:r>
      <w:r>
        <w:rPr>
          <w:rFonts w:ascii="仿宋" w:hAnsi="仿宋" w:eastAsia="仿宋" w:cs="仿宋_GB2312"/>
          <w:color w:val="auto"/>
          <w:highlight w:val="none"/>
        </w:rPr>
        <w:t xml:space="preserve">       </w:t>
      </w:r>
      <w:r>
        <w:rPr>
          <w:rFonts w:hint="eastAsia" w:ascii="仿宋" w:hAnsi="仿宋" w:eastAsia="仿宋" w:cs="仿宋_GB2312"/>
          <w:color w:val="auto"/>
          <w:highlight w:val="none"/>
        </w:rPr>
        <w:t xml:space="preserve">联系座机电话：    </w:t>
      </w:r>
      <w:r>
        <w:rPr>
          <w:rFonts w:hint="eastAsia" w:ascii="仿宋" w:hAnsi="仿宋" w:eastAsia="仿宋" w:cs="仿宋_GB2312"/>
          <w:color w:val="auto"/>
          <w:highlight w:val="none"/>
          <w:u w:val="wave"/>
        </w:rPr>
        <w:t xml:space="preserve">               </w:t>
      </w:r>
    </w:p>
    <w:p>
      <w:pPr>
        <w:autoSpaceDE w:val="0"/>
        <w:autoSpaceDN w:val="0"/>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项目经办人（签字）：（必填）</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授权代表手机电话：（必填）</w:t>
      </w:r>
      <w:r>
        <w:rPr>
          <w:rFonts w:hint="eastAsia" w:ascii="仿宋" w:hAnsi="仿宋" w:eastAsia="仿宋" w:cs="仿宋_GB2312"/>
          <w:color w:val="auto"/>
          <w:highlight w:val="none"/>
          <w:u w:val="wave"/>
        </w:rPr>
        <w:t xml:space="preserve"> </w:t>
      </w:r>
      <w:r>
        <w:rPr>
          <w:rFonts w:ascii="仿宋" w:hAnsi="仿宋" w:eastAsia="仿宋" w:cs="仿宋_GB2312"/>
          <w:color w:val="auto"/>
          <w:highlight w:val="none"/>
          <w:u w:val="wave"/>
        </w:rPr>
        <w:t xml:space="preserve">          </w:t>
      </w:r>
      <w:r>
        <w:rPr>
          <w:rFonts w:hint="eastAsia" w:ascii="仿宋" w:hAnsi="仿宋" w:eastAsia="仿宋" w:cs="仿宋_GB2312"/>
          <w:color w:val="auto"/>
          <w:highlight w:val="none"/>
          <w:u w:val="wave"/>
        </w:rPr>
        <w:br w:type="textWrapping"/>
      </w:r>
      <w:r>
        <w:rPr>
          <w:rFonts w:hint="eastAsia" w:ascii="仿宋" w:hAnsi="仿宋" w:eastAsia="仿宋" w:cs="仿宋_GB2312"/>
          <w:color w:val="auto"/>
          <w:highlight w:val="none"/>
        </w:rPr>
        <w:t>项目经办人电话：（必填）</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开户名称：（必填）</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w:t>
      </w:r>
      <w:r>
        <w:rPr>
          <w:rFonts w:ascii="仿宋" w:hAnsi="仿宋" w:eastAsia="仿宋" w:cs="仿宋_GB2312"/>
          <w:color w:val="auto"/>
          <w:highlight w:val="none"/>
        </w:rPr>
        <w:t xml:space="preserve">  </w:t>
      </w:r>
    </w:p>
    <w:p>
      <w:pPr>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使用</w:t>
      </w:r>
      <w:r>
        <w:rPr>
          <w:rFonts w:ascii="仿宋" w:hAnsi="仿宋" w:eastAsia="仿宋" w:cs="仿宋_GB2312"/>
          <w:color w:val="auto"/>
          <w:highlight w:val="none"/>
        </w:rPr>
        <w:t>单位</w:t>
      </w:r>
      <w:r>
        <w:rPr>
          <w:rFonts w:hint="eastAsia" w:ascii="仿宋" w:hAnsi="仿宋" w:eastAsia="仿宋" w:cs="仿宋_GB2312"/>
          <w:color w:val="auto"/>
          <w:highlight w:val="none"/>
        </w:rPr>
        <w:t>合同</w:t>
      </w:r>
      <w:r>
        <w:rPr>
          <w:rFonts w:ascii="仿宋" w:hAnsi="仿宋" w:eastAsia="仿宋" w:cs="仿宋_GB2312"/>
          <w:color w:val="auto"/>
          <w:highlight w:val="none"/>
        </w:rPr>
        <w:t>签订时间：</w:t>
      </w:r>
      <w:r>
        <w:rPr>
          <w:rFonts w:hint="eastAsia" w:ascii="仿宋" w:hAnsi="仿宋" w:eastAsia="仿宋" w:cs="仿宋_GB2312"/>
          <w:color w:val="auto"/>
          <w:highlight w:val="none"/>
        </w:rPr>
        <w:t>（必填）</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开户行：（必填）</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w:t>
      </w:r>
      <w:r>
        <w:rPr>
          <w:rFonts w:ascii="仿宋" w:hAnsi="仿宋" w:eastAsia="仿宋" w:cs="仿宋_GB2312"/>
          <w:color w:val="auto"/>
          <w:highlight w:val="none"/>
        </w:rPr>
        <w:t xml:space="preserve">                    </w:t>
      </w:r>
    </w:p>
    <w:p>
      <w:pPr>
        <w:spacing w:line="520" w:lineRule="exact"/>
        <w:ind w:firstLine="5145" w:firstLineChars="2450"/>
        <w:rPr>
          <w:rFonts w:ascii="仿宋" w:hAnsi="仿宋" w:eastAsia="仿宋" w:cs="仿宋_GB2312"/>
          <w:color w:val="auto"/>
          <w:highlight w:val="none"/>
        </w:rPr>
      </w:pPr>
      <w:r>
        <w:rPr>
          <w:rFonts w:hint="eastAsia" w:ascii="仿宋" w:hAnsi="仿宋" w:eastAsia="仿宋" w:cs="仿宋_GB2312"/>
          <w:color w:val="auto"/>
          <w:highlight w:val="none"/>
        </w:rPr>
        <w:t>银行账号：（必填）</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w:t>
      </w:r>
    </w:p>
    <w:p>
      <w:pPr>
        <w:spacing w:line="520" w:lineRule="exact"/>
        <w:ind w:firstLine="5145" w:firstLineChars="2450"/>
        <w:rPr>
          <w:rFonts w:ascii="仿宋" w:hAnsi="仿宋" w:eastAsia="仿宋" w:cs="仿宋_GB2312"/>
          <w:color w:val="auto"/>
          <w:highlight w:val="none"/>
        </w:rPr>
      </w:pPr>
      <w:r>
        <w:rPr>
          <w:rFonts w:hint="eastAsia" w:ascii="仿宋" w:hAnsi="仿宋" w:eastAsia="仿宋" w:cs="仿宋_GB2312"/>
          <w:color w:val="auto"/>
          <w:highlight w:val="none"/>
        </w:rPr>
        <w:t>卖方合同签订时间：（必填）</w:t>
      </w:r>
      <w:r>
        <w:rPr>
          <w:rFonts w:hint="eastAsia" w:ascii="仿宋" w:hAnsi="仿宋" w:eastAsia="仿宋" w:cs="仿宋_GB2312"/>
          <w:color w:val="auto"/>
          <w:highlight w:val="none"/>
          <w:u w:val="wave"/>
        </w:rPr>
        <w:t xml:space="preserve">              </w:t>
      </w:r>
      <w:r>
        <w:rPr>
          <w:rFonts w:hint="eastAsia" w:ascii="仿宋" w:hAnsi="仿宋" w:eastAsia="仿宋" w:cs="仿宋_GB2312"/>
          <w:color w:val="auto"/>
          <w:highlight w:val="none"/>
        </w:rPr>
        <w:t xml:space="preserve">           </w:t>
      </w:r>
      <w:r>
        <w:rPr>
          <w:rFonts w:ascii="仿宋" w:hAnsi="仿宋" w:eastAsia="仿宋" w:cs="仿宋_GB2312"/>
          <w:color w:val="auto"/>
          <w:highlight w:val="none"/>
        </w:rPr>
        <w:t xml:space="preserve">            </w:t>
      </w:r>
    </w:p>
    <w:p>
      <w:pPr>
        <w:spacing w:line="520" w:lineRule="exact"/>
        <w:rPr>
          <w:rFonts w:ascii="仿宋" w:hAnsi="仿宋" w:eastAsia="仿宋" w:cs="仿宋_GB2312"/>
          <w:color w:val="auto"/>
          <w:highlight w:val="none"/>
        </w:rPr>
      </w:pPr>
    </w:p>
    <w:p>
      <w:pPr>
        <w:spacing w:line="520" w:lineRule="exact"/>
        <w:ind w:firstLine="1050" w:firstLineChars="500"/>
        <w:rPr>
          <w:rFonts w:ascii="仿宋" w:hAnsi="仿宋" w:eastAsia="仿宋" w:cs="仿宋_GB2312"/>
          <w:color w:val="auto"/>
          <w:highlight w:val="none"/>
        </w:rPr>
      </w:pPr>
    </w:p>
    <w:p>
      <w:pPr>
        <w:spacing w:line="520" w:lineRule="exact"/>
        <w:ind w:firstLine="1050" w:firstLineChars="500"/>
        <w:rPr>
          <w:rFonts w:ascii="仿宋" w:hAnsi="仿宋" w:eastAsia="仿宋" w:cs="仿宋_GB2312"/>
          <w:color w:val="auto"/>
          <w:highlight w:val="none"/>
        </w:rPr>
      </w:pPr>
      <w:r>
        <w:rPr>
          <w:rFonts w:ascii="仿宋" w:hAnsi="仿宋" w:eastAsia="仿宋" w:cs="仿宋_GB2312"/>
          <w:color w:val="auto"/>
          <w:highlight w:val="none"/>
        </w:rPr>
        <w:br w:type="page"/>
      </w:r>
    </w:p>
    <w:p>
      <w:pPr>
        <w:autoSpaceDE w:val="0"/>
        <w:autoSpaceDN w:val="0"/>
        <w:spacing w:line="520" w:lineRule="exact"/>
        <w:rPr>
          <w:rFonts w:ascii="仿宋" w:hAnsi="仿宋" w:eastAsia="仿宋" w:cs="仿宋_GB2312"/>
          <w:color w:val="auto"/>
          <w:highlight w:val="none"/>
        </w:rPr>
      </w:pPr>
      <w:r>
        <w:rPr>
          <w:rFonts w:hint="eastAsia" w:ascii="仿宋" w:hAnsi="仿宋" w:eastAsia="仿宋" w:cs="仿宋_GB2312"/>
          <w:color w:val="auto"/>
          <w:highlight w:val="none"/>
        </w:rPr>
        <w:t>附件</w:t>
      </w:r>
      <w:r>
        <w:rPr>
          <w:rFonts w:ascii="仿宋" w:hAnsi="仿宋" w:eastAsia="仿宋" w:cs="仿宋_GB2312"/>
          <w:color w:val="auto"/>
          <w:highlight w:val="none"/>
        </w:rPr>
        <w:t>：</w:t>
      </w:r>
      <w:r>
        <w:rPr>
          <w:rFonts w:hint="eastAsia" w:ascii="仿宋" w:hAnsi="仿宋" w:eastAsia="仿宋" w:cs="仿宋_GB2312"/>
          <w:color w:val="auto"/>
          <w:highlight w:val="none"/>
        </w:rPr>
        <w:t>（卖方</w:t>
      </w:r>
      <w:r>
        <w:rPr>
          <w:rFonts w:ascii="仿宋" w:hAnsi="仿宋" w:eastAsia="仿宋" w:cs="仿宋_GB2312"/>
          <w:color w:val="auto"/>
          <w:highlight w:val="none"/>
        </w:rPr>
        <w:t>、</w:t>
      </w:r>
      <w:r>
        <w:rPr>
          <w:rFonts w:hint="eastAsia" w:ascii="仿宋" w:hAnsi="仿宋" w:eastAsia="仿宋" w:cs="仿宋_GB2312"/>
          <w:color w:val="auto"/>
          <w:highlight w:val="none"/>
        </w:rPr>
        <w:t>买方</w:t>
      </w:r>
      <w:r>
        <w:rPr>
          <w:rFonts w:ascii="仿宋" w:hAnsi="仿宋" w:eastAsia="仿宋" w:cs="仿宋_GB2312"/>
          <w:color w:val="auto"/>
          <w:highlight w:val="none"/>
        </w:rPr>
        <w:t>均需盖章</w:t>
      </w:r>
      <w:r>
        <w:rPr>
          <w:rFonts w:hint="eastAsia" w:ascii="仿宋" w:hAnsi="仿宋" w:eastAsia="仿宋" w:cs="仿宋_GB2312"/>
          <w:color w:val="auto"/>
          <w:highlight w:val="none"/>
        </w:rPr>
        <w:t>）</w:t>
      </w:r>
    </w:p>
    <w:p>
      <w:pPr>
        <w:autoSpaceDE w:val="0"/>
        <w:autoSpaceDN w:val="0"/>
        <w:spacing w:line="520" w:lineRule="exact"/>
        <w:rPr>
          <w:rFonts w:ascii="仿宋" w:hAnsi="仿宋" w:eastAsia="仿宋" w:cs="仿宋_GB2312"/>
          <w:b/>
          <w:color w:val="auto"/>
          <w:highlight w:val="none"/>
        </w:rPr>
      </w:pPr>
      <w:r>
        <w:rPr>
          <w:rFonts w:hint="eastAsia" w:ascii="仿宋" w:hAnsi="仿宋" w:eastAsia="仿宋" w:cs="仿宋_GB2312"/>
          <w:b/>
          <w:color w:val="auto"/>
          <w:highlight w:val="none"/>
        </w:rPr>
        <w:t>一、设备/服务清单（内容与中标通知书/成交</w:t>
      </w:r>
      <w:r>
        <w:rPr>
          <w:rFonts w:ascii="仿宋" w:hAnsi="仿宋" w:eastAsia="仿宋" w:cs="仿宋_GB2312"/>
          <w:b/>
          <w:color w:val="auto"/>
          <w:highlight w:val="none"/>
        </w:rPr>
        <w:t>通知书</w:t>
      </w:r>
      <w:r>
        <w:rPr>
          <w:rFonts w:hint="eastAsia" w:ascii="仿宋" w:hAnsi="仿宋" w:eastAsia="仿宋" w:cs="仿宋_GB2312"/>
          <w:b/>
          <w:color w:val="auto"/>
          <w:highlight w:val="none"/>
        </w:rPr>
        <w:t>中内容一致）</w:t>
      </w:r>
    </w:p>
    <w:tbl>
      <w:tblPr>
        <w:tblStyle w:val="38"/>
        <w:tblW w:w="5096"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48"/>
        <w:gridCol w:w="2000"/>
        <w:gridCol w:w="1162"/>
        <w:gridCol w:w="1253"/>
        <w:gridCol w:w="676"/>
        <w:gridCol w:w="676"/>
        <w:gridCol w:w="1249"/>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87"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序号</w:t>
            </w:r>
          </w:p>
        </w:tc>
        <w:tc>
          <w:tcPr>
            <w:tcW w:w="713"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采购货物名称</w:t>
            </w:r>
          </w:p>
        </w:tc>
        <w:tc>
          <w:tcPr>
            <w:tcW w:w="985"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制造商名称</w:t>
            </w:r>
          </w:p>
        </w:tc>
        <w:tc>
          <w:tcPr>
            <w:tcW w:w="572"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品牌</w:t>
            </w:r>
          </w:p>
        </w:tc>
        <w:tc>
          <w:tcPr>
            <w:tcW w:w="617"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型号和规格</w:t>
            </w:r>
          </w:p>
        </w:tc>
        <w:tc>
          <w:tcPr>
            <w:tcW w:w="333"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数量</w:t>
            </w:r>
          </w:p>
        </w:tc>
        <w:tc>
          <w:tcPr>
            <w:tcW w:w="333"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单位</w:t>
            </w:r>
          </w:p>
        </w:tc>
        <w:tc>
          <w:tcPr>
            <w:tcW w:w="615"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单 价（元）</w:t>
            </w:r>
          </w:p>
        </w:tc>
        <w:tc>
          <w:tcPr>
            <w:tcW w:w="445"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总价</w:t>
            </w:r>
          </w:p>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7"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1</w:t>
            </w:r>
          </w:p>
        </w:tc>
        <w:tc>
          <w:tcPr>
            <w:tcW w:w="713" w:type="pct"/>
            <w:vAlign w:val="center"/>
          </w:tcPr>
          <w:p>
            <w:pPr>
              <w:widowControl/>
              <w:spacing w:line="520" w:lineRule="exact"/>
              <w:jc w:val="center"/>
              <w:rPr>
                <w:rFonts w:ascii="仿宋" w:hAnsi="仿宋" w:eastAsia="仿宋" w:cs="仿宋_GB2312"/>
                <w:color w:val="auto"/>
                <w:highlight w:val="none"/>
              </w:rPr>
            </w:pPr>
          </w:p>
        </w:tc>
        <w:tc>
          <w:tcPr>
            <w:tcW w:w="985" w:type="pct"/>
            <w:vAlign w:val="center"/>
          </w:tcPr>
          <w:p>
            <w:pPr>
              <w:widowControl/>
              <w:spacing w:line="520" w:lineRule="exact"/>
              <w:jc w:val="center"/>
              <w:rPr>
                <w:rFonts w:ascii="仿宋" w:hAnsi="仿宋" w:eastAsia="仿宋" w:cs="仿宋_GB2312"/>
                <w:color w:val="auto"/>
                <w:highlight w:val="none"/>
              </w:rPr>
            </w:pPr>
          </w:p>
        </w:tc>
        <w:tc>
          <w:tcPr>
            <w:tcW w:w="572" w:type="pct"/>
            <w:vAlign w:val="center"/>
          </w:tcPr>
          <w:p>
            <w:pPr>
              <w:widowControl/>
              <w:spacing w:line="520" w:lineRule="exact"/>
              <w:jc w:val="center"/>
              <w:rPr>
                <w:rFonts w:ascii="仿宋" w:hAnsi="仿宋" w:eastAsia="仿宋" w:cs="仿宋_GB2312"/>
                <w:color w:val="auto"/>
                <w:highlight w:val="none"/>
              </w:rPr>
            </w:pPr>
          </w:p>
        </w:tc>
        <w:tc>
          <w:tcPr>
            <w:tcW w:w="617" w:type="pct"/>
            <w:vAlign w:val="center"/>
          </w:tcPr>
          <w:p>
            <w:pPr>
              <w:widowControl/>
              <w:spacing w:line="520" w:lineRule="exact"/>
              <w:jc w:val="center"/>
              <w:rPr>
                <w:rFonts w:ascii="仿宋" w:hAnsi="仿宋" w:eastAsia="仿宋" w:cs="仿宋_GB2312"/>
                <w:color w:val="auto"/>
                <w:highlight w:val="none"/>
              </w:rPr>
            </w:pPr>
          </w:p>
        </w:tc>
        <w:tc>
          <w:tcPr>
            <w:tcW w:w="333" w:type="pct"/>
            <w:vAlign w:val="center"/>
          </w:tcPr>
          <w:p>
            <w:pPr>
              <w:widowControl/>
              <w:spacing w:line="520" w:lineRule="exact"/>
              <w:jc w:val="center"/>
              <w:rPr>
                <w:rFonts w:ascii="仿宋" w:hAnsi="仿宋" w:eastAsia="仿宋" w:cs="仿宋_GB2312"/>
                <w:color w:val="auto"/>
                <w:highlight w:val="none"/>
              </w:rPr>
            </w:pPr>
          </w:p>
        </w:tc>
        <w:tc>
          <w:tcPr>
            <w:tcW w:w="333" w:type="pct"/>
            <w:vAlign w:val="center"/>
          </w:tcPr>
          <w:p>
            <w:pPr>
              <w:widowControl/>
              <w:spacing w:line="520" w:lineRule="exact"/>
              <w:jc w:val="center"/>
              <w:rPr>
                <w:rFonts w:ascii="仿宋" w:hAnsi="仿宋" w:eastAsia="仿宋" w:cs="仿宋_GB2312"/>
                <w:color w:val="auto"/>
                <w:highlight w:val="none"/>
              </w:rPr>
            </w:pPr>
          </w:p>
        </w:tc>
        <w:tc>
          <w:tcPr>
            <w:tcW w:w="615" w:type="pct"/>
            <w:noWrap/>
            <w:vAlign w:val="center"/>
          </w:tcPr>
          <w:p>
            <w:pPr>
              <w:widowControl/>
              <w:spacing w:line="520" w:lineRule="exact"/>
              <w:jc w:val="center"/>
              <w:rPr>
                <w:rFonts w:ascii="仿宋" w:hAnsi="仿宋" w:eastAsia="仿宋" w:cs="仿宋_GB2312"/>
                <w:color w:val="auto"/>
                <w:highlight w:val="none"/>
              </w:rPr>
            </w:pPr>
          </w:p>
        </w:tc>
        <w:tc>
          <w:tcPr>
            <w:tcW w:w="445" w:type="pct"/>
            <w:noWrap/>
            <w:vAlign w:val="center"/>
          </w:tcPr>
          <w:p>
            <w:pPr>
              <w:widowControl/>
              <w:spacing w:line="520" w:lineRule="exact"/>
              <w:jc w:val="center"/>
              <w:rPr>
                <w:rFonts w:ascii="仿宋" w:hAnsi="仿宋" w:eastAsia="仿宋"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7"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2</w:t>
            </w:r>
          </w:p>
        </w:tc>
        <w:tc>
          <w:tcPr>
            <w:tcW w:w="713" w:type="pct"/>
            <w:vAlign w:val="center"/>
          </w:tcPr>
          <w:p>
            <w:pPr>
              <w:widowControl/>
              <w:spacing w:line="520" w:lineRule="exact"/>
              <w:jc w:val="center"/>
              <w:rPr>
                <w:rFonts w:ascii="仿宋" w:hAnsi="仿宋" w:eastAsia="仿宋" w:cs="仿宋_GB2312"/>
                <w:color w:val="auto"/>
                <w:highlight w:val="none"/>
              </w:rPr>
            </w:pPr>
          </w:p>
        </w:tc>
        <w:tc>
          <w:tcPr>
            <w:tcW w:w="985" w:type="pct"/>
            <w:vAlign w:val="center"/>
          </w:tcPr>
          <w:p>
            <w:pPr>
              <w:widowControl/>
              <w:spacing w:line="520" w:lineRule="exact"/>
              <w:jc w:val="center"/>
              <w:rPr>
                <w:rFonts w:ascii="仿宋" w:hAnsi="仿宋" w:eastAsia="仿宋" w:cs="仿宋_GB2312"/>
                <w:color w:val="auto"/>
                <w:highlight w:val="none"/>
              </w:rPr>
            </w:pPr>
          </w:p>
        </w:tc>
        <w:tc>
          <w:tcPr>
            <w:tcW w:w="572" w:type="pct"/>
            <w:vAlign w:val="center"/>
          </w:tcPr>
          <w:p>
            <w:pPr>
              <w:widowControl/>
              <w:spacing w:line="520" w:lineRule="exact"/>
              <w:jc w:val="center"/>
              <w:rPr>
                <w:rFonts w:ascii="仿宋" w:hAnsi="仿宋" w:eastAsia="仿宋" w:cs="仿宋_GB2312"/>
                <w:color w:val="auto"/>
                <w:highlight w:val="none"/>
              </w:rPr>
            </w:pPr>
          </w:p>
        </w:tc>
        <w:tc>
          <w:tcPr>
            <w:tcW w:w="617" w:type="pct"/>
            <w:vAlign w:val="center"/>
          </w:tcPr>
          <w:p>
            <w:pPr>
              <w:widowControl/>
              <w:spacing w:line="520" w:lineRule="exact"/>
              <w:jc w:val="center"/>
              <w:rPr>
                <w:rFonts w:ascii="仿宋" w:hAnsi="仿宋" w:eastAsia="仿宋" w:cs="仿宋_GB2312"/>
                <w:color w:val="auto"/>
                <w:highlight w:val="none"/>
              </w:rPr>
            </w:pPr>
          </w:p>
        </w:tc>
        <w:tc>
          <w:tcPr>
            <w:tcW w:w="333" w:type="pct"/>
            <w:vAlign w:val="center"/>
          </w:tcPr>
          <w:p>
            <w:pPr>
              <w:widowControl/>
              <w:spacing w:line="520" w:lineRule="exact"/>
              <w:jc w:val="center"/>
              <w:rPr>
                <w:rFonts w:ascii="仿宋" w:hAnsi="仿宋" w:eastAsia="仿宋" w:cs="仿宋_GB2312"/>
                <w:color w:val="auto"/>
                <w:highlight w:val="none"/>
              </w:rPr>
            </w:pPr>
          </w:p>
        </w:tc>
        <w:tc>
          <w:tcPr>
            <w:tcW w:w="333" w:type="pct"/>
            <w:vAlign w:val="center"/>
          </w:tcPr>
          <w:p>
            <w:pPr>
              <w:widowControl/>
              <w:spacing w:line="520" w:lineRule="exact"/>
              <w:jc w:val="center"/>
              <w:rPr>
                <w:rFonts w:ascii="仿宋" w:hAnsi="仿宋" w:eastAsia="仿宋" w:cs="仿宋_GB2312"/>
                <w:color w:val="auto"/>
                <w:highlight w:val="none"/>
              </w:rPr>
            </w:pPr>
          </w:p>
        </w:tc>
        <w:tc>
          <w:tcPr>
            <w:tcW w:w="615" w:type="pct"/>
            <w:noWrap/>
            <w:vAlign w:val="center"/>
          </w:tcPr>
          <w:p>
            <w:pPr>
              <w:widowControl/>
              <w:spacing w:line="520" w:lineRule="exact"/>
              <w:jc w:val="center"/>
              <w:rPr>
                <w:rFonts w:ascii="仿宋" w:hAnsi="仿宋" w:eastAsia="仿宋" w:cs="仿宋_GB2312"/>
                <w:color w:val="auto"/>
                <w:highlight w:val="none"/>
              </w:rPr>
            </w:pPr>
          </w:p>
        </w:tc>
        <w:tc>
          <w:tcPr>
            <w:tcW w:w="445" w:type="pct"/>
            <w:noWrap/>
            <w:vAlign w:val="center"/>
          </w:tcPr>
          <w:p>
            <w:pPr>
              <w:widowControl/>
              <w:spacing w:line="520" w:lineRule="exact"/>
              <w:jc w:val="center"/>
              <w:rPr>
                <w:rFonts w:ascii="仿宋" w:hAnsi="仿宋" w:eastAsia="仿宋"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87" w:type="pct"/>
            <w:vAlign w:val="center"/>
          </w:tcPr>
          <w:p>
            <w:pPr>
              <w:widowControl/>
              <w:spacing w:line="520" w:lineRule="exact"/>
              <w:jc w:val="center"/>
              <w:rPr>
                <w:rFonts w:ascii="仿宋" w:hAnsi="仿宋" w:eastAsia="仿宋" w:cs="仿宋_GB2312"/>
                <w:color w:val="auto"/>
                <w:highlight w:val="none"/>
              </w:rPr>
            </w:pPr>
            <w:r>
              <w:rPr>
                <w:rFonts w:ascii="仿宋" w:hAnsi="仿宋" w:eastAsia="仿宋" w:cs="仿宋_GB2312"/>
                <w:color w:val="auto"/>
                <w:highlight w:val="none"/>
              </w:rPr>
              <w:t>3</w:t>
            </w:r>
          </w:p>
        </w:tc>
        <w:tc>
          <w:tcPr>
            <w:tcW w:w="713"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w:t>
            </w:r>
            <w:r>
              <w:rPr>
                <w:rFonts w:ascii="仿宋" w:hAnsi="仿宋" w:eastAsia="仿宋" w:cs="仿宋_GB2312"/>
                <w:color w:val="auto"/>
                <w:highlight w:val="none"/>
              </w:rPr>
              <w:t>……</w:t>
            </w:r>
          </w:p>
        </w:tc>
        <w:tc>
          <w:tcPr>
            <w:tcW w:w="985"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w:t>
            </w:r>
            <w:r>
              <w:rPr>
                <w:rFonts w:ascii="仿宋" w:hAnsi="仿宋" w:eastAsia="仿宋" w:cs="仿宋_GB2312"/>
                <w:color w:val="auto"/>
                <w:highlight w:val="none"/>
              </w:rPr>
              <w:t>……</w:t>
            </w:r>
          </w:p>
        </w:tc>
        <w:tc>
          <w:tcPr>
            <w:tcW w:w="572" w:type="pct"/>
            <w:vAlign w:val="center"/>
          </w:tcPr>
          <w:p>
            <w:pPr>
              <w:widowControl/>
              <w:spacing w:line="520" w:lineRule="exact"/>
              <w:jc w:val="center"/>
              <w:rPr>
                <w:rFonts w:ascii="仿宋" w:hAnsi="仿宋" w:eastAsia="仿宋" w:cs="仿宋_GB2312"/>
                <w:color w:val="auto"/>
                <w:highlight w:val="none"/>
              </w:rPr>
            </w:pPr>
          </w:p>
        </w:tc>
        <w:tc>
          <w:tcPr>
            <w:tcW w:w="617" w:type="pct"/>
            <w:vAlign w:val="center"/>
          </w:tcPr>
          <w:p>
            <w:pPr>
              <w:widowControl/>
              <w:spacing w:line="520" w:lineRule="exact"/>
              <w:jc w:val="center"/>
              <w:rPr>
                <w:rFonts w:ascii="仿宋" w:hAnsi="仿宋" w:eastAsia="仿宋" w:cs="仿宋_GB2312"/>
                <w:color w:val="auto"/>
                <w:highlight w:val="none"/>
              </w:rPr>
            </w:pPr>
          </w:p>
        </w:tc>
        <w:tc>
          <w:tcPr>
            <w:tcW w:w="333" w:type="pct"/>
            <w:vAlign w:val="center"/>
          </w:tcPr>
          <w:p>
            <w:pPr>
              <w:widowControl/>
              <w:spacing w:line="520" w:lineRule="exact"/>
              <w:jc w:val="center"/>
              <w:rPr>
                <w:rFonts w:ascii="仿宋" w:hAnsi="仿宋" w:eastAsia="仿宋" w:cs="仿宋_GB2312"/>
                <w:color w:val="auto"/>
                <w:highlight w:val="none"/>
              </w:rPr>
            </w:pPr>
          </w:p>
        </w:tc>
        <w:tc>
          <w:tcPr>
            <w:tcW w:w="333" w:type="pct"/>
            <w:vAlign w:val="center"/>
          </w:tcPr>
          <w:p>
            <w:pPr>
              <w:widowControl/>
              <w:spacing w:line="520" w:lineRule="exact"/>
              <w:jc w:val="center"/>
              <w:rPr>
                <w:rFonts w:ascii="仿宋" w:hAnsi="仿宋" w:eastAsia="仿宋" w:cs="仿宋_GB2312"/>
                <w:color w:val="auto"/>
                <w:highlight w:val="none"/>
              </w:rPr>
            </w:pPr>
          </w:p>
        </w:tc>
        <w:tc>
          <w:tcPr>
            <w:tcW w:w="615" w:type="pct"/>
            <w:noWrap/>
            <w:vAlign w:val="center"/>
          </w:tcPr>
          <w:p>
            <w:pPr>
              <w:widowControl/>
              <w:spacing w:line="520" w:lineRule="exact"/>
              <w:jc w:val="center"/>
              <w:rPr>
                <w:rFonts w:ascii="仿宋" w:hAnsi="仿宋" w:eastAsia="仿宋" w:cs="仿宋_GB2312"/>
                <w:color w:val="auto"/>
                <w:highlight w:val="none"/>
              </w:rPr>
            </w:pPr>
          </w:p>
        </w:tc>
        <w:tc>
          <w:tcPr>
            <w:tcW w:w="445" w:type="pct"/>
            <w:noWrap/>
            <w:vAlign w:val="center"/>
          </w:tcPr>
          <w:p>
            <w:pPr>
              <w:widowControl/>
              <w:spacing w:line="520" w:lineRule="exact"/>
              <w:jc w:val="center"/>
              <w:rPr>
                <w:rFonts w:ascii="仿宋" w:hAnsi="仿宋" w:eastAsia="仿宋"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000" w:type="pct"/>
            <w:gridSpan w:val="9"/>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 xml:space="preserve">以上所有产品报价总计： </w:t>
            </w:r>
            <w:r>
              <w:rPr>
                <w:rFonts w:ascii="仿宋" w:hAnsi="仿宋" w:eastAsia="仿宋" w:cs="仿宋_GB2312"/>
                <w:color w:val="auto"/>
                <w:highlight w:val="none"/>
              </w:rPr>
              <w:t xml:space="preserve">     </w:t>
            </w:r>
            <w:r>
              <w:rPr>
                <w:rFonts w:hint="eastAsia" w:ascii="仿宋" w:hAnsi="仿宋" w:eastAsia="仿宋" w:cs="仿宋_GB2312"/>
                <w:color w:val="auto"/>
                <w:highlight w:val="none"/>
              </w:rPr>
              <w:t>元整  （小写：</w:t>
            </w:r>
            <w:r>
              <w:rPr>
                <w:rFonts w:ascii="仿宋" w:hAnsi="仿宋" w:eastAsia="仿宋" w:cs="仿宋_GB2312"/>
                <w:color w:val="auto"/>
                <w:highlight w:val="none"/>
              </w:rPr>
              <w:t xml:space="preserve">   </w:t>
            </w:r>
            <w:r>
              <w:rPr>
                <w:rFonts w:hint="eastAsia" w:ascii="仿宋" w:hAnsi="仿宋" w:eastAsia="仿宋" w:cs="仿宋_GB2312"/>
                <w:color w:val="auto"/>
                <w:highlight w:val="none"/>
              </w:rPr>
              <w:t>.00）</w:t>
            </w:r>
          </w:p>
        </w:tc>
      </w:tr>
    </w:tbl>
    <w:p>
      <w:pPr>
        <w:autoSpaceDE w:val="0"/>
        <w:autoSpaceDN w:val="0"/>
        <w:spacing w:line="520" w:lineRule="exact"/>
        <w:rPr>
          <w:rFonts w:ascii="仿宋" w:hAnsi="仿宋" w:eastAsia="仿宋" w:cs="仿宋_GB2312"/>
          <w:b/>
          <w:color w:val="auto"/>
          <w:highlight w:val="none"/>
        </w:rPr>
      </w:pPr>
      <w:r>
        <w:rPr>
          <w:rFonts w:hint="eastAsia" w:ascii="仿宋" w:hAnsi="仿宋" w:eastAsia="仿宋" w:cs="仿宋_GB2312"/>
          <w:b/>
          <w:color w:val="auto"/>
          <w:highlight w:val="none"/>
        </w:rPr>
        <w:t>二、设备参数性能表</w:t>
      </w:r>
    </w:p>
    <w:tbl>
      <w:tblPr>
        <w:tblStyle w:val="38"/>
        <w:tblW w:w="5031"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413"/>
        <w:gridCol w:w="890"/>
        <w:gridCol w:w="1413"/>
        <w:gridCol w:w="4112"/>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90"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序号</w:t>
            </w:r>
          </w:p>
        </w:tc>
        <w:tc>
          <w:tcPr>
            <w:tcW w:w="705"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采购货物名称</w:t>
            </w:r>
          </w:p>
        </w:tc>
        <w:tc>
          <w:tcPr>
            <w:tcW w:w="444"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品牌</w:t>
            </w:r>
          </w:p>
        </w:tc>
        <w:tc>
          <w:tcPr>
            <w:tcW w:w="705"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型号和规格</w:t>
            </w:r>
          </w:p>
        </w:tc>
        <w:tc>
          <w:tcPr>
            <w:tcW w:w="2051"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技术参数</w:t>
            </w:r>
          </w:p>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（与响应文件/响应文件</w:t>
            </w:r>
            <w:r>
              <w:rPr>
                <w:rFonts w:ascii="仿宋" w:hAnsi="仿宋" w:eastAsia="仿宋" w:cs="仿宋_GB2312"/>
                <w:color w:val="auto"/>
                <w:highlight w:val="none"/>
              </w:rPr>
              <w:t>中</w:t>
            </w:r>
            <w:r>
              <w:rPr>
                <w:rFonts w:hint="eastAsia" w:ascii="仿宋" w:hAnsi="仿宋" w:eastAsia="仿宋" w:cs="仿宋_GB2312"/>
                <w:color w:val="auto"/>
                <w:highlight w:val="none"/>
              </w:rPr>
              <w:t>对技术规格的应答一致）</w:t>
            </w:r>
          </w:p>
        </w:tc>
        <w:tc>
          <w:tcPr>
            <w:tcW w:w="705" w:type="pct"/>
            <w:vAlign w:val="center"/>
          </w:tcPr>
          <w:p>
            <w:pPr>
              <w:widowControl/>
              <w:spacing w:line="520" w:lineRule="exact"/>
              <w:jc w:val="center"/>
              <w:rPr>
                <w:rFonts w:ascii="仿宋" w:hAnsi="仿宋" w:eastAsia="仿宋" w:cs="仿宋_GB2312"/>
                <w:b/>
                <w:color w:val="auto"/>
                <w:highlight w:val="none"/>
              </w:rPr>
            </w:pPr>
            <w:r>
              <w:rPr>
                <w:rFonts w:hint="eastAsia" w:ascii="仿宋" w:hAnsi="仿宋" w:eastAsia="仿宋" w:cs="仿宋_GB2312"/>
                <w:b/>
                <w:color w:val="auto"/>
                <w:highlight w:val="none"/>
              </w:rPr>
              <w:t>参考</w:t>
            </w:r>
            <w:r>
              <w:rPr>
                <w:rFonts w:ascii="仿宋" w:hAnsi="仿宋" w:eastAsia="仿宋" w:cs="仿宋_GB2312"/>
                <w:b/>
                <w:color w:val="auto"/>
                <w:highlight w:val="none"/>
              </w:rPr>
              <w:t>图样</w:t>
            </w:r>
          </w:p>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0"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1</w:t>
            </w:r>
          </w:p>
        </w:tc>
        <w:tc>
          <w:tcPr>
            <w:tcW w:w="705" w:type="pct"/>
            <w:vAlign w:val="center"/>
          </w:tcPr>
          <w:p>
            <w:pPr>
              <w:widowControl/>
              <w:spacing w:line="520" w:lineRule="exact"/>
              <w:jc w:val="center"/>
              <w:rPr>
                <w:rFonts w:ascii="仿宋" w:hAnsi="仿宋" w:eastAsia="仿宋" w:cs="仿宋_GB2312"/>
                <w:color w:val="auto"/>
                <w:highlight w:val="none"/>
              </w:rPr>
            </w:pPr>
          </w:p>
        </w:tc>
        <w:tc>
          <w:tcPr>
            <w:tcW w:w="444" w:type="pct"/>
            <w:vAlign w:val="center"/>
          </w:tcPr>
          <w:p>
            <w:pPr>
              <w:widowControl/>
              <w:spacing w:line="520" w:lineRule="exact"/>
              <w:jc w:val="center"/>
              <w:rPr>
                <w:rFonts w:ascii="仿宋" w:hAnsi="仿宋" w:eastAsia="仿宋" w:cs="仿宋_GB2312"/>
                <w:color w:val="auto"/>
                <w:highlight w:val="none"/>
              </w:rPr>
            </w:pPr>
          </w:p>
        </w:tc>
        <w:tc>
          <w:tcPr>
            <w:tcW w:w="705" w:type="pct"/>
            <w:vAlign w:val="center"/>
          </w:tcPr>
          <w:p>
            <w:pPr>
              <w:widowControl/>
              <w:spacing w:line="520" w:lineRule="exact"/>
              <w:jc w:val="center"/>
              <w:rPr>
                <w:rFonts w:ascii="仿宋" w:hAnsi="仿宋" w:eastAsia="仿宋" w:cs="仿宋_GB2312"/>
                <w:color w:val="auto"/>
                <w:highlight w:val="none"/>
              </w:rPr>
            </w:pPr>
          </w:p>
        </w:tc>
        <w:tc>
          <w:tcPr>
            <w:tcW w:w="2051" w:type="pct"/>
            <w:noWrap/>
            <w:vAlign w:val="center"/>
          </w:tcPr>
          <w:p>
            <w:pPr>
              <w:widowControl/>
              <w:spacing w:line="520" w:lineRule="exact"/>
              <w:jc w:val="center"/>
              <w:rPr>
                <w:rFonts w:ascii="仿宋" w:hAnsi="仿宋" w:eastAsia="仿宋" w:cs="仿宋_GB2312"/>
                <w:color w:val="auto"/>
                <w:highlight w:val="none"/>
              </w:rPr>
            </w:pPr>
          </w:p>
        </w:tc>
        <w:tc>
          <w:tcPr>
            <w:tcW w:w="705" w:type="pct"/>
            <w:vAlign w:val="center"/>
          </w:tcPr>
          <w:p>
            <w:pPr>
              <w:widowControl/>
              <w:spacing w:line="520" w:lineRule="exact"/>
              <w:jc w:val="center"/>
              <w:rPr>
                <w:rFonts w:ascii="仿宋" w:hAnsi="仿宋" w:eastAsia="仿宋"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0"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2</w:t>
            </w:r>
          </w:p>
        </w:tc>
        <w:tc>
          <w:tcPr>
            <w:tcW w:w="705" w:type="pct"/>
            <w:vAlign w:val="center"/>
          </w:tcPr>
          <w:p>
            <w:pPr>
              <w:widowControl/>
              <w:spacing w:line="520" w:lineRule="exact"/>
              <w:jc w:val="center"/>
              <w:rPr>
                <w:rFonts w:ascii="仿宋" w:hAnsi="仿宋" w:eastAsia="仿宋" w:cs="仿宋_GB2312"/>
                <w:color w:val="auto"/>
                <w:highlight w:val="none"/>
              </w:rPr>
            </w:pPr>
          </w:p>
        </w:tc>
        <w:tc>
          <w:tcPr>
            <w:tcW w:w="444" w:type="pct"/>
            <w:vAlign w:val="center"/>
          </w:tcPr>
          <w:p>
            <w:pPr>
              <w:widowControl/>
              <w:spacing w:line="520" w:lineRule="exact"/>
              <w:jc w:val="center"/>
              <w:rPr>
                <w:rFonts w:ascii="仿宋" w:hAnsi="仿宋" w:eastAsia="仿宋" w:cs="仿宋_GB2312"/>
                <w:color w:val="auto"/>
                <w:highlight w:val="none"/>
              </w:rPr>
            </w:pPr>
          </w:p>
        </w:tc>
        <w:tc>
          <w:tcPr>
            <w:tcW w:w="705" w:type="pct"/>
            <w:vAlign w:val="center"/>
          </w:tcPr>
          <w:p>
            <w:pPr>
              <w:widowControl/>
              <w:spacing w:line="520" w:lineRule="exact"/>
              <w:jc w:val="center"/>
              <w:rPr>
                <w:rFonts w:ascii="仿宋" w:hAnsi="仿宋" w:eastAsia="仿宋" w:cs="仿宋_GB2312"/>
                <w:color w:val="auto"/>
                <w:highlight w:val="none"/>
              </w:rPr>
            </w:pPr>
          </w:p>
        </w:tc>
        <w:tc>
          <w:tcPr>
            <w:tcW w:w="2051" w:type="pct"/>
            <w:noWrap/>
            <w:vAlign w:val="center"/>
          </w:tcPr>
          <w:p>
            <w:pPr>
              <w:widowControl/>
              <w:spacing w:line="520" w:lineRule="exact"/>
              <w:jc w:val="center"/>
              <w:rPr>
                <w:rFonts w:ascii="仿宋" w:hAnsi="仿宋" w:eastAsia="仿宋" w:cs="仿宋_GB2312"/>
                <w:color w:val="auto"/>
                <w:highlight w:val="none"/>
              </w:rPr>
            </w:pPr>
          </w:p>
        </w:tc>
        <w:tc>
          <w:tcPr>
            <w:tcW w:w="705" w:type="pct"/>
            <w:vAlign w:val="center"/>
          </w:tcPr>
          <w:p>
            <w:pPr>
              <w:widowControl/>
              <w:spacing w:line="520" w:lineRule="exact"/>
              <w:jc w:val="center"/>
              <w:rPr>
                <w:rFonts w:ascii="仿宋" w:hAnsi="仿宋" w:eastAsia="仿宋"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90" w:type="pct"/>
            <w:vAlign w:val="center"/>
          </w:tcPr>
          <w:p>
            <w:pPr>
              <w:widowControl/>
              <w:spacing w:line="520" w:lineRule="exact"/>
              <w:jc w:val="center"/>
              <w:rPr>
                <w:rFonts w:ascii="仿宋" w:hAnsi="仿宋" w:eastAsia="仿宋" w:cs="仿宋_GB2312"/>
                <w:color w:val="auto"/>
                <w:highlight w:val="none"/>
              </w:rPr>
            </w:pPr>
            <w:r>
              <w:rPr>
                <w:rFonts w:ascii="仿宋" w:hAnsi="仿宋" w:eastAsia="仿宋" w:cs="仿宋_GB2312"/>
                <w:color w:val="auto"/>
                <w:highlight w:val="none"/>
              </w:rPr>
              <w:t>3</w:t>
            </w:r>
          </w:p>
        </w:tc>
        <w:tc>
          <w:tcPr>
            <w:tcW w:w="705" w:type="pct"/>
            <w:vAlign w:val="center"/>
          </w:tcPr>
          <w:p>
            <w:pPr>
              <w:widowControl/>
              <w:spacing w:line="520" w:lineRule="exact"/>
              <w:jc w:val="center"/>
              <w:rPr>
                <w:rFonts w:ascii="仿宋" w:hAnsi="仿宋" w:eastAsia="仿宋" w:cs="仿宋_GB2312"/>
                <w:color w:val="auto"/>
                <w:highlight w:val="none"/>
              </w:rPr>
            </w:pPr>
            <w:r>
              <w:rPr>
                <w:rFonts w:hint="eastAsia" w:ascii="仿宋" w:hAnsi="仿宋" w:eastAsia="仿宋" w:cs="仿宋_GB2312"/>
                <w:color w:val="auto"/>
                <w:highlight w:val="none"/>
              </w:rPr>
              <w:t>……</w:t>
            </w:r>
            <w:r>
              <w:rPr>
                <w:rFonts w:ascii="仿宋" w:hAnsi="仿宋" w:eastAsia="仿宋" w:cs="仿宋_GB2312"/>
                <w:color w:val="auto"/>
                <w:highlight w:val="none"/>
              </w:rPr>
              <w:t>……</w:t>
            </w:r>
          </w:p>
        </w:tc>
        <w:tc>
          <w:tcPr>
            <w:tcW w:w="444" w:type="pct"/>
            <w:vAlign w:val="center"/>
          </w:tcPr>
          <w:p>
            <w:pPr>
              <w:widowControl/>
              <w:spacing w:line="520" w:lineRule="exact"/>
              <w:jc w:val="center"/>
              <w:rPr>
                <w:rFonts w:ascii="仿宋" w:hAnsi="仿宋" w:eastAsia="仿宋" w:cs="仿宋_GB2312"/>
                <w:color w:val="auto"/>
                <w:highlight w:val="none"/>
              </w:rPr>
            </w:pPr>
          </w:p>
        </w:tc>
        <w:tc>
          <w:tcPr>
            <w:tcW w:w="705" w:type="pct"/>
            <w:vAlign w:val="center"/>
          </w:tcPr>
          <w:p>
            <w:pPr>
              <w:widowControl/>
              <w:spacing w:line="520" w:lineRule="exact"/>
              <w:jc w:val="center"/>
              <w:rPr>
                <w:rFonts w:ascii="仿宋" w:hAnsi="仿宋" w:eastAsia="仿宋" w:cs="仿宋_GB2312"/>
                <w:color w:val="auto"/>
                <w:highlight w:val="none"/>
              </w:rPr>
            </w:pPr>
          </w:p>
        </w:tc>
        <w:tc>
          <w:tcPr>
            <w:tcW w:w="2051" w:type="pct"/>
            <w:noWrap/>
            <w:vAlign w:val="center"/>
          </w:tcPr>
          <w:p>
            <w:pPr>
              <w:widowControl/>
              <w:spacing w:line="520" w:lineRule="exact"/>
              <w:jc w:val="center"/>
              <w:rPr>
                <w:rFonts w:ascii="仿宋" w:hAnsi="仿宋" w:eastAsia="仿宋" w:cs="仿宋_GB2312"/>
                <w:color w:val="auto"/>
                <w:highlight w:val="none"/>
              </w:rPr>
            </w:pPr>
          </w:p>
        </w:tc>
        <w:tc>
          <w:tcPr>
            <w:tcW w:w="705" w:type="pct"/>
            <w:vAlign w:val="center"/>
          </w:tcPr>
          <w:p>
            <w:pPr>
              <w:widowControl/>
              <w:spacing w:line="520" w:lineRule="exact"/>
              <w:jc w:val="center"/>
              <w:rPr>
                <w:rFonts w:ascii="仿宋" w:hAnsi="仿宋" w:eastAsia="仿宋" w:cs="仿宋_GB2312"/>
                <w:color w:val="auto"/>
                <w:highlight w:val="none"/>
              </w:rPr>
            </w:pPr>
          </w:p>
        </w:tc>
      </w:tr>
    </w:tbl>
    <w:p>
      <w:pPr>
        <w:rPr>
          <w:rFonts w:ascii="仿宋" w:hAnsi="仿宋" w:eastAsia="仿宋"/>
          <w:color w:val="auto"/>
          <w:highlight w:val="none"/>
        </w:rPr>
      </w:pPr>
    </w:p>
    <w:p>
      <w:pPr>
        <w:pStyle w:val="2"/>
        <w:spacing w:line="720" w:lineRule="exact"/>
        <w:rPr>
          <w:rFonts w:ascii="仿宋" w:hAnsi="仿宋" w:eastAsia="仿宋"/>
          <w:color w:val="auto"/>
          <w:highlight w:val="none"/>
        </w:rPr>
      </w:pPr>
      <w:r>
        <w:rPr>
          <w:rFonts w:ascii="仿宋" w:hAnsi="仿宋" w:eastAsia="仿宋"/>
          <w:color w:val="auto"/>
          <w:highlight w:val="none"/>
        </w:rPr>
        <w:br w:type="page"/>
      </w:r>
      <w:bookmarkEnd w:id="113"/>
      <w:bookmarkStart w:id="131" w:name="_Toc9967"/>
      <w:r>
        <w:rPr>
          <w:rFonts w:ascii="仿宋" w:hAnsi="仿宋" w:eastAsia="仿宋"/>
          <w:color w:val="auto"/>
          <w:highlight w:val="none"/>
        </w:rPr>
        <w:t>第五章</w:t>
      </w:r>
      <w:r>
        <w:rPr>
          <w:rFonts w:hint="eastAsia" w:ascii="仿宋" w:hAnsi="仿宋" w:eastAsia="仿宋"/>
          <w:color w:val="auto"/>
          <w:highlight w:val="none"/>
        </w:rPr>
        <w:t>、谈判响应文件格式</w:t>
      </w:r>
      <w:bookmarkEnd w:id="131"/>
    </w:p>
    <w:p>
      <w:pPr>
        <w:pStyle w:val="3"/>
        <w:tabs>
          <w:tab w:val="left" w:pos="900"/>
        </w:tabs>
        <w:ind w:left="567"/>
        <w:jc w:val="left"/>
        <w:rPr>
          <w:rFonts w:ascii="仿宋" w:hAnsi="仿宋" w:eastAsia="仿宋"/>
          <w:color w:val="auto"/>
          <w:highlight w:val="none"/>
        </w:rPr>
      </w:pPr>
      <w:bookmarkStart w:id="132" w:name="_Toc22845"/>
      <w:r>
        <w:rPr>
          <w:rFonts w:hint="eastAsia" w:ascii="仿宋" w:hAnsi="仿宋" w:eastAsia="仿宋"/>
          <w:color w:val="auto"/>
          <w:highlight w:val="none"/>
        </w:rPr>
        <w:t>谈判响应文件封面格式</w:t>
      </w:r>
      <w:bookmarkEnd w:id="132"/>
    </w:p>
    <w:tbl>
      <w:tblPr>
        <w:tblStyle w:val="38"/>
        <w:tblpPr w:leftFromText="180" w:rightFromText="180" w:vertAnchor="text" w:tblpXSpec="center" w:tblpY="91"/>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8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351" w:hRule="atLeast"/>
        </w:trPr>
        <w:tc>
          <w:tcPr>
            <w:tcW w:w="8586" w:type="dxa"/>
          </w:tcPr>
          <w:p>
            <w:pPr>
              <w:jc w:val="right"/>
              <w:rPr>
                <w:rFonts w:ascii="仿宋" w:hAnsi="仿宋" w:eastAsia="仿宋"/>
                <w:color w:val="auto"/>
                <w:highlight w:val="none"/>
              </w:rPr>
            </w:pPr>
          </w:p>
          <w:p>
            <w:pPr>
              <w:ind w:right="252" w:rightChars="120"/>
              <w:jc w:val="right"/>
              <w:rPr>
                <w:rFonts w:ascii="仿宋" w:hAnsi="仿宋" w:eastAsia="仿宋"/>
                <w:bCs/>
                <w:color w:val="auto"/>
                <w:sz w:val="32"/>
                <w:highlight w:val="none"/>
              </w:rPr>
            </w:pPr>
            <w:r>
              <w:rPr>
                <w:rFonts w:hint="eastAsia" w:ascii="仿宋" w:hAnsi="仿宋" w:eastAsia="仿宋"/>
                <w:color w:val="auto"/>
                <w:highlight w:val="none"/>
              </w:rPr>
              <w:t xml:space="preserve"> </w:t>
            </w:r>
          </w:p>
          <w:p>
            <w:pPr>
              <w:jc w:val="center"/>
              <w:rPr>
                <w:rFonts w:ascii="仿宋" w:hAnsi="仿宋" w:eastAsia="仿宋"/>
                <w:color w:val="auto"/>
                <w:highlight w:val="none"/>
              </w:rPr>
            </w:pPr>
          </w:p>
          <w:p>
            <w:pPr>
              <w:jc w:val="center"/>
              <w:rPr>
                <w:rFonts w:ascii="仿宋" w:hAnsi="仿宋" w:eastAsia="仿宋"/>
                <w:b/>
                <w:color w:val="auto"/>
                <w:highlight w:val="none"/>
              </w:rPr>
            </w:pPr>
          </w:p>
          <w:p>
            <w:pPr>
              <w:jc w:val="center"/>
              <w:rPr>
                <w:rFonts w:ascii="仿宋" w:hAnsi="仿宋" w:eastAsia="仿宋"/>
                <w:b/>
                <w:color w:val="auto"/>
                <w:highlight w:val="none"/>
              </w:rPr>
            </w:pPr>
          </w:p>
          <w:p>
            <w:pPr>
              <w:jc w:val="center"/>
              <w:rPr>
                <w:rFonts w:ascii="仿宋" w:hAnsi="仿宋" w:eastAsia="仿宋"/>
                <w:b/>
                <w:color w:val="auto"/>
                <w:highlight w:val="none"/>
              </w:rPr>
            </w:pPr>
          </w:p>
          <w:p>
            <w:pPr>
              <w:jc w:val="center"/>
              <w:rPr>
                <w:rFonts w:ascii="仿宋" w:hAnsi="仿宋" w:eastAsia="仿宋"/>
                <w:b/>
                <w:color w:val="auto"/>
                <w:highlight w:val="none"/>
              </w:rPr>
            </w:pPr>
          </w:p>
          <w:p>
            <w:pPr>
              <w:jc w:val="center"/>
              <w:rPr>
                <w:rFonts w:ascii="仿宋" w:hAnsi="仿宋" w:eastAsia="仿宋"/>
                <w:b/>
                <w:color w:val="auto"/>
                <w:highlight w:val="none"/>
              </w:rPr>
            </w:pPr>
          </w:p>
          <w:p>
            <w:pPr>
              <w:jc w:val="center"/>
              <w:rPr>
                <w:rFonts w:ascii="仿宋" w:hAnsi="仿宋" w:eastAsia="仿宋"/>
                <w:color w:val="auto"/>
                <w:sz w:val="100"/>
                <w:szCs w:val="100"/>
                <w:highlight w:val="none"/>
              </w:rPr>
            </w:pPr>
            <w:r>
              <w:rPr>
                <w:rFonts w:hint="eastAsia" w:ascii="仿宋" w:hAnsi="仿宋" w:eastAsia="仿宋"/>
                <w:color w:val="auto"/>
                <w:sz w:val="100"/>
                <w:szCs w:val="100"/>
                <w:highlight w:val="none"/>
              </w:rPr>
              <w:t>响 应 文 件</w:t>
            </w:r>
          </w:p>
          <w:p>
            <w:pPr>
              <w:jc w:val="center"/>
              <w:rPr>
                <w:rFonts w:ascii="仿宋" w:hAnsi="仿宋" w:eastAsia="仿宋"/>
                <w:b/>
                <w:color w:val="auto"/>
                <w:sz w:val="36"/>
                <w:highlight w:val="none"/>
              </w:rPr>
            </w:pPr>
          </w:p>
          <w:p>
            <w:pPr>
              <w:jc w:val="center"/>
              <w:rPr>
                <w:rFonts w:ascii="仿宋" w:hAnsi="仿宋" w:eastAsia="仿宋"/>
                <w:b/>
                <w:color w:val="auto"/>
                <w:sz w:val="36"/>
                <w:highlight w:val="none"/>
              </w:rPr>
            </w:pPr>
          </w:p>
          <w:p>
            <w:pPr>
              <w:jc w:val="center"/>
              <w:rPr>
                <w:rFonts w:ascii="仿宋" w:hAnsi="仿宋" w:eastAsia="仿宋"/>
                <w:b/>
                <w:color w:val="auto"/>
                <w:sz w:val="36"/>
                <w:highlight w:val="none"/>
              </w:rPr>
            </w:pPr>
          </w:p>
          <w:p>
            <w:pPr>
              <w:jc w:val="center"/>
              <w:rPr>
                <w:rFonts w:ascii="仿宋" w:hAnsi="仿宋" w:eastAsia="仿宋"/>
                <w:b/>
                <w:color w:val="auto"/>
                <w:sz w:val="36"/>
                <w:highlight w:val="none"/>
              </w:rPr>
            </w:pPr>
          </w:p>
          <w:p>
            <w:pPr>
              <w:tabs>
                <w:tab w:val="left" w:pos="2310"/>
              </w:tabs>
              <w:spacing w:line="360" w:lineRule="auto"/>
              <w:rPr>
                <w:rFonts w:hint="eastAsia" w:ascii="仿宋" w:hAnsi="仿宋" w:eastAsia="仿宋"/>
                <w:b/>
                <w:color w:val="auto"/>
                <w:sz w:val="32"/>
                <w:szCs w:val="32"/>
                <w:highlight w:val="none"/>
                <w:u w:val="single"/>
                <w:lang w:eastAsia="zh-CN"/>
              </w:rPr>
            </w:pPr>
            <w:r>
              <w:rPr>
                <w:rFonts w:hint="eastAsia" w:ascii="仿宋" w:hAnsi="仿宋" w:eastAsia="仿宋"/>
                <w:color w:val="auto"/>
                <w:sz w:val="32"/>
                <w:szCs w:val="32"/>
                <w:highlight w:val="none"/>
              </w:rPr>
              <w:t>项 目 编 号：</w:t>
            </w:r>
            <w:r>
              <w:rPr>
                <w:rFonts w:hint="eastAsia" w:ascii="仿宋" w:hAnsi="仿宋" w:eastAsia="仿宋"/>
                <w:b/>
                <w:color w:val="auto"/>
                <w:sz w:val="32"/>
                <w:szCs w:val="32"/>
                <w:highlight w:val="none"/>
                <w:u w:val="single"/>
                <w:lang w:eastAsia="zh-CN"/>
              </w:rPr>
              <w:t>JXJH2023-XC040</w:t>
            </w:r>
          </w:p>
          <w:p>
            <w:pPr>
              <w:spacing w:line="360" w:lineRule="auto"/>
              <w:ind w:left="2138" w:hanging="2137" w:hangingChars="668"/>
              <w:rPr>
                <w:rFonts w:hint="eastAsia" w:ascii="仿宋" w:hAnsi="仿宋" w:eastAsia="仿宋"/>
                <w:b/>
                <w:color w:val="auto"/>
                <w:sz w:val="32"/>
                <w:szCs w:val="32"/>
                <w:highlight w:val="none"/>
                <w:u w:val="single"/>
                <w:lang w:eastAsia="zh-CN"/>
              </w:rPr>
            </w:pPr>
            <w:r>
              <w:rPr>
                <w:rFonts w:hint="eastAsia" w:ascii="仿宋" w:hAnsi="仿宋" w:eastAsia="仿宋"/>
                <w:color w:val="auto"/>
                <w:sz w:val="32"/>
                <w:szCs w:val="32"/>
                <w:highlight w:val="none"/>
              </w:rPr>
              <w:t>项 目 名 称：</w:t>
            </w:r>
            <w:r>
              <w:rPr>
                <w:rFonts w:hint="eastAsia" w:ascii="仿宋" w:hAnsi="仿宋" w:eastAsia="仿宋"/>
                <w:b/>
                <w:color w:val="auto"/>
                <w:sz w:val="32"/>
                <w:szCs w:val="32"/>
                <w:highlight w:val="none"/>
                <w:u w:val="single"/>
                <w:lang w:eastAsia="zh-CN"/>
              </w:rPr>
              <w:t>2023年一带一路暨金砖国家技能发展与技术创新大赛婴幼儿照护赛项选拔赛项目采购</w:t>
            </w:r>
          </w:p>
          <w:p>
            <w:pPr>
              <w:rPr>
                <w:rFonts w:ascii="仿宋" w:hAnsi="仿宋" w:eastAsia="仿宋"/>
                <w:color w:val="auto"/>
                <w:sz w:val="28"/>
                <w:szCs w:val="28"/>
                <w:highlight w:val="none"/>
              </w:rPr>
            </w:pPr>
          </w:p>
          <w:p>
            <w:pPr>
              <w:rPr>
                <w:rFonts w:ascii="仿宋" w:hAnsi="仿宋" w:eastAsia="仿宋"/>
                <w:color w:val="auto"/>
                <w:sz w:val="28"/>
                <w:szCs w:val="28"/>
                <w:highlight w:val="none"/>
              </w:rPr>
            </w:pPr>
          </w:p>
          <w:p>
            <w:pPr>
              <w:rPr>
                <w:rFonts w:ascii="仿宋" w:hAnsi="仿宋" w:eastAsia="仿宋"/>
                <w:color w:val="auto"/>
                <w:sz w:val="28"/>
                <w:szCs w:val="28"/>
                <w:highlight w:val="none"/>
              </w:rPr>
            </w:pPr>
          </w:p>
          <w:p>
            <w:pPr>
              <w:rPr>
                <w:rFonts w:ascii="仿宋" w:hAnsi="仿宋" w:eastAsia="仿宋"/>
                <w:color w:val="auto"/>
                <w:sz w:val="28"/>
                <w:szCs w:val="28"/>
                <w:highlight w:val="none"/>
              </w:rPr>
            </w:pPr>
          </w:p>
          <w:p>
            <w:pPr>
              <w:rPr>
                <w:rFonts w:ascii="仿宋" w:hAnsi="仿宋" w:eastAsia="仿宋"/>
                <w:color w:val="auto"/>
                <w:sz w:val="28"/>
                <w:szCs w:val="28"/>
                <w:highlight w:val="none"/>
              </w:rPr>
            </w:pPr>
          </w:p>
          <w:p>
            <w:pPr>
              <w:rPr>
                <w:rFonts w:ascii="仿宋" w:hAnsi="仿宋" w:eastAsia="仿宋"/>
                <w:color w:val="auto"/>
                <w:sz w:val="28"/>
                <w:szCs w:val="28"/>
                <w:highlight w:val="none"/>
              </w:rPr>
            </w:pPr>
          </w:p>
          <w:p>
            <w:pPr>
              <w:ind w:firstLine="1439" w:firstLineChars="514"/>
              <w:rPr>
                <w:rFonts w:ascii="仿宋" w:hAnsi="仿宋" w:eastAsia="仿宋"/>
                <w:color w:val="auto"/>
                <w:sz w:val="28"/>
                <w:szCs w:val="28"/>
                <w:highlight w:val="none"/>
              </w:rPr>
            </w:pPr>
            <w:r>
              <w:rPr>
                <w:rFonts w:hint="eastAsia" w:ascii="仿宋" w:hAnsi="仿宋" w:eastAsia="仿宋"/>
                <w:color w:val="auto"/>
                <w:sz w:val="28"/>
                <w:szCs w:val="28"/>
                <w:highlight w:val="none"/>
              </w:rPr>
              <w:t>供应商：（盖章）</w:t>
            </w:r>
          </w:p>
          <w:p>
            <w:pPr>
              <w:ind w:firstLine="1439" w:firstLineChars="514"/>
              <w:rPr>
                <w:rFonts w:ascii="仿宋" w:hAnsi="仿宋" w:eastAsia="仿宋"/>
                <w:color w:val="auto"/>
                <w:sz w:val="28"/>
                <w:szCs w:val="28"/>
                <w:highlight w:val="none"/>
              </w:rPr>
            </w:pPr>
            <w:r>
              <w:rPr>
                <w:rFonts w:ascii="仿宋" w:hAnsi="仿宋" w:eastAsia="仿宋"/>
                <w:color w:val="auto"/>
                <w:sz w:val="28"/>
                <w:szCs w:val="28"/>
                <w:highlight w:val="none"/>
              </w:rPr>
              <w:t>法定代表人或其委托代理人：（盖章</w:t>
            </w:r>
            <w:r>
              <w:rPr>
                <w:rFonts w:hint="eastAsia" w:ascii="仿宋" w:hAnsi="仿宋" w:eastAsia="仿宋"/>
                <w:color w:val="auto"/>
                <w:sz w:val="28"/>
                <w:szCs w:val="28"/>
                <w:highlight w:val="none"/>
              </w:rPr>
              <w:t>或签字</w:t>
            </w:r>
            <w:r>
              <w:rPr>
                <w:rFonts w:ascii="仿宋" w:hAnsi="仿宋" w:eastAsia="仿宋"/>
                <w:color w:val="auto"/>
                <w:sz w:val="28"/>
                <w:szCs w:val="28"/>
                <w:highlight w:val="none"/>
              </w:rPr>
              <w:t>）</w:t>
            </w:r>
          </w:p>
          <w:p>
            <w:pPr>
              <w:ind w:firstLine="1439" w:firstLineChars="514"/>
              <w:rPr>
                <w:rFonts w:ascii="仿宋" w:hAnsi="仿宋" w:eastAsia="仿宋"/>
                <w:color w:val="auto"/>
                <w:sz w:val="28"/>
                <w:szCs w:val="28"/>
                <w:highlight w:val="none"/>
              </w:rPr>
            </w:pPr>
            <w:r>
              <w:rPr>
                <w:rFonts w:ascii="仿宋" w:hAnsi="仿宋" w:eastAsia="仿宋"/>
                <w:color w:val="auto"/>
                <w:sz w:val="28"/>
                <w:szCs w:val="28"/>
                <w:highlight w:val="none"/>
              </w:rPr>
              <w:t>日</w:t>
            </w:r>
            <w:r>
              <w:rPr>
                <w:rFonts w:ascii="仿宋" w:hAnsi="仿宋" w:eastAsia="仿宋"/>
                <w:color w:val="auto"/>
                <w:sz w:val="28"/>
                <w:szCs w:val="28"/>
                <w:highlight w:val="none"/>
              </w:rPr>
              <w:tab/>
            </w:r>
            <w:r>
              <w:rPr>
                <w:rFonts w:ascii="仿宋" w:hAnsi="仿宋" w:eastAsia="仿宋"/>
                <w:color w:val="auto"/>
                <w:sz w:val="28"/>
                <w:szCs w:val="28"/>
                <w:highlight w:val="none"/>
              </w:rPr>
              <w:t>期：年</w:t>
            </w:r>
            <w:r>
              <w:rPr>
                <w:rFonts w:ascii="仿宋" w:hAnsi="仿宋" w:eastAsia="仿宋"/>
                <w:color w:val="auto"/>
                <w:sz w:val="28"/>
                <w:szCs w:val="28"/>
                <w:highlight w:val="none"/>
              </w:rPr>
              <w:tab/>
            </w:r>
            <w:r>
              <w:rPr>
                <w:rFonts w:ascii="仿宋" w:hAnsi="仿宋" w:eastAsia="仿宋"/>
                <w:color w:val="auto"/>
                <w:sz w:val="28"/>
                <w:szCs w:val="28"/>
                <w:highlight w:val="none"/>
              </w:rPr>
              <w:t>月</w:t>
            </w:r>
            <w:r>
              <w:rPr>
                <w:rFonts w:ascii="仿宋" w:hAnsi="仿宋" w:eastAsia="仿宋"/>
                <w:color w:val="auto"/>
                <w:sz w:val="28"/>
                <w:szCs w:val="28"/>
                <w:highlight w:val="none"/>
              </w:rPr>
              <w:tab/>
            </w:r>
            <w:r>
              <w:rPr>
                <w:rFonts w:ascii="仿宋" w:hAnsi="仿宋" w:eastAsia="仿宋"/>
                <w:color w:val="auto"/>
                <w:sz w:val="28"/>
                <w:szCs w:val="28"/>
                <w:highlight w:val="none"/>
              </w:rPr>
              <w:t>日</w:t>
            </w:r>
          </w:p>
          <w:p>
            <w:pPr>
              <w:ind w:firstLine="1079" w:firstLineChars="514"/>
              <w:rPr>
                <w:rFonts w:ascii="仿宋" w:hAnsi="仿宋" w:eastAsia="仿宋"/>
                <w:color w:val="auto"/>
                <w:highlight w:val="none"/>
              </w:rPr>
            </w:pPr>
          </w:p>
        </w:tc>
      </w:tr>
    </w:tbl>
    <w:p>
      <w:pPr>
        <w:pStyle w:val="3"/>
        <w:numPr>
          <w:ilvl w:val="0"/>
          <w:numId w:val="11"/>
        </w:numPr>
        <w:tabs>
          <w:tab w:val="left" w:pos="900"/>
        </w:tabs>
        <w:ind w:hanging="2159"/>
        <w:rPr>
          <w:rFonts w:ascii="仿宋" w:hAnsi="仿宋" w:eastAsia="仿宋"/>
          <w:color w:val="auto"/>
          <w:highlight w:val="none"/>
        </w:rPr>
      </w:pPr>
      <w:r>
        <w:rPr>
          <w:rFonts w:ascii="仿宋" w:hAnsi="仿宋" w:eastAsia="仿宋"/>
          <w:b w:val="0"/>
          <w:color w:val="auto"/>
          <w:highlight w:val="none"/>
        </w:rPr>
        <w:br w:type="page"/>
      </w:r>
      <w:bookmarkStart w:id="133" w:name="_Toc18690"/>
      <w:r>
        <w:rPr>
          <w:rFonts w:hint="eastAsia" w:ascii="仿宋" w:hAnsi="仿宋" w:eastAsia="仿宋"/>
          <w:color w:val="auto"/>
          <w:highlight w:val="none"/>
        </w:rPr>
        <w:t>谈判响应书</w:t>
      </w:r>
      <w:bookmarkEnd w:id="133"/>
    </w:p>
    <w:p>
      <w:pPr>
        <w:jc w:val="center"/>
        <w:rPr>
          <w:rFonts w:ascii="仿宋" w:hAnsi="仿宋" w:eastAsia="仿宋"/>
          <w:b/>
          <w:color w:val="auto"/>
          <w:sz w:val="32"/>
          <w:szCs w:val="32"/>
          <w:highlight w:val="none"/>
        </w:rPr>
      </w:pPr>
    </w:p>
    <w:p>
      <w:pPr>
        <w:autoSpaceDE w:val="0"/>
        <w:autoSpaceDN w:val="0"/>
        <w:adjustRightInd w:val="0"/>
        <w:spacing w:line="360" w:lineRule="auto"/>
        <w:ind w:right="26"/>
        <w:rPr>
          <w:rFonts w:ascii="仿宋" w:hAnsi="仿宋" w:eastAsia="仿宋"/>
          <w:b/>
          <w:bCs/>
          <w:color w:val="auto"/>
          <w:sz w:val="24"/>
          <w:highlight w:val="none"/>
        </w:rPr>
      </w:pPr>
      <w:r>
        <w:rPr>
          <w:rFonts w:hint="eastAsia" w:ascii="仿宋" w:hAnsi="仿宋" w:eastAsia="仿宋"/>
          <w:b/>
          <w:color w:val="auto"/>
          <w:sz w:val="24"/>
          <w:highlight w:val="none"/>
        </w:rPr>
        <w:t>致</w:t>
      </w:r>
      <w:r>
        <w:rPr>
          <w:rFonts w:hint="eastAsia" w:ascii="仿宋" w:hAnsi="仿宋" w:eastAsia="仿宋"/>
          <w:color w:val="auto"/>
          <w:sz w:val="24"/>
          <w:highlight w:val="none"/>
        </w:rPr>
        <w:t>：</w:t>
      </w:r>
      <w:r>
        <w:rPr>
          <w:rFonts w:hint="eastAsia" w:ascii="仿宋" w:hAnsi="仿宋" w:eastAsia="仿宋"/>
          <w:b/>
          <w:bCs/>
          <w:color w:val="auto"/>
          <w:sz w:val="24"/>
          <w:highlight w:val="none"/>
        </w:rPr>
        <w:t>江西骏宏招标咨询有限公司</w:t>
      </w:r>
    </w:p>
    <w:p>
      <w:pPr>
        <w:spacing w:line="420" w:lineRule="exact"/>
        <w:ind w:firstLine="560"/>
        <w:rPr>
          <w:rFonts w:ascii="仿宋" w:hAnsi="仿宋" w:eastAsia="仿宋"/>
          <w:color w:val="auto"/>
          <w:sz w:val="24"/>
          <w:highlight w:val="none"/>
        </w:rPr>
      </w:pPr>
      <w:r>
        <w:rPr>
          <w:rFonts w:hint="eastAsia" w:ascii="仿宋" w:hAnsi="仿宋" w:eastAsia="仿宋"/>
          <w:color w:val="auto"/>
          <w:sz w:val="24"/>
          <w:highlight w:val="none"/>
        </w:rPr>
        <w:t>依据贵方</w:t>
      </w:r>
      <w:r>
        <w:rPr>
          <w:rFonts w:ascii="仿宋" w:hAnsi="仿宋" w:eastAsia="仿宋"/>
          <w:color w:val="auto"/>
          <w:sz w:val="24"/>
          <w:highlight w:val="none"/>
        </w:rPr>
        <w:t>(项目名称)项目(项目编号)</w:t>
      </w:r>
      <w:r>
        <w:rPr>
          <w:rFonts w:hint="eastAsia" w:ascii="仿宋" w:hAnsi="仿宋" w:eastAsia="仿宋"/>
          <w:color w:val="auto"/>
          <w:sz w:val="24"/>
          <w:highlight w:val="none"/>
        </w:rPr>
        <w:t>的</w:t>
      </w:r>
      <w:r>
        <w:rPr>
          <w:rFonts w:hint="eastAsia" w:ascii="仿宋" w:hAnsi="仿宋" w:eastAsia="仿宋"/>
          <w:color w:val="auto"/>
          <w:kern w:val="0"/>
          <w:sz w:val="24"/>
          <w:highlight w:val="none"/>
        </w:rPr>
        <w:t>谈判邀请函，我方代表</w:t>
      </w:r>
      <w:r>
        <w:rPr>
          <w:rFonts w:hint="eastAsia" w:ascii="仿宋" w:hAnsi="仿宋" w:eastAsia="仿宋"/>
          <w:color w:val="auto"/>
          <w:sz w:val="24"/>
          <w:highlight w:val="none"/>
          <w:u w:val="single"/>
        </w:rPr>
        <w:t>（姓名、职务）</w:t>
      </w:r>
      <w:r>
        <w:rPr>
          <w:rFonts w:hint="eastAsia" w:ascii="仿宋" w:hAnsi="仿宋" w:eastAsia="仿宋"/>
          <w:color w:val="auto"/>
          <w:kern w:val="0"/>
          <w:sz w:val="24"/>
          <w:highlight w:val="none"/>
        </w:rPr>
        <w:t>经正式授权并代表</w:t>
      </w:r>
      <w:r>
        <w:rPr>
          <w:rFonts w:hint="eastAsia" w:ascii="仿宋" w:hAnsi="仿宋" w:eastAsia="仿宋"/>
          <w:color w:val="auto"/>
          <w:sz w:val="24"/>
          <w:highlight w:val="none"/>
          <w:u w:val="single"/>
        </w:rPr>
        <w:t>（供应商名称）</w:t>
      </w:r>
      <w:r>
        <w:rPr>
          <w:rFonts w:hint="eastAsia" w:ascii="仿宋" w:hAnsi="仿宋" w:eastAsia="仿宋"/>
          <w:color w:val="auto"/>
          <w:sz w:val="24"/>
          <w:highlight w:val="none"/>
        </w:rPr>
        <w:t xml:space="preserve">参加该项目的谈判活动。为此，我方郑重声明以下诸点并对之负法律责任： </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1. 我方已经全面仔细地阅读了谈判文件及其附件【包括澄清及补充文件】，我们完全理解并同意放弃提出含糊不清或易形成歧义的表述和资料，同意放弃对这方面有不明及误解的权力；同意接受及遵守谈判文件的各项要求和规定，并按照其要求提供报价。</w:t>
      </w:r>
    </w:p>
    <w:p>
      <w:pPr>
        <w:spacing w:line="360" w:lineRule="auto"/>
        <w:ind w:firstLine="456" w:firstLineChars="200"/>
        <w:rPr>
          <w:rFonts w:ascii="仿宋" w:hAnsi="仿宋" w:eastAsia="仿宋"/>
          <w:color w:val="auto"/>
          <w:spacing w:val="-6"/>
          <w:sz w:val="24"/>
          <w:highlight w:val="none"/>
        </w:rPr>
      </w:pPr>
      <w:r>
        <w:rPr>
          <w:rFonts w:hint="eastAsia" w:ascii="仿宋" w:hAnsi="仿宋" w:eastAsia="仿宋"/>
          <w:color w:val="auto"/>
          <w:spacing w:val="-6"/>
          <w:sz w:val="24"/>
          <w:highlight w:val="none"/>
        </w:rPr>
        <w:t>2.谈判有效期为递交谈判响应文件截止之日起</w:t>
      </w:r>
      <w:r>
        <w:rPr>
          <w:rFonts w:hint="eastAsia" w:ascii="仿宋" w:hAnsi="仿宋" w:eastAsia="仿宋"/>
          <w:color w:val="auto"/>
          <w:spacing w:val="-6"/>
          <w:sz w:val="24"/>
          <w:highlight w:val="none"/>
          <w:u w:val="single"/>
        </w:rPr>
        <w:t>90</w:t>
      </w:r>
      <w:r>
        <w:rPr>
          <w:rFonts w:hint="eastAsia" w:ascii="仿宋" w:hAnsi="仿宋" w:eastAsia="仿宋"/>
          <w:color w:val="auto"/>
          <w:spacing w:val="-6"/>
          <w:sz w:val="24"/>
          <w:highlight w:val="none"/>
        </w:rPr>
        <w:t>日，成交供应商谈判有效期延至合同验收之日；</w:t>
      </w:r>
    </w:p>
    <w:p>
      <w:pPr>
        <w:spacing w:line="42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rPr>
        <w:t>3.我方将按谈判文件的规定履行合同责任和义务，并已毫无保留地向贵方提供一切所需的证明材料。</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4.我方承诺在本次谈判响应文件中提供的一切文件，无论是原件还是复印件均为真实和准确的，绝无任何虚假、伪造和夸大的成份，否则，愿承担相应的后果和法律责任。</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5.我方完全尊重和认可谈判小组所作的谈判评审结果。【同时，理解到报价最低并非意味着必定获得成交资格】。</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6.我方同意按谈判文件规定向采购代理机构缴纳</w:t>
      </w:r>
      <w:r>
        <w:rPr>
          <w:rFonts w:hint="eastAsia" w:ascii="仿宋" w:hAnsi="仿宋" w:eastAsia="仿宋"/>
          <w:color w:val="auto"/>
          <w:sz w:val="24"/>
          <w:highlight w:val="none"/>
          <w:lang w:val="en-GB"/>
        </w:rPr>
        <w:t>采购代理费</w:t>
      </w:r>
      <w:r>
        <w:rPr>
          <w:rFonts w:hint="eastAsia" w:ascii="仿宋" w:hAnsi="仿宋" w:eastAsia="仿宋"/>
          <w:color w:val="auto"/>
          <w:sz w:val="24"/>
          <w:highlight w:val="none"/>
        </w:rPr>
        <w:t>。</w:t>
      </w:r>
    </w:p>
    <w:p>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7.联系方式：</w:t>
      </w:r>
    </w:p>
    <w:p>
      <w:pPr>
        <w:autoSpaceDE w:val="0"/>
        <w:autoSpaceDN w:val="0"/>
        <w:adjustRightInd w:val="0"/>
        <w:spacing w:line="300" w:lineRule="auto"/>
        <w:ind w:right="244" w:firstLine="960" w:firstLineChars="400"/>
        <w:rPr>
          <w:rFonts w:ascii="仿宋" w:hAnsi="仿宋" w:eastAsia="仿宋"/>
          <w:color w:val="auto"/>
          <w:kern w:val="0"/>
          <w:sz w:val="24"/>
          <w:highlight w:val="none"/>
        </w:rPr>
      </w:pPr>
      <w:r>
        <w:rPr>
          <w:rFonts w:hint="eastAsia" w:ascii="仿宋" w:hAnsi="仿宋" w:eastAsia="仿宋"/>
          <w:color w:val="auto"/>
          <w:kern w:val="0"/>
          <w:sz w:val="24"/>
          <w:highlight w:val="none"/>
        </w:rPr>
        <w:t>地    址：</w:t>
      </w:r>
      <w:r>
        <w:rPr>
          <w:rFonts w:hint="eastAsia" w:ascii="仿宋" w:hAnsi="仿宋" w:eastAsia="仿宋"/>
          <w:color w:val="auto"/>
          <w:kern w:val="0"/>
          <w:sz w:val="24"/>
          <w:highlight w:val="none"/>
          <w:u w:val="single"/>
        </w:rPr>
        <w:t xml:space="preserve">                 </w:t>
      </w:r>
    </w:p>
    <w:p>
      <w:pPr>
        <w:autoSpaceDE w:val="0"/>
        <w:autoSpaceDN w:val="0"/>
        <w:adjustRightInd w:val="0"/>
        <w:spacing w:line="300" w:lineRule="auto"/>
        <w:ind w:right="244" w:firstLine="960" w:firstLineChars="400"/>
        <w:rPr>
          <w:rFonts w:ascii="仿宋" w:hAnsi="仿宋" w:eastAsia="仿宋"/>
          <w:color w:val="auto"/>
          <w:kern w:val="0"/>
          <w:sz w:val="24"/>
          <w:highlight w:val="none"/>
          <w:u w:val="single"/>
        </w:rPr>
      </w:pPr>
      <w:r>
        <w:rPr>
          <w:rFonts w:hint="eastAsia" w:ascii="仿宋" w:hAnsi="仿宋" w:eastAsia="仿宋"/>
          <w:color w:val="auto"/>
          <w:kern w:val="0"/>
          <w:sz w:val="24"/>
          <w:highlight w:val="none"/>
        </w:rPr>
        <w:t>传    真：</w:t>
      </w:r>
      <w:r>
        <w:rPr>
          <w:rFonts w:hint="eastAsia" w:ascii="仿宋" w:hAnsi="仿宋" w:eastAsia="仿宋"/>
          <w:color w:val="auto"/>
          <w:kern w:val="0"/>
          <w:sz w:val="24"/>
          <w:highlight w:val="none"/>
          <w:u w:val="single"/>
        </w:rPr>
        <w:t xml:space="preserve">                 </w:t>
      </w:r>
    </w:p>
    <w:p>
      <w:pPr>
        <w:autoSpaceDE w:val="0"/>
        <w:autoSpaceDN w:val="0"/>
        <w:adjustRightInd w:val="0"/>
        <w:spacing w:line="300" w:lineRule="auto"/>
        <w:ind w:right="244" w:firstLine="960" w:firstLineChars="400"/>
        <w:rPr>
          <w:rFonts w:ascii="仿宋" w:hAnsi="仿宋" w:eastAsia="仿宋"/>
          <w:color w:val="auto"/>
          <w:kern w:val="0"/>
          <w:sz w:val="24"/>
          <w:highlight w:val="none"/>
        </w:rPr>
      </w:pPr>
      <w:r>
        <w:rPr>
          <w:rFonts w:hint="eastAsia" w:ascii="仿宋" w:hAnsi="仿宋" w:eastAsia="仿宋"/>
          <w:color w:val="auto"/>
          <w:kern w:val="0"/>
          <w:sz w:val="24"/>
          <w:highlight w:val="none"/>
        </w:rPr>
        <w:t>电    话：</w:t>
      </w:r>
      <w:r>
        <w:rPr>
          <w:rFonts w:hint="eastAsia" w:ascii="仿宋" w:hAnsi="仿宋" w:eastAsia="仿宋"/>
          <w:color w:val="auto"/>
          <w:kern w:val="0"/>
          <w:sz w:val="24"/>
          <w:highlight w:val="none"/>
          <w:u w:val="single"/>
        </w:rPr>
        <w:t xml:space="preserve">                 </w:t>
      </w:r>
    </w:p>
    <w:p>
      <w:pPr>
        <w:autoSpaceDE w:val="0"/>
        <w:autoSpaceDN w:val="0"/>
        <w:adjustRightInd w:val="0"/>
        <w:spacing w:line="300" w:lineRule="auto"/>
        <w:ind w:right="244" w:firstLine="960" w:firstLineChars="400"/>
        <w:rPr>
          <w:rFonts w:ascii="仿宋" w:hAnsi="仿宋" w:eastAsia="仿宋"/>
          <w:color w:val="auto"/>
          <w:sz w:val="24"/>
          <w:highlight w:val="none"/>
          <w:u w:val="single"/>
        </w:rPr>
      </w:pPr>
      <w:r>
        <w:rPr>
          <w:rFonts w:hint="eastAsia" w:ascii="仿宋" w:hAnsi="仿宋" w:eastAsia="仿宋"/>
          <w:color w:val="auto"/>
          <w:sz w:val="24"/>
          <w:highlight w:val="none"/>
        </w:rPr>
        <w:t>开户银行：</w:t>
      </w:r>
      <w:r>
        <w:rPr>
          <w:rFonts w:hint="eastAsia" w:ascii="仿宋" w:hAnsi="仿宋" w:eastAsia="仿宋"/>
          <w:color w:val="auto"/>
          <w:sz w:val="24"/>
          <w:highlight w:val="none"/>
          <w:u w:val="single"/>
        </w:rPr>
        <w:t xml:space="preserve">                 </w:t>
      </w:r>
    </w:p>
    <w:p>
      <w:pPr>
        <w:autoSpaceDE w:val="0"/>
        <w:autoSpaceDN w:val="0"/>
        <w:adjustRightInd w:val="0"/>
        <w:spacing w:line="300" w:lineRule="auto"/>
        <w:ind w:right="244" w:firstLine="960" w:firstLineChars="400"/>
        <w:rPr>
          <w:rFonts w:ascii="仿宋" w:hAnsi="仿宋" w:eastAsia="仿宋"/>
          <w:color w:val="auto"/>
          <w:sz w:val="24"/>
          <w:highlight w:val="none"/>
          <w:u w:val="single"/>
        </w:rPr>
      </w:pPr>
      <w:r>
        <w:rPr>
          <w:rFonts w:hint="eastAsia" w:ascii="仿宋" w:hAnsi="仿宋" w:eastAsia="仿宋"/>
          <w:color w:val="auto"/>
          <w:kern w:val="0"/>
          <w:sz w:val="24"/>
          <w:highlight w:val="none"/>
        </w:rPr>
        <w:t>账    号</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p>
    <w:p>
      <w:pPr>
        <w:adjustRightInd w:val="0"/>
        <w:snapToGrid w:val="0"/>
        <w:spacing w:line="300" w:lineRule="auto"/>
        <w:ind w:left="2940" w:leftChars="1400" w:firstLine="1380" w:firstLineChars="575"/>
        <w:rPr>
          <w:rFonts w:ascii="仿宋" w:hAnsi="仿宋" w:eastAsia="仿宋"/>
          <w:color w:val="auto"/>
          <w:sz w:val="24"/>
          <w:highlight w:val="none"/>
        </w:rPr>
      </w:pPr>
    </w:p>
    <w:p>
      <w:pPr>
        <w:adjustRightInd w:val="0"/>
        <w:snapToGrid w:val="0"/>
        <w:spacing w:line="300" w:lineRule="auto"/>
        <w:ind w:left="2940" w:leftChars="1400" w:firstLine="1380" w:firstLineChars="575"/>
        <w:rPr>
          <w:rFonts w:ascii="仿宋" w:hAnsi="仿宋" w:eastAsia="仿宋"/>
          <w:color w:val="auto"/>
          <w:sz w:val="24"/>
          <w:highlight w:val="none"/>
        </w:rPr>
      </w:pP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供应商法定代表人或授权代表签字：</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u w:val="single"/>
        </w:rPr>
      </w:pPr>
      <w:r>
        <w:rPr>
          <w:rFonts w:hint="eastAsia" w:ascii="仿宋" w:hAnsi="仿宋" w:eastAsia="仿宋"/>
          <w:color w:val="auto"/>
          <w:sz w:val="24"/>
          <w:highlight w:val="none"/>
        </w:rPr>
        <w:t>供应商名称</w:t>
      </w:r>
      <w:r>
        <w:rPr>
          <w:rFonts w:hint="eastAsia" w:ascii="仿宋" w:hAnsi="仿宋" w:eastAsia="仿宋"/>
          <w:color w:val="auto"/>
          <w:szCs w:val="21"/>
          <w:highlight w:val="none"/>
        </w:rPr>
        <w:t>（签章）</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日            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rPr>
          <w:rFonts w:ascii="仿宋" w:hAnsi="仿宋" w:eastAsia="仿宋"/>
          <w:color w:val="auto"/>
          <w:highlight w:val="none"/>
        </w:rPr>
      </w:pPr>
      <w:r>
        <w:rPr>
          <w:rFonts w:ascii="仿宋" w:hAnsi="仿宋" w:eastAsia="仿宋"/>
          <w:color w:val="auto"/>
          <w:highlight w:val="none"/>
        </w:rPr>
        <w:br w:type="page"/>
      </w:r>
    </w:p>
    <w:p>
      <w:pPr>
        <w:pStyle w:val="3"/>
        <w:numPr>
          <w:ilvl w:val="0"/>
          <w:numId w:val="11"/>
        </w:numPr>
        <w:tabs>
          <w:tab w:val="left" w:pos="900"/>
        </w:tabs>
        <w:ind w:hanging="2159"/>
        <w:rPr>
          <w:rFonts w:ascii="仿宋" w:hAnsi="仿宋" w:eastAsia="仿宋"/>
          <w:color w:val="auto"/>
          <w:highlight w:val="none"/>
        </w:rPr>
      </w:pPr>
      <w:bookmarkStart w:id="134" w:name="_Toc4248"/>
      <w:bookmarkStart w:id="135" w:name="_Toc85603421"/>
      <w:bookmarkStart w:id="136" w:name="_Toc25566915"/>
      <w:bookmarkStart w:id="137" w:name="_Toc508525042"/>
      <w:bookmarkStart w:id="138" w:name="_Toc508605844"/>
      <w:bookmarkStart w:id="139" w:name="_Toc509121679"/>
      <w:bookmarkStart w:id="140" w:name="_Toc508606052"/>
      <w:bookmarkStart w:id="141" w:name="_Toc508606831"/>
      <w:r>
        <w:rPr>
          <w:rFonts w:hint="eastAsia" w:ascii="仿宋" w:hAnsi="仿宋" w:eastAsia="仿宋"/>
          <w:color w:val="auto"/>
          <w:highlight w:val="none"/>
        </w:rPr>
        <w:t>报价一览表</w:t>
      </w:r>
      <w:bookmarkEnd w:id="134"/>
    </w:p>
    <w:p>
      <w:pPr>
        <w:rPr>
          <w:rFonts w:ascii="仿宋" w:hAnsi="仿宋" w:eastAsia="仿宋"/>
          <w:color w:val="auto"/>
          <w:highlight w:val="none"/>
        </w:rPr>
      </w:pPr>
    </w:p>
    <w:p>
      <w:pPr>
        <w:rPr>
          <w:rFonts w:ascii="仿宋" w:hAnsi="仿宋" w:eastAsia="仿宋"/>
          <w:color w:val="auto"/>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6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267" w:type="dxa"/>
            <w:tcBorders>
              <w:top w:val="single" w:color="auto" w:sz="4" w:space="0"/>
              <w:bottom w:val="single" w:color="auto" w:sz="4" w:space="0"/>
              <w:right w:val="single" w:color="auto" w:sz="4" w:space="0"/>
            </w:tcBorders>
            <w:vAlign w:val="center"/>
          </w:tcPr>
          <w:p>
            <w:pPr>
              <w:widowControl/>
              <w:jc w:val="left"/>
              <w:rPr>
                <w:rFonts w:ascii="仿宋" w:hAnsi="仿宋" w:eastAsia="仿宋"/>
                <w:b/>
                <w:color w:val="auto"/>
                <w:sz w:val="28"/>
                <w:highlight w:val="none"/>
              </w:rPr>
            </w:pPr>
            <w:r>
              <w:rPr>
                <w:rFonts w:hint="eastAsia" w:ascii="仿宋" w:hAnsi="仿宋" w:eastAsia="仿宋"/>
                <w:color w:val="auto"/>
                <w:sz w:val="24"/>
                <w:highlight w:val="none"/>
              </w:rPr>
              <w:t>项 目 名 称</w:t>
            </w:r>
          </w:p>
        </w:tc>
        <w:tc>
          <w:tcPr>
            <w:tcW w:w="6976" w:type="dxa"/>
            <w:tcBorders>
              <w:top w:val="single" w:color="auto" w:sz="4" w:space="0"/>
              <w:bottom w:val="single" w:color="auto" w:sz="4" w:space="0"/>
              <w:right w:val="single" w:color="auto" w:sz="4" w:space="0"/>
            </w:tcBorders>
            <w:vAlign w:val="center"/>
          </w:tcPr>
          <w:p>
            <w:pPr>
              <w:widowControl/>
              <w:jc w:val="left"/>
              <w:rPr>
                <w:rFonts w:hint="eastAsia" w:ascii="仿宋" w:hAnsi="仿宋" w:eastAsia="仿宋"/>
                <w:color w:val="auto"/>
                <w:kern w:val="0"/>
                <w:sz w:val="24"/>
                <w:highlight w:val="none"/>
                <w:lang w:eastAsia="zh-CN"/>
              </w:rPr>
            </w:pPr>
            <w:r>
              <w:rPr>
                <w:rFonts w:hint="eastAsia" w:ascii="仿宋" w:hAnsi="仿宋" w:eastAsia="仿宋"/>
                <w:color w:val="auto"/>
                <w:kern w:val="0"/>
                <w:sz w:val="24"/>
                <w:highlight w:val="none"/>
                <w:lang w:eastAsia="zh-CN"/>
              </w:rPr>
              <w:t>2023年一带一路暨金砖国家技能发展与技术创新大赛婴幼儿照护赛项选拔赛项目采购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267" w:type="dxa"/>
            <w:tcBorders>
              <w:top w:val="single" w:color="auto" w:sz="4" w:space="0"/>
              <w:bottom w:val="single" w:color="auto" w:sz="4" w:space="0"/>
              <w:right w:val="single" w:color="auto" w:sz="4" w:space="0"/>
            </w:tcBorders>
            <w:vAlign w:val="center"/>
          </w:tcPr>
          <w:p>
            <w:pPr>
              <w:widowControl/>
              <w:jc w:val="left"/>
              <w:rPr>
                <w:rFonts w:ascii="仿宋" w:hAnsi="仿宋" w:eastAsia="仿宋"/>
                <w:color w:val="auto"/>
                <w:sz w:val="24"/>
                <w:highlight w:val="none"/>
              </w:rPr>
            </w:pPr>
            <w:r>
              <w:rPr>
                <w:rFonts w:hint="eastAsia" w:ascii="仿宋" w:hAnsi="仿宋" w:eastAsia="仿宋"/>
                <w:color w:val="auto"/>
                <w:sz w:val="24"/>
                <w:highlight w:val="none"/>
              </w:rPr>
              <w:t xml:space="preserve">项目编号 </w:t>
            </w:r>
          </w:p>
        </w:tc>
        <w:tc>
          <w:tcPr>
            <w:tcW w:w="6976" w:type="dxa"/>
            <w:tcBorders>
              <w:top w:val="single" w:color="auto" w:sz="4" w:space="0"/>
              <w:bottom w:val="single" w:color="auto" w:sz="4" w:space="0"/>
              <w:right w:val="single" w:color="auto" w:sz="4" w:space="0"/>
            </w:tcBorders>
            <w:vAlign w:val="center"/>
          </w:tcPr>
          <w:p>
            <w:pPr>
              <w:widowControl/>
              <w:jc w:val="left"/>
              <w:rPr>
                <w:rFonts w:hint="eastAsia" w:ascii="仿宋" w:hAnsi="仿宋" w:eastAsia="仿宋"/>
                <w:color w:val="auto"/>
                <w:kern w:val="0"/>
                <w:sz w:val="24"/>
                <w:highlight w:val="none"/>
                <w:lang w:eastAsia="zh-CN"/>
              </w:rPr>
            </w:pPr>
            <w:r>
              <w:rPr>
                <w:rFonts w:hint="eastAsia" w:ascii="仿宋" w:hAnsi="仿宋" w:eastAsia="仿宋"/>
                <w:color w:val="auto"/>
                <w:kern w:val="0"/>
                <w:sz w:val="24"/>
                <w:highlight w:val="none"/>
                <w:lang w:eastAsia="zh-CN"/>
              </w:rPr>
              <w:t>JXJH2023-XC040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2267" w:type="dxa"/>
            <w:vMerge w:val="restart"/>
            <w:vAlign w:val="center"/>
          </w:tcPr>
          <w:p>
            <w:pPr>
              <w:widowControl/>
              <w:jc w:val="left"/>
              <w:rPr>
                <w:rFonts w:ascii="仿宋" w:hAnsi="仿宋" w:eastAsia="仿宋"/>
                <w:color w:val="auto"/>
                <w:sz w:val="24"/>
                <w:highlight w:val="none"/>
              </w:rPr>
            </w:pPr>
            <w:r>
              <w:rPr>
                <w:rFonts w:hint="eastAsia" w:ascii="仿宋" w:hAnsi="仿宋" w:eastAsia="仿宋"/>
                <w:color w:val="auto"/>
                <w:sz w:val="24"/>
                <w:highlight w:val="none"/>
              </w:rPr>
              <w:t>谈判保证金</w:t>
            </w:r>
          </w:p>
        </w:tc>
        <w:tc>
          <w:tcPr>
            <w:tcW w:w="6976" w:type="dxa"/>
            <w:vAlign w:val="center"/>
          </w:tcPr>
          <w:p>
            <w:pPr>
              <w:widowControl/>
              <w:rPr>
                <w:rFonts w:ascii="仿宋" w:hAnsi="仿宋" w:eastAsia="仿宋"/>
                <w:color w:val="auto"/>
                <w:sz w:val="24"/>
                <w:highlight w:val="none"/>
              </w:rPr>
            </w:pPr>
            <w:r>
              <w:rPr>
                <w:rFonts w:hint="eastAsia" w:ascii="仿宋" w:hAnsi="仿宋" w:eastAsia="仿宋"/>
                <w:color w:val="auto"/>
                <w:sz w:val="24"/>
                <w:highlight w:val="none"/>
              </w:rPr>
              <w:t>金额：       元   大写：人民币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67" w:type="dxa"/>
            <w:vMerge w:val="continue"/>
            <w:vAlign w:val="center"/>
          </w:tcPr>
          <w:p>
            <w:pPr>
              <w:widowControl/>
              <w:jc w:val="left"/>
              <w:rPr>
                <w:rFonts w:ascii="仿宋" w:hAnsi="仿宋" w:eastAsia="仿宋"/>
                <w:color w:val="auto"/>
                <w:sz w:val="24"/>
                <w:highlight w:val="none"/>
              </w:rPr>
            </w:pPr>
          </w:p>
        </w:tc>
        <w:tc>
          <w:tcPr>
            <w:tcW w:w="6976" w:type="dxa"/>
            <w:vAlign w:val="center"/>
          </w:tcPr>
          <w:p>
            <w:pPr>
              <w:widowControl/>
              <w:jc w:val="left"/>
              <w:rPr>
                <w:rFonts w:ascii="仿宋" w:hAnsi="仿宋" w:eastAsia="仿宋"/>
                <w:color w:val="auto"/>
                <w:sz w:val="24"/>
                <w:highlight w:val="none"/>
              </w:rPr>
            </w:pPr>
            <w:r>
              <w:rPr>
                <w:rFonts w:hint="eastAsia" w:ascii="仿宋" w:hAnsi="仿宋" w:eastAsia="仿宋"/>
                <w:color w:val="auto"/>
                <w:sz w:val="24"/>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2267" w:type="dxa"/>
            <w:vAlign w:val="center"/>
          </w:tcPr>
          <w:p>
            <w:pPr>
              <w:widowControl/>
              <w:jc w:val="left"/>
              <w:rPr>
                <w:rFonts w:ascii="仿宋" w:hAnsi="仿宋" w:eastAsia="仿宋"/>
                <w:color w:val="auto"/>
                <w:sz w:val="24"/>
                <w:highlight w:val="none"/>
              </w:rPr>
            </w:pPr>
            <w:r>
              <w:rPr>
                <w:rFonts w:hint="eastAsia" w:ascii="仿宋" w:hAnsi="仿宋" w:eastAsia="仿宋"/>
                <w:color w:val="auto"/>
                <w:sz w:val="24"/>
                <w:highlight w:val="none"/>
              </w:rPr>
              <w:t>谈判首次报价</w:t>
            </w:r>
          </w:p>
        </w:tc>
        <w:tc>
          <w:tcPr>
            <w:tcW w:w="6976" w:type="dxa"/>
            <w:tcBorders>
              <w:bottom w:val="single" w:color="auto" w:sz="4" w:space="0"/>
            </w:tcBorders>
            <w:vAlign w:val="center"/>
          </w:tcPr>
          <w:p>
            <w:pPr>
              <w:widowControl/>
              <w:ind w:right="-670"/>
              <w:rPr>
                <w:rFonts w:ascii="仿宋" w:hAnsi="仿宋" w:eastAsia="仿宋"/>
                <w:color w:val="auto"/>
                <w:sz w:val="24"/>
                <w:highlight w:val="none"/>
              </w:rPr>
            </w:pPr>
            <w:r>
              <w:rPr>
                <w:rFonts w:hint="eastAsia" w:ascii="仿宋" w:hAnsi="仿宋" w:eastAsia="仿宋"/>
                <w:color w:val="auto"/>
                <w:sz w:val="24"/>
                <w:highlight w:val="none"/>
              </w:rPr>
              <w:t>谈判首次报价：            元，具体详见报价一览明细表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2267" w:type="dxa"/>
            <w:vAlign w:val="center"/>
          </w:tcPr>
          <w:p>
            <w:pPr>
              <w:jc w:val="left"/>
              <w:rPr>
                <w:rFonts w:ascii="仿宋" w:hAnsi="仿宋" w:eastAsia="仿宋"/>
                <w:color w:val="auto"/>
                <w:sz w:val="24"/>
                <w:highlight w:val="none"/>
              </w:rPr>
            </w:pPr>
            <w:r>
              <w:rPr>
                <w:rFonts w:hint="eastAsia" w:ascii="仿宋" w:hAnsi="仿宋" w:eastAsia="仿宋"/>
                <w:color w:val="auto"/>
                <w:sz w:val="24"/>
                <w:highlight w:val="none"/>
              </w:rPr>
              <w:t>参加谈判产品品牌或主要品牌</w:t>
            </w:r>
          </w:p>
        </w:tc>
        <w:tc>
          <w:tcPr>
            <w:tcW w:w="6976" w:type="dxa"/>
            <w:tcBorders>
              <w:bottom w:val="single" w:color="auto" w:sz="4" w:space="0"/>
            </w:tcBorders>
            <w:vAlign w:val="center"/>
          </w:tcPr>
          <w:p>
            <w:pPr>
              <w:ind w:right="-670"/>
              <w:rPr>
                <w:rFonts w:ascii="仿宋" w:hAnsi="仿宋" w:eastAsia="仿宋"/>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2267" w:type="dxa"/>
            <w:vAlign w:val="center"/>
          </w:tcPr>
          <w:p>
            <w:pPr>
              <w:widowControl/>
              <w:jc w:val="left"/>
              <w:rPr>
                <w:rFonts w:ascii="仿宋" w:hAnsi="仿宋" w:eastAsia="仿宋"/>
                <w:color w:val="auto"/>
                <w:sz w:val="24"/>
                <w:highlight w:val="none"/>
              </w:rPr>
            </w:pPr>
            <w:r>
              <w:rPr>
                <w:rFonts w:hint="eastAsia" w:ascii="仿宋" w:hAnsi="仿宋" w:eastAsia="仿宋"/>
                <w:color w:val="auto"/>
                <w:sz w:val="24"/>
                <w:highlight w:val="none"/>
              </w:rPr>
              <w:t>交货期</w:t>
            </w:r>
          </w:p>
        </w:tc>
        <w:tc>
          <w:tcPr>
            <w:tcW w:w="6976" w:type="dxa"/>
            <w:vAlign w:val="center"/>
          </w:tcPr>
          <w:p>
            <w:pPr>
              <w:ind w:right="-670"/>
              <w:rPr>
                <w:rFonts w:ascii="仿宋" w:hAnsi="仿宋" w:eastAsia="仿宋"/>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2267" w:type="dxa"/>
            <w:vAlign w:val="center"/>
          </w:tcPr>
          <w:p>
            <w:pPr>
              <w:widowControl/>
              <w:jc w:val="left"/>
              <w:rPr>
                <w:rFonts w:ascii="仿宋" w:hAnsi="仿宋" w:eastAsia="仿宋"/>
                <w:color w:val="auto"/>
                <w:sz w:val="24"/>
                <w:highlight w:val="none"/>
              </w:rPr>
            </w:pPr>
            <w:r>
              <w:rPr>
                <w:rFonts w:hint="eastAsia" w:ascii="仿宋" w:hAnsi="仿宋" w:eastAsia="仿宋"/>
                <w:color w:val="auto"/>
                <w:sz w:val="24"/>
                <w:highlight w:val="none"/>
              </w:rPr>
              <w:t>质保期</w:t>
            </w:r>
          </w:p>
        </w:tc>
        <w:tc>
          <w:tcPr>
            <w:tcW w:w="6976" w:type="dxa"/>
            <w:tcBorders>
              <w:bottom w:val="single" w:color="auto" w:sz="4" w:space="0"/>
            </w:tcBorders>
            <w:vAlign w:val="center"/>
          </w:tcPr>
          <w:p>
            <w:pPr>
              <w:ind w:right="-670"/>
              <w:rPr>
                <w:rFonts w:ascii="仿宋" w:hAnsi="仿宋" w:eastAsia="仿宋"/>
                <w:color w:val="auto"/>
                <w:sz w:val="28"/>
                <w:highlight w:val="none"/>
              </w:rPr>
            </w:pPr>
          </w:p>
        </w:tc>
      </w:tr>
    </w:tbl>
    <w:p>
      <w:pPr>
        <w:spacing w:line="420" w:lineRule="exact"/>
        <w:ind w:left="1198" w:leftChars="342" w:hanging="480" w:hangingChars="200"/>
        <w:jc w:val="left"/>
        <w:rPr>
          <w:rFonts w:ascii="仿宋" w:hAnsi="仿宋" w:eastAsia="仿宋"/>
          <w:color w:val="auto"/>
          <w:sz w:val="24"/>
          <w:highlight w:val="none"/>
        </w:rPr>
      </w:pPr>
    </w:p>
    <w:p>
      <w:pPr>
        <w:rPr>
          <w:rFonts w:ascii="仿宋" w:hAnsi="仿宋" w:eastAsia="仿宋"/>
          <w:color w:val="auto"/>
          <w:highlight w:val="none"/>
        </w:rPr>
      </w:pPr>
    </w:p>
    <w:p>
      <w:pPr>
        <w:rPr>
          <w:rFonts w:ascii="仿宋" w:hAnsi="仿宋" w:eastAsia="仿宋"/>
          <w:color w:val="auto"/>
          <w:highlight w:val="none"/>
        </w:rPr>
      </w:pPr>
    </w:p>
    <w:p>
      <w:pPr>
        <w:spacing w:line="420" w:lineRule="exact"/>
        <w:ind w:left="1198" w:leftChars="342" w:hanging="480" w:hangingChars="200"/>
        <w:jc w:val="left"/>
        <w:rPr>
          <w:rFonts w:ascii="仿宋" w:hAnsi="仿宋" w:eastAsia="仿宋"/>
          <w:color w:val="auto"/>
          <w:sz w:val="24"/>
          <w:highlight w:val="none"/>
        </w:rPr>
      </w:pPr>
    </w:p>
    <w:p>
      <w:pPr>
        <w:spacing w:line="420" w:lineRule="exact"/>
        <w:ind w:firstLine="241" w:firstLineChars="100"/>
        <w:jc w:val="center"/>
        <w:rPr>
          <w:rFonts w:ascii="仿宋" w:hAnsi="仿宋" w:eastAsia="仿宋"/>
          <w:b/>
          <w:color w:val="auto"/>
          <w:sz w:val="24"/>
          <w:highlight w:val="none"/>
        </w:rPr>
      </w:pPr>
    </w:p>
    <w:p>
      <w:pPr>
        <w:spacing w:line="420" w:lineRule="exact"/>
        <w:ind w:firstLine="241" w:firstLineChars="100"/>
        <w:jc w:val="center"/>
        <w:rPr>
          <w:rFonts w:ascii="仿宋" w:hAnsi="仿宋" w:eastAsia="仿宋"/>
          <w:b/>
          <w:color w:val="auto"/>
          <w:sz w:val="24"/>
          <w:highlight w:val="none"/>
        </w:rPr>
      </w:pPr>
    </w:p>
    <w:p>
      <w:pPr>
        <w:spacing w:line="420" w:lineRule="exact"/>
        <w:ind w:firstLine="241" w:firstLineChars="100"/>
        <w:jc w:val="center"/>
        <w:rPr>
          <w:rFonts w:ascii="仿宋" w:hAnsi="仿宋" w:eastAsia="仿宋"/>
          <w:b/>
          <w:color w:val="auto"/>
          <w:sz w:val="24"/>
          <w:highlight w:val="none"/>
        </w:rPr>
      </w:pPr>
    </w:p>
    <w:p>
      <w:pPr>
        <w:spacing w:line="420" w:lineRule="exact"/>
        <w:ind w:firstLine="241" w:firstLineChars="100"/>
        <w:jc w:val="center"/>
        <w:rPr>
          <w:rFonts w:ascii="仿宋" w:hAnsi="仿宋" w:eastAsia="仿宋"/>
          <w:b/>
          <w:color w:val="auto"/>
          <w:sz w:val="24"/>
          <w:highlight w:val="none"/>
        </w:rPr>
      </w:pPr>
    </w:p>
    <w:p>
      <w:pPr>
        <w:spacing w:line="420" w:lineRule="exact"/>
        <w:ind w:firstLine="240" w:firstLineChars="100"/>
        <w:jc w:val="center"/>
        <w:rPr>
          <w:rFonts w:ascii="仿宋" w:hAnsi="仿宋" w:eastAsia="仿宋"/>
          <w:color w:val="auto"/>
          <w:sz w:val="24"/>
          <w:highlight w:val="none"/>
        </w:rPr>
        <w:sectPr>
          <w:headerReference r:id="rId11" w:type="first"/>
          <w:headerReference r:id="rId9" w:type="default"/>
          <w:footerReference r:id="rId12" w:type="default"/>
          <w:headerReference r:id="rId10" w:type="even"/>
          <w:pgSz w:w="11906" w:h="16838"/>
          <w:pgMar w:top="1440" w:right="1080" w:bottom="1440" w:left="1080" w:header="567" w:footer="907" w:gutter="0"/>
          <w:cols w:space="720" w:num="1"/>
          <w:docGrid w:type="lines" w:linePitch="312" w:charSpace="0"/>
        </w:sectPr>
      </w:pPr>
    </w:p>
    <w:p>
      <w:pPr>
        <w:pStyle w:val="3"/>
        <w:numPr>
          <w:ilvl w:val="0"/>
          <w:numId w:val="11"/>
        </w:numPr>
        <w:tabs>
          <w:tab w:val="left" w:pos="900"/>
        </w:tabs>
        <w:ind w:hanging="2159"/>
        <w:rPr>
          <w:rFonts w:ascii="仿宋" w:hAnsi="仿宋" w:eastAsia="仿宋"/>
          <w:color w:val="auto"/>
          <w:highlight w:val="none"/>
        </w:rPr>
      </w:pPr>
      <w:bookmarkStart w:id="142" w:name="_Toc13397"/>
      <w:r>
        <w:rPr>
          <w:rFonts w:hint="eastAsia" w:ascii="仿宋" w:hAnsi="仿宋" w:eastAsia="仿宋"/>
          <w:color w:val="auto"/>
          <w:highlight w:val="none"/>
        </w:rPr>
        <w:t>报价一览明细表</w:t>
      </w:r>
      <w:bookmarkEnd w:id="142"/>
    </w:p>
    <w:tbl>
      <w:tblPr>
        <w:tblStyle w:val="38"/>
        <w:tblW w:w="14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852"/>
        <w:gridCol w:w="1111"/>
        <w:gridCol w:w="1972"/>
        <w:gridCol w:w="2657"/>
        <w:gridCol w:w="1048"/>
        <w:gridCol w:w="987"/>
        <w:gridCol w:w="1541"/>
        <w:gridCol w:w="1667"/>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ind w:leftChars="-6" w:hanging="12" w:hangingChars="6"/>
              <w:jc w:val="center"/>
              <w:rPr>
                <w:rFonts w:ascii="仿宋" w:hAnsi="仿宋" w:eastAsia="仿宋"/>
                <w:color w:val="auto"/>
                <w:szCs w:val="21"/>
                <w:highlight w:val="none"/>
              </w:rPr>
            </w:pPr>
            <w:r>
              <w:rPr>
                <w:rFonts w:hint="eastAsia" w:ascii="仿宋" w:hAnsi="仿宋" w:eastAsia="仿宋"/>
                <w:color w:val="auto"/>
                <w:szCs w:val="21"/>
                <w:highlight w:val="none"/>
              </w:rPr>
              <w:t>序号</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color w:val="auto"/>
                <w:szCs w:val="21"/>
                <w:highlight w:val="none"/>
              </w:rPr>
            </w:pPr>
            <w:r>
              <w:rPr>
                <w:rFonts w:hint="eastAsia" w:ascii="仿宋" w:hAnsi="仿宋" w:eastAsia="仿宋"/>
                <w:color w:val="auto"/>
                <w:szCs w:val="21"/>
                <w:highlight w:val="none"/>
              </w:rPr>
              <w:t>货物名称</w:t>
            </w:r>
          </w:p>
        </w:tc>
        <w:tc>
          <w:tcPr>
            <w:tcW w:w="111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color w:val="auto"/>
                <w:szCs w:val="21"/>
                <w:highlight w:val="none"/>
              </w:rPr>
            </w:pPr>
            <w:r>
              <w:rPr>
                <w:rFonts w:hint="eastAsia" w:ascii="仿宋" w:hAnsi="仿宋" w:eastAsia="仿宋"/>
                <w:color w:val="auto"/>
                <w:szCs w:val="21"/>
                <w:highlight w:val="none"/>
              </w:rPr>
              <w:t>品牌</w:t>
            </w:r>
          </w:p>
        </w:tc>
        <w:tc>
          <w:tcPr>
            <w:tcW w:w="197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color w:val="auto"/>
                <w:szCs w:val="21"/>
                <w:highlight w:val="none"/>
              </w:rPr>
            </w:pPr>
            <w:r>
              <w:rPr>
                <w:rFonts w:hint="eastAsia" w:ascii="仿宋" w:hAnsi="仿宋" w:eastAsia="仿宋"/>
                <w:color w:val="auto"/>
                <w:szCs w:val="21"/>
                <w:highlight w:val="none"/>
              </w:rPr>
              <w:t>型号和规格</w:t>
            </w:r>
          </w:p>
        </w:tc>
        <w:tc>
          <w:tcPr>
            <w:tcW w:w="265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color w:val="auto"/>
                <w:szCs w:val="21"/>
                <w:highlight w:val="none"/>
              </w:rPr>
            </w:pPr>
            <w:r>
              <w:rPr>
                <w:rFonts w:hint="eastAsia" w:ascii="仿宋" w:hAnsi="仿宋" w:eastAsia="仿宋"/>
                <w:color w:val="auto"/>
                <w:szCs w:val="21"/>
                <w:highlight w:val="none"/>
              </w:rPr>
              <w:t>制造商名称/产地</w:t>
            </w:r>
          </w:p>
        </w:tc>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color w:val="auto"/>
                <w:szCs w:val="21"/>
                <w:highlight w:val="none"/>
              </w:rPr>
            </w:pPr>
            <w:r>
              <w:rPr>
                <w:rFonts w:hint="eastAsia" w:ascii="仿宋" w:hAnsi="仿宋" w:eastAsia="仿宋"/>
                <w:color w:val="auto"/>
                <w:szCs w:val="21"/>
                <w:highlight w:val="none"/>
              </w:rPr>
              <w:t>数量</w:t>
            </w:r>
          </w:p>
        </w:tc>
        <w:tc>
          <w:tcPr>
            <w:tcW w:w="98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color w:val="auto"/>
                <w:szCs w:val="21"/>
                <w:highlight w:val="none"/>
              </w:rPr>
            </w:pPr>
            <w:r>
              <w:rPr>
                <w:rFonts w:hint="eastAsia" w:ascii="仿宋" w:hAnsi="仿宋" w:eastAsia="仿宋"/>
                <w:color w:val="auto"/>
                <w:szCs w:val="21"/>
                <w:highlight w:val="none"/>
              </w:rPr>
              <w:t>单位</w:t>
            </w:r>
          </w:p>
        </w:tc>
        <w:tc>
          <w:tcPr>
            <w:tcW w:w="154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color w:val="auto"/>
                <w:szCs w:val="21"/>
                <w:highlight w:val="none"/>
              </w:rPr>
            </w:pPr>
            <w:r>
              <w:rPr>
                <w:rFonts w:hint="eastAsia" w:ascii="仿宋" w:hAnsi="仿宋" w:eastAsia="仿宋"/>
                <w:color w:val="auto"/>
                <w:szCs w:val="21"/>
                <w:highlight w:val="none"/>
              </w:rPr>
              <w:t xml:space="preserve"> 单 价</w:t>
            </w:r>
          </w:p>
        </w:tc>
        <w:tc>
          <w:tcPr>
            <w:tcW w:w="166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color w:val="auto"/>
                <w:szCs w:val="21"/>
                <w:highlight w:val="none"/>
              </w:rPr>
            </w:pPr>
            <w:r>
              <w:rPr>
                <w:rFonts w:hint="eastAsia" w:ascii="仿宋" w:hAnsi="仿宋" w:eastAsia="仿宋"/>
                <w:color w:val="auto"/>
                <w:szCs w:val="21"/>
                <w:highlight w:val="none"/>
              </w:rPr>
              <w:t>总价</w:t>
            </w:r>
          </w:p>
        </w:tc>
        <w:tc>
          <w:tcPr>
            <w:tcW w:w="80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 w:hAnsi="仿宋" w:eastAsia="仿宋"/>
                <w:color w:val="auto"/>
                <w:szCs w:val="21"/>
                <w:highlight w:val="none"/>
              </w:rPr>
            </w:pPr>
            <w:r>
              <w:rPr>
                <w:rFonts w:hint="eastAsia" w:ascii="仿宋" w:hAnsi="仿宋" w:eastAsia="仿宋"/>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ind w:left="3" w:leftChars="-6" w:hanging="16" w:hangingChars="6"/>
              <w:jc w:val="center"/>
              <w:rPr>
                <w:rFonts w:ascii="仿宋" w:hAnsi="仿宋" w:eastAsia="仿宋"/>
                <w:color w:val="auto"/>
                <w:sz w:val="28"/>
                <w:highlight w:val="none"/>
              </w:rPr>
            </w:pPr>
            <w:r>
              <w:rPr>
                <w:rFonts w:hint="eastAsia" w:ascii="仿宋" w:hAnsi="仿宋" w:eastAsia="仿宋"/>
                <w:color w:val="auto"/>
                <w:sz w:val="28"/>
                <w:highlight w:val="none"/>
              </w:rPr>
              <w:t>1</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4"/>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265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54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ind w:left="3" w:leftChars="-6" w:hanging="16" w:hangingChars="6"/>
              <w:jc w:val="center"/>
              <w:rPr>
                <w:rFonts w:ascii="仿宋" w:hAnsi="仿宋" w:eastAsia="仿宋"/>
                <w:color w:val="auto"/>
                <w:sz w:val="28"/>
                <w:highlight w:val="none"/>
              </w:rPr>
            </w:pPr>
            <w:r>
              <w:rPr>
                <w:rFonts w:hint="eastAsia" w:ascii="仿宋" w:hAnsi="仿宋" w:eastAsia="仿宋"/>
                <w:color w:val="auto"/>
                <w:sz w:val="28"/>
                <w:highlight w:val="none"/>
              </w:rPr>
              <w:t>2</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4"/>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265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54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ind w:left="-3" w:leftChars="-6" w:hanging="10" w:hangingChars="6"/>
              <w:jc w:val="center"/>
              <w:rPr>
                <w:rFonts w:ascii="仿宋" w:hAnsi="仿宋" w:eastAsia="仿宋"/>
                <w:color w:val="auto"/>
                <w:sz w:val="18"/>
                <w:szCs w:val="18"/>
                <w:highlight w:val="none"/>
              </w:rPr>
            </w:pPr>
            <w:r>
              <w:rPr>
                <w:rFonts w:hint="eastAsia" w:ascii="仿宋" w:hAnsi="仿宋" w:eastAsia="仿宋"/>
                <w:color w:val="auto"/>
                <w:sz w:val="18"/>
                <w:szCs w:val="18"/>
                <w:highlight w:val="none"/>
              </w:rPr>
              <w:t>（本表格可加行）</w:t>
            </w:r>
          </w:p>
          <w:p>
            <w:pPr>
              <w:spacing w:line="460" w:lineRule="exact"/>
              <w:ind w:left="3" w:leftChars="-6" w:hanging="16" w:hangingChars="6"/>
              <w:jc w:val="center"/>
              <w:rPr>
                <w:rFonts w:ascii="仿宋" w:hAnsi="仿宋" w:eastAsia="仿宋"/>
                <w:color w:val="auto"/>
                <w:sz w:val="28"/>
                <w:highlight w:val="none"/>
              </w:rPr>
            </w:pPr>
            <w:r>
              <w:rPr>
                <w:rFonts w:hint="eastAsia" w:ascii="仿宋" w:hAnsi="仿宋" w:eastAsia="仿宋"/>
                <w:color w:val="auto"/>
                <w:sz w:val="28"/>
                <w:highlight w:val="none"/>
              </w:rPr>
              <w:t>...</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4"/>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265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54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ind w:left="1" w:leftChars="-6" w:hanging="14" w:hangingChars="6"/>
              <w:jc w:val="center"/>
              <w:rPr>
                <w:rFonts w:ascii="仿宋" w:hAnsi="仿宋" w:eastAsia="仿宋"/>
                <w:color w:val="auto"/>
                <w:sz w:val="18"/>
                <w:szCs w:val="18"/>
                <w:highlight w:val="none"/>
              </w:rPr>
            </w:pPr>
            <w:r>
              <w:rPr>
                <w:rFonts w:hint="eastAsia" w:ascii="仿宋" w:hAnsi="仿宋" w:eastAsia="仿宋"/>
                <w:color w:val="auto"/>
                <w:sz w:val="24"/>
                <w:highlight w:val="none"/>
              </w:rPr>
              <w:t>合计</w:t>
            </w:r>
          </w:p>
        </w:tc>
        <w:tc>
          <w:tcPr>
            <w:tcW w:w="185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4"/>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265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98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54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166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 w:hAnsi="仿宋" w:eastAsia="仿宋"/>
                <w:color w:val="auto"/>
                <w:sz w:val="28"/>
                <w:highlight w:val="none"/>
              </w:rPr>
            </w:pPr>
          </w:p>
        </w:tc>
      </w:tr>
    </w:tbl>
    <w:p>
      <w:pPr>
        <w:spacing w:line="320" w:lineRule="exact"/>
        <w:ind w:firstLine="426" w:firstLineChars="202"/>
        <w:rPr>
          <w:rFonts w:ascii="仿宋" w:hAnsi="仿宋" w:eastAsia="仿宋"/>
          <w:b/>
          <w:color w:val="auto"/>
          <w:szCs w:val="21"/>
          <w:highlight w:val="none"/>
        </w:rPr>
      </w:pPr>
      <w:r>
        <w:rPr>
          <w:rFonts w:hint="eastAsia" w:ascii="仿宋" w:hAnsi="仿宋" w:eastAsia="仿宋"/>
          <w:b/>
          <w:color w:val="auto"/>
          <w:szCs w:val="21"/>
          <w:highlight w:val="none"/>
        </w:rPr>
        <w:t xml:space="preserve">  注：</w:t>
      </w:r>
      <w:r>
        <w:rPr>
          <w:rFonts w:hint="eastAsia" w:ascii="仿宋" w:hAnsi="仿宋" w:eastAsia="仿宋"/>
          <w:color w:val="auto"/>
          <w:szCs w:val="21"/>
          <w:highlight w:val="none"/>
        </w:rPr>
        <w:t>1. 供应商必须按表格要求填写</w:t>
      </w:r>
      <w:r>
        <w:rPr>
          <w:rFonts w:hint="eastAsia" w:ascii="仿宋" w:hAnsi="仿宋" w:eastAsia="仿宋"/>
          <w:b/>
          <w:color w:val="auto"/>
          <w:szCs w:val="21"/>
          <w:highlight w:val="none"/>
        </w:rPr>
        <w:t>每项货物名称、品牌、型号、制造商、产地、数量、单位、单价、总价等，必须提供并尽可能详细介绍，否则由此产生的后果由供应商自行承担。</w:t>
      </w:r>
    </w:p>
    <w:p>
      <w:pPr>
        <w:spacing w:line="320" w:lineRule="exact"/>
        <w:jc w:val="left"/>
        <w:rPr>
          <w:rFonts w:ascii="仿宋" w:hAnsi="仿宋" w:eastAsia="仿宋"/>
          <w:color w:val="auto"/>
          <w:szCs w:val="21"/>
          <w:highlight w:val="none"/>
        </w:rPr>
      </w:pPr>
      <w:r>
        <w:rPr>
          <w:rFonts w:hint="eastAsia" w:ascii="仿宋" w:hAnsi="仿宋" w:eastAsia="仿宋"/>
          <w:color w:val="auto"/>
          <w:szCs w:val="21"/>
          <w:highlight w:val="none"/>
        </w:rPr>
        <w:t xml:space="preserve">        </w:t>
      </w:r>
      <w:r>
        <w:rPr>
          <w:rFonts w:hint="eastAsia" w:ascii="仿宋" w:hAnsi="仿宋" w:eastAsia="仿宋"/>
          <w:b/>
          <w:color w:val="auto"/>
          <w:szCs w:val="21"/>
          <w:highlight w:val="none"/>
        </w:rPr>
        <w:t>2.</w:t>
      </w:r>
      <w:r>
        <w:rPr>
          <w:rFonts w:hint="eastAsia" w:ascii="仿宋" w:hAnsi="仿宋" w:eastAsia="仿宋"/>
          <w:color w:val="auto"/>
          <w:highlight w:val="none"/>
        </w:rPr>
        <w:t xml:space="preserve"> </w:t>
      </w:r>
      <w:r>
        <w:rPr>
          <w:rFonts w:hint="eastAsia" w:ascii="仿宋" w:hAnsi="仿宋" w:eastAsia="仿宋"/>
          <w:color w:val="auto"/>
          <w:szCs w:val="21"/>
          <w:highlight w:val="none"/>
        </w:rPr>
        <w:t>国产货物须标明货物的生产地，进口货物须标明生产国家；</w:t>
      </w:r>
    </w:p>
    <w:p>
      <w:pPr>
        <w:spacing w:line="320" w:lineRule="exact"/>
        <w:rPr>
          <w:rFonts w:ascii="仿宋" w:hAnsi="仿宋" w:eastAsia="仿宋"/>
          <w:color w:val="auto"/>
          <w:szCs w:val="21"/>
          <w:highlight w:val="none"/>
        </w:rPr>
      </w:pPr>
    </w:p>
    <w:p>
      <w:pPr>
        <w:spacing w:line="320" w:lineRule="exact"/>
        <w:jc w:val="left"/>
        <w:rPr>
          <w:rFonts w:ascii="仿宋" w:hAnsi="仿宋" w:eastAsia="仿宋"/>
          <w:color w:val="auto"/>
          <w:sz w:val="24"/>
          <w:highlight w:val="none"/>
        </w:rPr>
      </w:pPr>
      <w:r>
        <w:rPr>
          <w:rFonts w:hint="eastAsia" w:ascii="仿宋" w:hAnsi="仿宋" w:eastAsia="仿宋"/>
          <w:color w:val="auto"/>
          <w:szCs w:val="21"/>
          <w:highlight w:val="none"/>
        </w:rPr>
        <w:t xml:space="preserve">             </w:t>
      </w:r>
      <w:r>
        <w:rPr>
          <w:rFonts w:hint="eastAsia" w:ascii="仿宋" w:hAnsi="仿宋" w:eastAsia="仿宋"/>
          <w:color w:val="auto"/>
          <w:sz w:val="24"/>
          <w:highlight w:val="non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 xml:space="preserve">                                              供应商法定代表人或授权代表签字：</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u w:val="single"/>
        </w:rPr>
      </w:pPr>
      <w:r>
        <w:rPr>
          <w:rFonts w:hint="eastAsia" w:ascii="仿宋" w:hAnsi="仿宋" w:eastAsia="仿宋"/>
          <w:color w:val="auto"/>
          <w:sz w:val="24"/>
          <w:highlight w:val="none"/>
        </w:rPr>
        <w:t xml:space="preserve">                                              供应商名称</w:t>
      </w:r>
      <w:r>
        <w:rPr>
          <w:rFonts w:hint="eastAsia" w:ascii="仿宋" w:hAnsi="仿宋" w:eastAsia="仿宋"/>
          <w:color w:val="auto"/>
          <w:szCs w:val="21"/>
          <w:highlight w:val="none"/>
        </w:rPr>
        <w:t>（签章）</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 xml:space="preserve">                                              日            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adjustRightInd w:val="0"/>
        <w:snapToGrid w:val="0"/>
        <w:spacing w:line="520" w:lineRule="exact"/>
        <w:ind w:left="2160"/>
        <w:jc w:val="center"/>
        <w:rPr>
          <w:rFonts w:ascii="仿宋" w:hAnsi="仿宋" w:eastAsia="仿宋"/>
          <w:color w:val="auto"/>
          <w:highlight w:val="none"/>
        </w:rPr>
        <w:sectPr>
          <w:pgSz w:w="16838" w:h="11906" w:orient="landscape"/>
          <w:pgMar w:top="1440" w:right="1080" w:bottom="1440" w:left="1080" w:header="567" w:footer="907" w:gutter="0"/>
          <w:cols w:space="720" w:num="1"/>
          <w:docGrid w:type="lines" w:linePitch="312" w:charSpace="0"/>
        </w:sectPr>
      </w:pPr>
    </w:p>
    <w:bookmarkEnd w:id="135"/>
    <w:bookmarkEnd w:id="136"/>
    <w:p>
      <w:pPr>
        <w:pStyle w:val="3"/>
        <w:numPr>
          <w:ilvl w:val="0"/>
          <w:numId w:val="11"/>
        </w:numPr>
        <w:tabs>
          <w:tab w:val="left" w:pos="900"/>
        </w:tabs>
        <w:ind w:hanging="2159"/>
        <w:rPr>
          <w:rFonts w:ascii="仿宋" w:hAnsi="仿宋" w:eastAsia="仿宋"/>
          <w:color w:val="auto"/>
          <w:highlight w:val="none"/>
        </w:rPr>
      </w:pPr>
      <w:bookmarkStart w:id="143" w:name="_Toc23571"/>
      <w:r>
        <w:rPr>
          <w:rFonts w:hint="eastAsia" w:ascii="仿宋" w:hAnsi="仿宋" w:eastAsia="仿宋"/>
          <w:color w:val="auto"/>
          <w:highlight w:val="none"/>
        </w:rPr>
        <w:t>技术要求响应/偏离表</w:t>
      </w:r>
      <w:bookmarkEnd w:id="143"/>
    </w:p>
    <w:p>
      <w:pPr>
        <w:spacing w:line="420" w:lineRule="exact"/>
        <w:ind w:firstLine="480"/>
        <w:rPr>
          <w:rFonts w:hint="eastAsia" w:ascii="仿宋" w:hAnsi="仿宋" w:eastAsia="仿宋"/>
          <w:color w:val="auto"/>
          <w:sz w:val="24"/>
          <w:highlight w:val="none"/>
          <w:lang w:eastAsia="zh-CN"/>
        </w:rPr>
      </w:pPr>
      <w:r>
        <w:rPr>
          <w:rFonts w:hint="eastAsia" w:ascii="仿宋" w:hAnsi="仿宋" w:eastAsia="仿宋"/>
          <w:color w:val="auto"/>
          <w:sz w:val="24"/>
          <w:highlight w:val="none"/>
        </w:rPr>
        <w:t>项目编号：</w:t>
      </w:r>
      <w:r>
        <w:rPr>
          <w:rFonts w:hint="eastAsia" w:ascii="仿宋" w:hAnsi="仿宋" w:eastAsia="仿宋"/>
          <w:b/>
          <w:color w:val="auto"/>
          <w:sz w:val="24"/>
          <w:highlight w:val="none"/>
          <w:lang w:eastAsia="zh-CN"/>
        </w:rPr>
        <w:t>JXJH2023-XC040</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841"/>
        <w:gridCol w:w="2139"/>
        <w:gridCol w:w="2139"/>
        <w:gridCol w:w="972"/>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7"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序号</w:t>
            </w:r>
          </w:p>
        </w:tc>
        <w:tc>
          <w:tcPr>
            <w:tcW w:w="1841"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货物名称</w:t>
            </w:r>
          </w:p>
        </w:tc>
        <w:tc>
          <w:tcPr>
            <w:tcW w:w="2139"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谈判文件技术要求</w:t>
            </w:r>
          </w:p>
        </w:tc>
        <w:tc>
          <w:tcPr>
            <w:tcW w:w="2139"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谈判响应文件响应</w:t>
            </w:r>
          </w:p>
        </w:tc>
        <w:tc>
          <w:tcPr>
            <w:tcW w:w="972"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响应/偏离</w:t>
            </w:r>
          </w:p>
        </w:tc>
        <w:tc>
          <w:tcPr>
            <w:tcW w:w="1361"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7" w:type="dxa"/>
          </w:tcPr>
          <w:p>
            <w:pPr>
              <w:spacing w:line="400" w:lineRule="exact"/>
              <w:rPr>
                <w:rFonts w:ascii="仿宋" w:hAnsi="仿宋" w:eastAsia="仿宋"/>
                <w:color w:val="auto"/>
                <w:sz w:val="24"/>
                <w:highlight w:val="none"/>
              </w:rPr>
            </w:pPr>
          </w:p>
        </w:tc>
        <w:tc>
          <w:tcPr>
            <w:tcW w:w="1841" w:type="dxa"/>
          </w:tcPr>
          <w:p>
            <w:pPr>
              <w:spacing w:line="400" w:lineRule="exact"/>
              <w:rPr>
                <w:rFonts w:ascii="仿宋" w:hAnsi="仿宋" w:eastAsia="仿宋"/>
                <w:color w:val="auto"/>
                <w:sz w:val="24"/>
                <w:highlight w:val="none"/>
              </w:rPr>
            </w:pPr>
          </w:p>
        </w:tc>
        <w:tc>
          <w:tcPr>
            <w:tcW w:w="2139" w:type="dxa"/>
          </w:tcPr>
          <w:p>
            <w:pPr>
              <w:spacing w:line="400" w:lineRule="exact"/>
              <w:rPr>
                <w:rFonts w:ascii="仿宋" w:hAnsi="仿宋" w:eastAsia="仿宋"/>
                <w:color w:val="auto"/>
                <w:sz w:val="24"/>
                <w:highlight w:val="none"/>
              </w:rPr>
            </w:pPr>
          </w:p>
        </w:tc>
        <w:tc>
          <w:tcPr>
            <w:tcW w:w="2139" w:type="dxa"/>
          </w:tcPr>
          <w:p>
            <w:pPr>
              <w:spacing w:line="400" w:lineRule="exact"/>
              <w:rPr>
                <w:rFonts w:ascii="仿宋" w:hAnsi="仿宋" w:eastAsia="仿宋"/>
                <w:color w:val="auto"/>
                <w:sz w:val="24"/>
                <w:highlight w:val="none"/>
              </w:rPr>
            </w:pPr>
          </w:p>
        </w:tc>
        <w:tc>
          <w:tcPr>
            <w:tcW w:w="972" w:type="dxa"/>
          </w:tcPr>
          <w:p>
            <w:pPr>
              <w:spacing w:line="400" w:lineRule="exact"/>
              <w:rPr>
                <w:rFonts w:ascii="仿宋" w:hAnsi="仿宋" w:eastAsia="仿宋"/>
                <w:color w:val="auto"/>
                <w:sz w:val="24"/>
                <w:highlight w:val="none"/>
              </w:rPr>
            </w:pPr>
          </w:p>
        </w:tc>
        <w:tc>
          <w:tcPr>
            <w:tcW w:w="1361" w:type="dxa"/>
          </w:tcPr>
          <w:p>
            <w:pPr>
              <w:spacing w:line="400" w:lineRule="exac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97" w:type="dxa"/>
          </w:tcPr>
          <w:p>
            <w:pPr>
              <w:spacing w:line="400" w:lineRule="exact"/>
              <w:rPr>
                <w:rFonts w:ascii="仿宋" w:hAnsi="仿宋" w:eastAsia="仿宋"/>
                <w:color w:val="auto"/>
                <w:sz w:val="24"/>
                <w:highlight w:val="none"/>
              </w:rPr>
            </w:pPr>
          </w:p>
        </w:tc>
        <w:tc>
          <w:tcPr>
            <w:tcW w:w="1841" w:type="dxa"/>
          </w:tcPr>
          <w:p>
            <w:pPr>
              <w:spacing w:line="400" w:lineRule="exact"/>
              <w:rPr>
                <w:rFonts w:ascii="仿宋" w:hAnsi="仿宋" w:eastAsia="仿宋"/>
                <w:color w:val="auto"/>
                <w:sz w:val="24"/>
                <w:highlight w:val="none"/>
              </w:rPr>
            </w:pPr>
          </w:p>
        </w:tc>
        <w:tc>
          <w:tcPr>
            <w:tcW w:w="2139" w:type="dxa"/>
          </w:tcPr>
          <w:p>
            <w:pPr>
              <w:spacing w:line="400" w:lineRule="exact"/>
              <w:rPr>
                <w:rFonts w:ascii="仿宋" w:hAnsi="仿宋" w:eastAsia="仿宋"/>
                <w:color w:val="auto"/>
                <w:sz w:val="24"/>
                <w:highlight w:val="none"/>
              </w:rPr>
            </w:pPr>
          </w:p>
        </w:tc>
        <w:tc>
          <w:tcPr>
            <w:tcW w:w="2139" w:type="dxa"/>
          </w:tcPr>
          <w:p>
            <w:pPr>
              <w:spacing w:line="400" w:lineRule="exact"/>
              <w:rPr>
                <w:rFonts w:ascii="仿宋" w:hAnsi="仿宋" w:eastAsia="仿宋"/>
                <w:color w:val="auto"/>
                <w:sz w:val="24"/>
                <w:highlight w:val="none"/>
              </w:rPr>
            </w:pPr>
          </w:p>
        </w:tc>
        <w:tc>
          <w:tcPr>
            <w:tcW w:w="972" w:type="dxa"/>
          </w:tcPr>
          <w:p>
            <w:pPr>
              <w:spacing w:line="400" w:lineRule="exact"/>
              <w:rPr>
                <w:rFonts w:ascii="仿宋" w:hAnsi="仿宋" w:eastAsia="仿宋"/>
                <w:color w:val="auto"/>
                <w:sz w:val="24"/>
                <w:highlight w:val="none"/>
              </w:rPr>
            </w:pPr>
          </w:p>
        </w:tc>
        <w:tc>
          <w:tcPr>
            <w:tcW w:w="1361" w:type="dxa"/>
          </w:tcPr>
          <w:p>
            <w:pPr>
              <w:spacing w:line="400" w:lineRule="exac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97" w:type="dxa"/>
          </w:tcPr>
          <w:p>
            <w:pPr>
              <w:spacing w:line="400" w:lineRule="exact"/>
              <w:rPr>
                <w:rFonts w:ascii="仿宋" w:hAnsi="仿宋" w:eastAsia="仿宋"/>
                <w:color w:val="auto"/>
                <w:sz w:val="24"/>
                <w:highlight w:val="none"/>
              </w:rPr>
            </w:pPr>
          </w:p>
        </w:tc>
        <w:tc>
          <w:tcPr>
            <w:tcW w:w="1841" w:type="dxa"/>
          </w:tcPr>
          <w:p>
            <w:pPr>
              <w:spacing w:line="400" w:lineRule="exact"/>
              <w:rPr>
                <w:rFonts w:ascii="仿宋" w:hAnsi="仿宋" w:eastAsia="仿宋"/>
                <w:color w:val="auto"/>
                <w:sz w:val="24"/>
                <w:highlight w:val="none"/>
              </w:rPr>
            </w:pPr>
          </w:p>
        </w:tc>
        <w:tc>
          <w:tcPr>
            <w:tcW w:w="2139" w:type="dxa"/>
          </w:tcPr>
          <w:p>
            <w:pPr>
              <w:spacing w:line="400" w:lineRule="exact"/>
              <w:rPr>
                <w:rFonts w:ascii="仿宋" w:hAnsi="仿宋" w:eastAsia="仿宋"/>
                <w:color w:val="auto"/>
                <w:sz w:val="24"/>
                <w:highlight w:val="none"/>
              </w:rPr>
            </w:pPr>
          </w:p>
        </w:tc>
        <w:tc>
          <w:tcPr>
            <w:tcW w:w="2139" w:type="dxa"/>
          </w:tcPr>
          <w:p>
            <w:pPr>
              <w:spacing w:line="400" w:lineRule="exact"/>
              <w:rPr>
                <w:rFonts w:ascii="仿宋" w:hAnsi="仿宋" w:eastAsia="仿宋"/>
                <w:color w:val="auto"/>
                <w:sz w:val="24"/>
                <w:highlight w:val="none"/>
              </w:rPr>
            </w:pPr>
          </w:p>
        </w:tc>
        <w:tc>
          <w:tcPr>
            <w:tcW w:w="972" w:type="dxa"/>
          </w:tcPr>
          <w:p>
            <w:pPr>
              <w:spacing w:line="400" w:lineRule="exact"/>
              <w:rPr>
                <w:rFonts w:ascii="仿宋" w:hAnsi="仿宋" w:eastAsia="仿宋"/>
                <w:color w:val="auto"/>
                <w:sz w:val="24"/>
                <w:highlight w:val="none"/>
              </w:rPr>
            </w:pPr>
          </w:p>
        </w:tc>
        <w:tc>
          <w:tcPr>
            <w:tcW w:w="1361" w:type="dxa"/>
          </w:tcPr>
          <w:p>
            <w:pPr>
              <w:spacing w:line="400" w:lineRule="exac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97" w:type="dxa"/>
          </w:tcPr>
          <w:p>
            <w:pPr>
              <w:spacing w:line="400" w:lineRule="exact"/>
              <w:rPr>
                <w:rFonts w:ascii="仿宋" w:hAnsi="仿宋" w:eastAsia="仿宋"/>
                <w:color w:val="auto"/>
                <w:sz w:val="24"/>
                <w:highlight w:val="none"/>
              </w:rPr>
            </w:pPr>
          </w:p>
        </w:tc>
        <w:tc>
          <w:tcPr>
            <w:tcW w:w="1841" w:type="dxa"/>
          </w:tcPr>
          <w:p>
            <w:pPr>
              <w:spacing w:line="400" w:lineRule="exact"/>
              <w:rPr>
                <w:rFonts w:ascii="仿宋" w:hAnsi="仿宋" w:eastAsia="仿宋"/>
                <w:color w:val="auto"/>
                <w:sz w:val="24"/>
                <w:highlight w:val="none"/>
              </w:rPr>
            </w:pPr>
          </w:p>
        </w:tc>
        <w:tc>
          <w:tcPr>
            <w:tcW w:w="2139" w:type="dxa"/>
          </w:tcPr>
          <w:p>
            <w:pPr>
              <w:spacing w:line="400" w:lineRule="exact"/>
              <w:rPr>
                <w:rFonts w:ascii="仿宋" w:hAnsi="仿宋" w:eastAsia="仿宋"/>
                <w:color w:val="auto"/>
                <w:sz w:val="24"/>
                <w:highlight w:val="none"/>
              </w:rPr>
            </w:pPr>
          </w:p>
        </w:tc>
        <w:tc>
          <w:tcPr>
            <w:tcW w:w="2139" w:type="dxa"/>
          </w:tcPr>
          <w:p>
            <w:pPr>
              <w:spacing w:line="400" w:lineRule="exact"/>
              <w:rPr>
                <w:rFonts w:ascii="仿宋" w:hAnsi="仿宋" w:eastAsia="仿宋"/>
                <w:color w:val="auto"/>
                <w:sz w:val="24"/>
                <w:highlight w:val="none"/>
              </w:rPr>
            </w:pPr>
          </w:p>
        </w:tc>
        <w:tc>
          <w:tcPr>
            <w:tcW w:w="972" w:type="dxa"/>
          </w:tcPr>
          <w:p>
            <w:pPr>
              <w:spacing w:line="400" w:lineRule="exact"/>
              <w:rPr>
                <w:rFonts w:ascii="仿宋" w:hAnsi="仿宋" w:eastAsia="仿宋"/>
                <w:color w:val="auto"/>
                <w:sz w:val="24"/>
                <w:highlight w:val="none"/>
              </w:rPr>
            </w:pPr>
          </w:p>
        </w:tc>
        <w:tc>
          <w:tcPr>
            <w:tcW w:w="1361" w:type="dxa"/>
          </w:tcPr>
          <w:p>
            <w:pPr>
              <w:spacing w:line="400" w:lineRule="exac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97" w:type="dxa"/>
          </w:tcPr>
          <w:p>
            <w:pPr>
              <w:spacing w:line="400" w:lineRule="exact"/>
              <w:rPr>
                <w:rFonts w:ascii="仿宋" w:hAnsi="仿宋" w:eastAsia="仿宋"/>
                <w:color w:val="auto"/>
                <w:sz w:val="24"/>
                <w:highlight w:val="none"/>
              </w:rPr>
            </w:pPr>
          </w:p>
        </w:tc>
        <w:tc>
          <w:tcPr>
            <w:tcW w:w="1841" w:type="dxa"/>
          </w:tcPr>
          <w:p>
            <w:pPr>
              <w:spacing w:line="460" w:lineRule="exact"/>
              <w:jc w:val="center"/>
              <w:rPr>
                <w:rFonts w:ascii="仿宋" w:hAnsi="仿宋" w:eastAsia="仿宋"/>
                <w:color w:val="auto"/>
                <w:sz w:val="18"/>
                <w:szCs w:val="18"/>
                <w:highlight w:val="none"/>
              </w:rPr>
            </w:pPr>
            <w:r>
              <w:rPr>
                <w:rFonts w:hint="eastAsia" w:ascii="仿宋" w:hAnsi="仿宋" w:eastAsia="仿宋"/>
                <w:color w:val="auto"/>
                <w:sz w:val="18"/>
                <w:szCs w:val="18"/>
                <w:highlight w:val="none"/>
              </w:rPr>
              <w:t>（本表格可加行）</w:t>
            </w:r>
          </w:p>
          <w:p>
            <w:pPr>
              <w:spacing w:line="400" w:lineRule="exact"/>
              <w:rPr>
                <w:rFonts w:ascii="仿宋" w:hAnsi="仿宋" w:eastAsia="仿宋"/>
                <w:color w:val="auto"/>
                <w:sz w:val="24"/>
                <w:highlight w:val="none"/>
              </w:rPr>
            </w:pPr>
            <w:r>
              <w:rPr>
                <w:rFonts w:hint="eastAsia" w:ascii="仿宋" w:hAnsi="仿宋" w:eastAsia="仿宋"/>
                <w:color w:val="auto"/>
                <w:sz w:val="28"/>
                <w:highlight w:val="none"/>
              </w:rPr>
              <w:t>...</w:t>
            </w:r>
          </w:p>
        </w:tc>
        <w:tc>
          <w:tcPr>
            <w:tcW w:w="2139" w:type="dxa"/>
          </w:tcPr>
          <w:p>
            <w:pPr>
              <w:spacing w:line="400" w:lineRule="exact"/>
              <w:rPr>
                <w:rFonts w:ascii="仿宋" w:hAnsi="仿宋" w:eastAsia="仿宋"/>
                <w:color w:val="auto"/>
                <w:sz w:val="24"/>
                <w:highlight w:val="none"/>
              </w:rPr>
            </w:pPr>
          </w:p>
        </w:tc>
        <w:tc>
          <w:tcPr>
            <w:tcW w:w="2139" w:type="dxa"/>
          </w:tcPr>
          <w:p>
            <w:pPr>
              <w:spacing w:line="400" w:lineRule="exact"/>
              <w:rPr>
                <w:rFonts w:ascii="仿宋" w:hAnsi="仿宋" w:eastAsia="仿宋"/>
                <w:color w:val="auto"/>
                <w:sz w:val="24"/>
                <w:highlight w:val="none"/>
              </w:rPr>
            </w:pPr>
          </w:p>
        </w:tc>
        <w:tc>
          <w:tcPr>
            <w:tcW w:w="972" w:type="dxa"/>
          </w:tcPr>
          <w:p>
            <w:pPr>
              <w:spacing w:line="400" w:lineRule="exact"/>
              <w:rPr>
                <w:rFonts w:ascii="仿宋" w:hAnsi="仿宋" w:eastAsia="仿宋"/>
                <w:color w:val="auto"/>
                <w:sz w:val="24"/>
                <w:highlight w:val="none"/>
              </w:rPr>
            </w:pPr>
          </w:p>
        </w:tc>
        <w:tc>
          <w:tcPr>
            <w:tcW w:w="1361" w:type="dxa"/>
          </w:tcPr>
          <w:p>
            <w:pPr>
              <w:spacing w:line="400" w:lineRule="exact"/>
              <w:rPr>
                <w:rFonts w:ascii="仿宋" w:hAnsi="仿宋" w:eastAsia="仿宋"/>
                <w:color w:val="auto"/>
                <w:sz w:val="24"/>
                <w:highlight w:val="none"/>
              </w:rPr>
            </w:pPr>
          </w:p>
        </w:tc>
      </w:tr>
    </w:tbl>
    <w:p>
      <w:pPr>
        <w:pStyle w:val="21"/>
        <w:spacing w:line="360" w:lineRule="auto"/>
        <w:ind w:firstLine="361" w:firstLineChars="150"/>
        <w:rPr>
          <w:rFonts w:ascii="仿宋" w:hAnsi="仿宋" w:eastAsia="仿宋"/>
          <w:b/>
          <w:color w:val="auto"/>
          <w:sz w:val="24"/>
          <w:highlight w:val="none"/>
        </w:rPr>
      </w:pPr>
      <w:r>
        <w:rPr>
          <w:rFonts w:hint="eastAsia" w:ascii="仿宋" w:hAnsi="仿宋" w:eastAsia="仿宋"/>
          <w:b/>
          <w:color w:val="auto"/>
          <w:sz w:val="24"/>
          <w:highlight w:val="none"/>
        </w:rPr>
        <w:t>注：</w:t>
      </w:r>
    </w:p>
    <w:p>
      <w:pPr>
        <w:pStyle w:val="21"/>
        <w:spacing w:line="360" w:lineRule="auto"/>
        <w:rPr>
          <w:rFonts w:ascii="仿宋" w:hAnsi="仿宋" w:eastAsia="仿宋"/>
          <w:b/>
          <w:color w:val="auto"/>
          <w:szCs w:val="21"/>
          <w:highlight w:val="none"/>
        </w:rPr>
      </w:pPr>
      <w:r>
        <w:rPr>
          <w:rFonts w:hint="eastAsia" w:ascii="仿宋" w:hAnsi="仿宋" w:eastAsia="仿宋"/>
          <w:b/>
          <w:color w:val="auto"/>
          <w:szCs w:val="21"/>
          <w:highlight w:val="none"/>
        </w:rPr>
        <w:t xml:space="preserve"> “响应/偏离”的填写，优于或超过谈判文件技术要求的填写“正偏离”，达不到或者不符合谈判文件技术要求的填写“负偏离”；全部符合要谈判文件技术要求的填写“全部响应或完全响应”。</w:t>
      </w:r>
    </w:p>
    <w:p>
      <w:pPr>
        <w:spacing w:line="420" w:lineRule="exact"/>
        <w:rPr>
          <w:rFonts w:ascii="仿宋" w:hAnsi="仿宋" w:eastAsia="仿宋"/>
          <w:color w:val="auto"/>
          <w:sz w:val="24"/>
          <w:highlight w:val="none"/>
        </w:rPr>
      </w:pPr>
    </w:p>
    <w:p>
      <w:pPr>
        <w:spacing w:line="420" w:lineRule="exact"/>
        <w:rPr>
          <w:rFonts w:ascii="仿宋" w:hAnsi="仿宋" w:eastAsia="仿宋"/>
          <w:color w:val="auto"/>
          <w:sz w:val="24"/>
          <w:highlight w:val="none"/>
        </w:rPr>
      </w:pP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供应商法定代表人或授权代表签字：</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u w:val="single"/>
        </w:rPr>
      </w:pPr>
      <w:r>
        <w:rPr>
          <w:rFonts w:hint="eastAsia" w:ascii="仿宋" w:hAnsi="仿宋" w:eastAsia="仿宋"/>
          <w:color w:val="auto"/>
          <w:sz w:val="24"/>
          <w:highlight w:val="none"/>
        </w:rPr>
        <w:t>供应商名称</w:t>
      </w:r>
      <w:r>
        <w:rPr>
          <w:rFonts w:hint="eastAsia" w:ascii="仿宋" w:hAnsi="仿宋" w:eastAsia="仿宋"/>
          <w:color w:val="auto"/>
          <w:szCs w:val="21"/>
          <w:highlight w:val="none"/>
        </w:rPr>
        <w:t>（签章）</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日            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spacing w:line="420" w:lineRule="exact"/>
        <w:rPr>
          <w:rFonts w:ascii="仿宋" w:hAnsi="仿宋" w:eastAsia="仿宋"/>
          <w:color w:val="auto"/>
          <w:sz w:val="28"/>
          <w:highlight w:val="none"/>
        </w:rPr>
      </w:pPr>
    </w:p>
    <w:p>
      <w:pPr>
        <w:pStyle w:val="3"/>
        <w:numPr>
          <w:ilvl w:val="0"/>
          <w:numId w:val="11"/>
        </w:numPr>
        <w:tabs>
          <w:tab w:val="left" w:pos="900"/>
        </w:tabs>
        <w:ind w:hanging="2159"/>
        <w:rPr>
          <w:rFonts w:ascii="仿宋" w:hAnsi="仿宋" w:eastAsia="仿宋"/>
          <w:color w:val="auto"/>
          <w:highlight w:val="none"/>
        </w:rPr>
      </w:pPr>
      <w:bookmarkStart w:id="144" w:name="_Toc85603422"/>
      <w:r>
        <w:rPr>
          <w:rFonts w:ascii="仿宋" w:hAnsi="仿宋" w:eastAsia="仿宋"/>
          <w:color w:val="auto"/>
          <w:highlight w:val="none"/>
        </w:rPr>
        <w:br w:type="page"/>
      </w:r>
      <w:bookmarkEnd w:id="144"/>
      <w:bookmarkStart w:id="145" w:name="_Toc25767"/>
      <w:r>
        <w:rPr>
          <w:rFonts w:hint="eastAsia" w:ascii="仿宋" w:hAnsi="仿宋" w:eastAsia="仿宋"/>
          <w:color w:val="auto"/>
          <w:highlight w:val="none"/>
        </w:rPr>
        <w:t>商务条款响应/偏离表</w:t>
      </w:r>
      <w:bookmarkEnd w:id="145"/>
    </w:p>
    <w:p>
      <w:pPr>
        <w:spacing w:line="420" w:lineRule="exact"/>
        <w:ind w:firstLine="720" w:firstLineChars="300"/>
        <w:rPr>
          <w:rFonts w:hint="eastAsia" w:ascii="仿宋" w:hAnsi="仿宋" w:eastAsia="仿宋"/>
          <w:color w:val="auto"/>
          <w:sz w:val="24"/>
          <w:highlight w:val="none"/>
          <w:lang w:eastAsia="zh-CN"/>
        </w:rPr>
      </w:pPr>
      <w:r>
        <w:rPr>
          <w:rFonts w:hint="eastAsia" w:ascii="仿宋" w:hAnsi="仿宋" w:eastAsia="仿宋"/>
          <w:color w:val="auto"/>
          <w:sz w:val="24"/>
          <w:highlight w:val="none"/>
        </w:rPr>
        <w:t>项目编号：</w:t>
      </w:r>
      <w:r>
        <w:rPr>
          <w:rFonts w:hint="eastAsia" w:ascii="仿宋" w:hAnsi="仿宋" w:eastAsia="仿宋"/>
          <w:b/>
          <w:color w:val="auto"/>
          <w:sz w:val="24"/>
          <w:highlight w:val="none"/>
          <w:lang w:eastAsia="zh-CN"/>
        </w:rPr>
        <w:t>JXJH2023-XC040</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651"/>
        <w:gridCol w:w="2987"/>
        <w:gridCol w:w="939"/>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23"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序号</w:t>
            </w:r>
          </w:p>
        </w:tc>
        <w:tc>
          <w:tcPr>
            <w:tcW w:w="2651"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谈判文件的商务条款</w:t>
            </w:r>
          </w:p>
        </w:tc>
        <w:tc>
          <w:tcPr>
            <w:tcW w:w="2987"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谈判响应文件响应</w:t>
            </w:r>
          </w:p>
        </w:tc>
        <w:tc>
          <w:tcPr>
            <w:tcW w:w="939"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响应/偏离</w:t>
            </w:r>
          </w:p>
        </w:tc>
        <w:tc>
          <w:tcPr>
            <w:tcW w:w="1480" w:type="dxa"/>
            <w:vAlign w:val="center"/>
          </w:tcPr>
          <w:p>
            <w:pPr>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说明</w:t>
            </w:r>
          </w:p>
          <w:p>
            <w:pPr>
              <w:spacing w:line="400" w:lineRule="exact"/>
              <w:jc w:val="center"/>
              <w:rPr>
                <w:rFonts w:ascii="仿宋" w:hAnsi="仿宋" w:eastAsia="仿宋"/>
                <w:color w:val="auto"/>
                <w:sz w:val="24"/>
                <w:highlight w:val="none"/>
              </w:rPr>
            </w:pPr>
          </w:p>
          <w:p>
            <w:pPr>
              <w:spacing w:line="400" w:lineRule="exact"/>
              <w:jc w:val="center"/>
              <w:rPr>
                <w:rFonts w:ascii="仿宋" w:hAnsi="仿宋" w:eastAsia="仿宋"/>
                <w:color w:val="auto"/>
                <w:sz w:val="24"/>
                <w:highlight w:val="none"/>
              </w:rPr>
            </w:pPr>
          </w:p>
          <w:p>
            <w:pPr>
              <w:spacing w:line="400" w:lineRule="exact"/>
              <w:jc w:val="center"/>
              <w:rPr>
                <w:rFonts w:ascii="仿宋" w:hAnsi="仿宋" w:eastAsia="仿宋"/>
                <w:color w:val="auto"/>
                <w:sz w:val="24"/>
                <w:highlight w:val="none"/>
              </w:rPr>
            </w:pPr>
          </w:p>
          <w:p>
            <w:pPr>
              <w:spacing w:line="400" w:lineRule="exact"/>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3" w:type="dxa"/>
          </w:tcPr>
          <w:p>
            <w:pPr>
              <w:spacing w:line="400" w:lineRule="exact"/>
              <w:rPr>
                <w:rFonts w:ascii="仿宋" w:hAnsi="仿宋" w:eastAsia="仿宋"/>
                <w:color w:val="auto"/>
                <w:sz w:val="24"/>
                <w:highlight w:val="none"/>
              </w:rPr>
            </w:pPr>
          </w:p>
        </w:tc>
        <w:tc>
          <w:tcPr>
            <w:tcW w:w="2651" w:type="dxa"/>
          </w:tcPr>
          <w:p>
            <w:pPr>
              <w:spacing w:line="400" w:lineRule="exact"/>
              <w:rPr>
                <w:rFonts w:ascii="仿宋" w:hAnsi="仿宋" w:eastAsia="仿宋"/>
                <w:color w:val="auto"/>
                <w:sz w:val="24"/>
                <w:highlight w:val="none"/>
              </w:rPr>
            </w:pPr>
          </w:p>
        </w:tc>
        <w:tc>
          <w:tcPr>
            <w:tcW w:w="2987" w:type="dxa"/>
          </w:tcPr>
          <w:p>
            <w:pPr>
              <w:spacing w:line="400" w:lineRule="exact"/>
              <w:rPr>
                <w:rFonts w:ascii="仿宋" w:hAnsi="仿宋" w:eastAsia="仿宋"/>
                <w:color w:val="auto"/>
                <w:sz w:val="24"/>
                <w:highlight w:val="none"/>
              </w:rPr>
            </w:pPr>
          </w:p>
        </w:tc>
        <w:tc>
          <w:tcPr>
            <w:tcW w:w="939" w:type="dxa"/>
          </w:tcPr>
          <w:p>
            <w:pPr>
              <w:spacing w:line="400" w:lineRule="exact"/>
              <w:rPr>
                <w:rFonts w:ascii="仿宋" w:hAnsi="仿宋" w:eastAsia="仿宋"/>
                <w:color w:val="auto"/>
                <w:sz w:val="24"/>
                <w:highlight w:val="none"/>
              </w:rPr>
            </w:pPr>
          </w:p>
        </w:tc>
        <w:tc>
          <w:tcPr>
            <w:tcW w:w="1480" w:type="dxa"/>
          </w:tcPr>
          <w:p>
            <w:pPr>
              <w:spacing w:line="400" w:lineRule="exac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923" w:type="dxa"/>
          </w:tcPr>
          <w:p>
            <w:pPr>
              <w:spacing w:line="400" w:lineRule="exact"/>
              <w:rPr>
                <w:rFonts w:ascii="仿宋" w:hAnsi="仿宋" w:eastAsia="仿宋"/>
                <w:color w:val="auto"/>
                <w:sz w:val="24"/>
                <w:highlight w:val="none"/>
              </w:rPr>
            </w:pPr>
          </w:p>
        </w:tc>
        <w:tc>
          <w:tcPr>
            <w:tcW w:w="2651" w:type="dxa"/>
          </w:tcPr>
          <w:p>
            <w:pPr>
              <w:spacing w:line="400" w:lineRule="exact"/>
              <w:rPr>
                <w:rFonts w:ascii="仿宋" w:hAnsi="仿宋" w:eastAsia="仿宋"/>
                <w:color w:val="auto"/>
                <w:sz w:val="24"/>
                <w:highlight w:val="none"/>
              </w:rPr>
            </w:pPr>
          </w:p>
        </w:tc>
        <w:tc>
          <w:tcPr>
            <w:tcW w:w="2987" w:type="dxa"/>
          </w:tcPr>
          <w:p>
            <w:pPr>
              <w:spacing w:line="400" w:lineRule="exact"/>
              <w:rPr>
                <w:rFonts w:ascii="仿宋" w:hAnsi="仿宋" w:eastAsia="仿宋"/>
                <w:color w:val="auto"/>
                <w:sz w:val="24"/>
                <w:highlight w:val="none"/>
              </w:rPr>
            </w:pPr>
          </w:p>
        </w:tc>
        <w:tc>
          <w:tcPr>
            <w:tcW w:w="939" w:type="dxa"/>
          </w:tcPr>
          <w:p>
            <w:pPr>
              <w:spacing w:line="400" w:lineRule="exact"/>
              <w:rPr>
                <w:rFonts w:ascii="仿宋" w:hAnsi="仿宋" w:eastAsia="仿宋"/>
                <w:color w:val="auto"/>
                <w:sz w:val="24"/>
                <w:highlight w:val="none"/>
              </w:rPr>
            </w:pPr>
          </w:p>
        </w:tc>
        <w:tc>
          <w:tcPr>
            <w:tcW w:w="1480" w:type="dxa"/>
          </w:tcPr>
          <w:p>
            <w:pPr>
              <w:spacing w:line="400" w:lineRule="exac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3" w:type="dxa"/>
          </w:tcPr>
          <w:p>
            <w:pPr>
              <w:spacing w:line="400" w:lineRule="exact"/>
              <w:rPr>
                <w:rFonts w:ascii="仿宋" w:hAnsi="仿宋" w:eastAsia="仿宋"/>
                <w:color w:val="auto"/>
                <w:sz w:val="24"/>
                <w:highlight w:val="none"/>
              </w:rPr>
            </w:pPr>
          </w:p>
        </w:tc>
        <w:tc>
          <w:tcPr>
            <w:tcW w:w="2651" w:type="dxa"/>
          </w:tcPr>
          <w:p>
            <w:pPr>
              <w:spacing w:line="400" w:lineRule="exact"/>
              <w:rPr>
                <w:rFonts w:ascii="仿宋" w:hAnsi="仿宋" w:eastAsia="仿宋"/>
                <w:color w:val="auto"/>
                <w:sz w:val="24"/>
                <w:highlight w:val="none"/>
              </w:rPr>
            </w:pPr>
          </w:p>
        </w:tc>
        <w:tc>
          <w:tcPr>
            <w:tcW w:w="2987" w:type="dxa"/>
          </w:tcPr>
          <w:p>
            <w:pPr>
              <w:spacing w:line="400" w:lineRule="exact"/>
              <w:rPr>
                <w:rFonts w:ascii="仿宋" w:hAnsi="仿宋" w:eastAsia="仿宋"/>
                <w:color w:val="auto"/>
                <w:sz w:val="24"/>
                <w:highlight w:val="none"/>
              </w:rPr>
            </w:pPr>
          </w:p>
        </w:tc>
        <w:tc>
          <w:tcPr>
            <w:tcW w:w="939" w:type="dxa"/>
          </w:tcPr>
          <w:p>
            <w:pPr>
              <w:spacing w:line="400" w:lineRule="exact"/>
              <w:rPr>
                <w:rFonts w:ascii="仿宋" w:hAnsi="仿宋" w:eastAsia="仿宋"/>
                <w:color w:val="auto"/>
                <w:sz w:val="24"/>
                <w:highlight w:val="none"/>
              </w:rPr>
            </w:pPr>
          </w:p>
        </w:tc>
        <w:tc>
          <w:tcPr>
            <w:tcW w:w="1480" w:type="dxa"/>
          </w:tcPr>
          <w:p>
            <w:pPr>
              <w:spacing w:line="400" w:lineRule="exac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3" w:type="dxa"/>
          </w:tcPr>
          <w:p>
            <w:pPr>
              <w:spacing w:line="400" w:lineRule="exact"/>
              <w:rPr>
                <w:rFonts w:ascii="仿宋" w:hAnsi="仿宋" w:eastAsia="仿宋"/>
                <w:color w:val="auto"/>
                <w:sz w:val="24"/>
                <w:highlight w:val="none"/>
              </w:rPr>
            </w:pPr>
          </w:p>
        </w:tc>
        <w:tc>
          <w:tcPr>
            <w:tcW w:w="2651" w:type="dxa"/>
          </w:tcPr>
          <w:p>
            <w:pPr>
              <w:spacing w:line="400" w:lineRule="exact"/>
              <w:rPr>
                <w:rFonts w:ascii="仿宋" w:hAnsi="仿宋" w:eastAsia="仿宋"/>
                <w:color w:val="auto"/>
                <w:sz w:val="24"/>
                <w:highlight w:val="none"/>
              </w:rPr>
            </w:pPr>
          </w:p>
        </w:tc>
        <w:tc>
          <w:tcPr>
            <w:tcW w:w="2987" w:type="dxa"/>
          </w:tcPr>
          <w:p>
            <w:pPr>
              <w:spacing w:line="400" w:lineRule="exact"/>
              <w:rPr>
                <w:rFonts w:ascii="仿宋" w:hAnsi="仿宋" w:eastAsia="仿宋"/>
                <w:color w:val="auto"/>
                <w:sz w:val="24"/>
                <w:highlight w:val="none"/>
              </w:rPr>
            </w:pPr>
          </w:p>
        </w:tc>
        <w:tc>
          <w:tcPr>
            <w:tcW w:w="939" w:type="dxa"/>
          </w:tcPr>
          <w:p>
            <w:pPr>
              <w:spacing w:line="400" w:lineRule="exact"/>
              <w:rPr>
                <w:rFonts w:ascii="仿宋" w:hAnsi="仿宋" w:eastAsia="仿宋"/>
                <w:color w:val="auto"/>
                <w:sz w:val="24"/>
                <w:highlight w:val="none"/>
              </w:rPr>
            </w:pPr>
          </w:p>
        </w:tc>
        <w:tc>
          <w:tcPr>
            <w:tcW w:w="1480" w:type="dxa"/>
          </w:tcPr>
          <w:p>
            <w:pPr>
              <w:spacing w:line="400" w:lineRule="exact"/>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3" w:type="dxa"/>
          </w:tcPr>
          <w:p>
            <w:pPr>
              <w:spacing w:line="400" w:lineRule="exact"/>
              <w:rPr>
                <w:rFonts w:ascii="仿宋" w:hAnsi="仿宋" w:eastAsia="仿宋"/>
                <w:color w:val="auto"/>
                <w:sz w:val="24"/>
                <w:highlight w:val="none"/>
              </w:rPr>
            </w:pPr>
          </w:p>
        </w:tc>
        <w:tc>
          <w:tcPr>
            <w:tcW w:w="2651" w:type="dxa"/>
          </w:tcPr>
          <w:p>
            <w:pPr>
              <w:spacing w:line="400" w:lineRule="exact"/>
              <w:rPr>
                <w:rFonts w:ascii="仿宋" w:hAnsi="仿宋" w:eastAsia="仿宋"/>
                <w:color w:val="auto"/>
                <w:sz w:val="24"/>
                <w:highlight w:val="none"/>
              </w:rPr>
            </w:pPr>
          </w:p>
        </w:tc>
        <w:tc>
          <w:tcPr>
            <w:tcW w:w="2987" w:type="dxa"/>
          </w:tcPr>
          <w:p>
            <w:pPr>
              <w:spacing w:line="400" w:lineRule="exact"/>
              <w:rPr>
                <w:rFonts w:ascii="仿宋" w:hAnsi="仿宋" w:eastAsia="仿宋"/>
                <w:color w:val="auto"/>
                <w:sz w:val="24"/>
                <w:highlight w:val="none"/>
              </w:rPr>
            </w:pPr>
          </w:p>
        </w:tc>
        <w:tc>
          <w:tcPr>
            <w:tcW w:w="939" w:type="dxa"/>
          </w:tcPr>
          <w:p>
            <w:pPr>
              <w:spacing w:line="400" w:lineRule="exact"/>
              <w:rPr>
                <w:rFonts w:ascii="仿宋" w:hAnsi="仿宋" w:eastAsia="仿宋"/>
                <w:color w:val="auto"/>
                <w:sz w:val="24"/>
                <w:highlight w:val="none"/>
              </w:rPr>
            </w:pPr>
          </w:p>
        </w:tc>
        <w:tc>
          <w:tcPr>
            <w:tcW w:w="1480" w:type="dxa"/>
          </w:tcPr>
          <w:p>
            <w:pPr>
              <w:spacing w:line="400" w:lineRule="exact"/>
              <w:rPr>
                <w:rFonts w:ascii="仿宋" w:hAnsi="仿宋" w:eastAsia="仿宋"/>
                <w:color w:val="auto"/>
                <w:sz w:val="24"/>
                <w:highlight w:val="none"/>
              </w:rPr>
            </w:pPr>
          </w:p>
        </w:tc>
      </w:tr>
    </w:tbl>
    <w:p>
      <w:pPr>
        <w:spacing w:line="400" w:lineRule="exact"/>
        <w:rPr>
          <w:rFonts w:ascii="仿宋" w:hAnsi="仿宋" w:eastAsia="仿宋"/>
          <w:color w:val="auto"/>
          <w:sz w:val="24"/>
          <w:highlight w:val="none"/>
        </w:rPr>
      </w:pPr>
    </w:p>
    <w:p>
      <w:pPr>
        <w:pStyle w:val="21"/>
        <w:spacing w:line="360" w:lineRule="auto"/>
        <w:ind w:firstLine="361" w:firstLineChars="150"/>
        <w:rPr>
          <w:rFonts w:ascii="仿宋" w:hAnsi="仿宋" w:eastAsia="仿宋"/>
          <w:b/>
          <w:color w:val="auto"/>
          <w:sz w:val="24"/>
          <w:highlight w:val="none"/>
        </w:rPr>
      </w:pPr>
      <w:r>
        <w:rPr>
          <w:rFonts w:hint="eastAsia" w:ascii="仿宋" w:hAnsi="仿宋" w:eastAsia="仿宋"/>
          <w:b/>
          <w:color w:val="auto"/>
          <w:sz w:val="24"/>
          <w:highlight w:val="none"/>
        </w:rPr>
        <w:t>注：</w:t>
      </w:r>
    </w:p>
    <w:p>
      <w:pPr>
        <w:pStyle w:val="21"/>
        <w:spacing w:line="360" w:lineRule="auto"/>
        <w:ind w:firstLine="316" w:firstLineChars="150"/>
        <w:rPr>
          <w:rFonts w:ascii="仿宋" w:hAnsi="仿宋" w:eastAsia="仿宋"/>
          <w:b/>
          <w:color w:val="auto"/>
          <w:szCs w:val="21"/>
          <w:highlight w:val="none"/>
        </w:rPr>
      </w:pPr>
      <w:r>
        <w:rPr>
          <w:rFonts w:hint="eastAsia" w:ascii="仿宋" w:hAnsi="仿宋" w:eastAsia="仿宋"/>
          <w:b/>
          <w:color w:val="auto"/>
          <w:szCs w:val="21"/>
          <w:highlight w:val="none"/>
        </w:rPr>
        <w:t>“响应/偏离”的填写，优于或超过谈判文件要求的填写“正偏离”，达不到或者不符合谈判文件要求的填写“负偏离”；全部符合谈判文件要求的填写“全部响应或完全响应”。</w:t>
      </w:r>
    </w:p>
    <w:p>
      <w:pPr>
        <w:pStyle w:val="21"/>
        <w:spacing w:line="360" w:lineRule="auto"/>
        <w:ind w:firstLine="316" w:firstLineChars="150"/>
        <w:rPr>
          <w:rFonts w:ascii="仿宋" w:hAnsi="仿宋" w:eastAsia="仿宋"/>
          <w:b/>
          <w:color w:val="auto"/>
          <w:szCs w:val="21"/>
          <w:highlight w:val="none"/>
        </w:rPr>
      </w:pPr>
    </w:p>
    <w:p>
      <w:pPr>
        <w:spacing w:line="420" w:lineRule="exact"/>
        <w:rPr>
          <w:rFonts w:ascii="仿宋" w:hAnsi="仿宋" w:eastAsia="仿宋"/>
          <w:color w:val="auto"/>
          <w:sz w:val="24"/>
          <w:highlight w:val="none"/>
        </w:rPr>
      </w:pPr>
    </w:p>
    <w:p>
      <w:pPr>
        <w:adjustRightInd w:val="0"/>
        <w:snapToGrid w:val="0"/>
        <w:spacing w:line="300" w:lineRule="auto"/>
        <w:ind w:left="2940" w:leftChars="1400" w:firstLine="1380" w:firstLineChars="575"/>
        <w:rPr>
          <w:rFonts w:ascii="仿宋" w:hAnsi="仿宋" w:eastAsia="仿宋"/>
          <w:color w:val="auto"/>
          <w:sz w:val="24"/>
          <w:highlight w:val="none"/>
        </w:rPr>
      </w:pP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供应商法定代表人或授权代表签字：</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u w:val="single"/>
        </w:rPr>
      </w:pPr>
      <w:r>
        <w:rPr>
          <w:rFonts w:hint="eastAsia" w:ascii="仿宋" w:hAnsi="仿宋" w:eastAsia="仿宋"/>
          <w:color w:val="auto"/>
          <w:sz w:val="24"/>
          <w:highlight w:val="none"/>
        </w:rPr>
        <w:t>供应商名称</w:t>
      </w:r>
      <w:r>
        <w:rPr>
          <w:rFonts w:hint="eastAsia" w:ascii="仿宋" w:hAnsi="仿宋" w:eastAsia="仿宋"/>
          <w:color w:val="auto"/>
          <w:szCs w:val="21"/>
          <w:highlight w:val="none"/>
        </w:rPr>
        <w:t>（签章）</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日            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pStyle w:val="3"/>
        <w:numPr>
          <w:ilvl w:val="0"/>
          <w:numId w:val="11"/>
        </w:numPr>
        <w:tabs>
          <w:tab w:val="left" w:pos="900"/>
        </w:tabs>
        <w:ind w:hanging="2159"/>
        <w:rPr>
          <w:rFonts w:ascii="仿宋" w:hAnsi="仿宋" w:eastAsia="仿宋"/>
          <w:color w:val="auto"/>
          <w:highlight w:val="none"/>
        </w:rPr>
      </w:pPr>
      <w:r>
        <w:rPr>
          <w:rFonts w:ascii="仿宋" w:hAnsi="仿宋" w:eastAsia="仿宋"/>
          <w:color w:val="auto"/>
          <w:sz w:val="24"/>
          <w:highlight w:val="none"/>
        </w:rPr>
        <w:br w:type="page"/>
      </w:r>
      <w:bookmarkStart w:id="146" w:name="_TOC_250003"/>
      <w:bookmarkEnd w:id="146"/>
      <w:bookmarkStart w:id="147" w:name="_Toc24949"/>
      <w:r>
        <w:rPr>
          <w:rFonts w:ascii="仿宋" w:hAnsi="仿宋" w:eastAsia="仿宋"/>
          <w:color w:val="auto"/>
          <w:highlight w:val="none"/>
        </w:rPr>
        <w:t>供应商资格声明（格式）</w:t>
      </w:r>
      <w:bookmarkEnd w:id="147"/>
    </w:p>
    <w:p>
      <w:pPr>
        <w:spacing w:line="520" w:lineRule="exact"/>
        <w:jc w:val="center"/>
        <w:rPr>
          <w:rFonts w:ascii="仿宋" w:hAnsi="仿宋" w:eastAsia="仿宋"/>
          <w:b/>
          <w:color w:val="auto"/>
          <w:sz w:val="32"/>
          <w:szCs w:val="32"/>
          <w:highlight w:val="none"/>
        </w:rPr>
      </w:pPr>
      <w:r>
        <w:rPr>
          <w:rFonts w:ascii="仿宋" w:hAnsi="仿宋" w:eastAsia="仿宋"/>
          <w:b/>
          <w:color w:val="auto"/>
          <w:sz w:val="32"/>
          <w:szCs w:val="32"/>
          <w:highlight w:val="none"/>
        </w:rPr>
        <w:t>供应商资格声明</w:t>
      </w:r>
    </w:p>
    <w:p>
      <w:pPr>
        <w:pStyle w:val="17"/>
        <w:spacing w:line="520" w:lineRule="exact"/>
        <w:rPr>
          <w:rFonts w:ascii="仿宋" w:hAnsi="仿宋" w:eastAsia="仿宋"/>
          <w:b/>
          <w:color w:val="auto"/>
          <w:sz w:val="24"/>
          <w:szCs w:val="24"/>
          <w:highlight w:val="none"/>
        </w:rPr>
      </w:pPr>
    </w:p>
    <w:p>
      <w:pPr>
        <w:pStyle w:val="17"/>
        <w:spacing w:line="520" w:lineRule="exact"/>
        <w:rPr>
          <w:rFonts w:ascii="仿宋" w:hAnsi="仿宋" w:eastAsia="仿宋"/>
          <w:color w:val="auto"/>
          <w:sz w:val="24"/>
          <w:szCs w:val="24"/>
          <w:highlight w:val="none"/>
        </w:rPr>
      </w:pPr>
      <w:r>
        <w:rPr>
          <w:rFonts w:hint="eastAsia" w:ascii="仿宋" w:hAnsi="仿宋" w:eastAsia="仿宋"/>
          <w:b/>
          <w:color w:val="auto"/>
          <w:sz w:val="24"/>
          <w:szCs w:val="24"/>
          <w:highlight w:val="none"/>
        </w:rPr>
        <w:t>致：江西骏宏招标咨询有限公司</w:t>
      </w:r>
    </w:p>
    <w:p>
      <w:pPr>
        <w:pStyle w:val="17"/>
        <w:spacing w:line="5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w:t>
      </w:r>
      <w:r>
        <w:rPr>
          <w:rFonts w:ascii="仿宋" w:hAnsi="仿宋" w:eastAsia="仿宋"/>
          <w:color w:val="auto"/>
          <w:sz w:val="24"/>
          <w:szCs w:val="24"/>
          <w:highlight w:val="none"/>
        </w:rPr>
        <w:t>为了充分体现公平竞争、诚信谈判行为，我单位对参加项目的谈判做出如下承诺：</w:t>
      </w:r>
    </w:p>
    <w:p>
      <w:pPr>
        <w:pStyle w:val="17"/>
        <w:spacing w:line="520" w:lineRule="exact"/>
        <w:ind w:firstLine="480"/>
        <w:rPr>
          <w:rFonts w:ascii="仿宋" w:hAnsi="仿宋" w:eastAsia="仿宋"/>
          <w:color w:val="auto"/>
          <w:sz w:val="24"/>
          <w:szCs w:val="24"/>
          <w:highlight w:val="none"/>
        </w:rPr>
      </w:pPr>
      <w:r>
        <w:rPr>
          <w:rFonts w:ascii="仿宋" w:hAnsi="仿宋" w:eastAsia="仿宋"/>
          <w:color w:val="auto"/>
          <w:sz w:val="24"/>
          <w:szCs w:val="24"/>
          <w:highlight w:val="none"/>
        </w:rPr>
        <w:t>1、严格遵守国家相关法律、法规，没有围标、串标、资质挂靠等违法、违规行为；</w:t>
      </w:r>
    </w:p>
    <w:p>
      <w:pPr>
        <w:pStyle w:val="17"/>
        <w:spacing w:line="5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w:t>
      </w:r>
      <w:r>
        <w:rPr>
          <w:rFonts w:ascii="仿宋" w:hAnsi="仿宋" w:eastAsia="仿宋"/>
          <w:color w:val="auto"/>
          <w:sz w:val="24"/>
          <w:szCs w:val="24"/>
          <w:highlight w:val="none"/>
        </w:rPr>
        <w:t>2、提供的资质等证明材料真实、合法、有效；</w:t>
      </w:r>
    </w:p>
    <w:p>
      <w:pPr>
        <w:pStyle w:val="17"/>
        <w:spacing w:line="520" w:lineRule="exact"/>
        <w:ind w:firstLine="480"/>
        <w:rPr>
          <w:rFonts w:ascii="仿宋" w:hAnsi="仿宋" w:eastAsia="仿宋"/>
          <w:color w:val="auto"/>
          <w:sz w:val="24"/>
          <w:szCs w:val="24"/>
          <w:highlight w:val="none"/>
        </w:rPr>
      </w:pPr>
      <w:r>
        <w:rPr>
          <w:rFonts w:ascii="仿宋" w:hAnsi="仿宋" w:eastAsia="仿宋"/>
          <w:color w:val="auto"/>
          <w:sz w:val="24"/>
          <w:szCs w:val="24"/>
          <w:highlight w:val="none"/>
        </w:rPr>
        <w:t>3、不参与不正当竞争，不向采购人、采购代理机构、交易中心、评审专家以及行业监督部门行贿以谋取不正当利益；</w:t>
      </w:r>
    </w:p>
    <w:p>
      <w:pPr>
        <w:pStyle w:val="17"/>
        <w:spacing w:line="5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w:t>
      </w:r>
      <w:r>
        <w:rPr>
          <w:rFonts w:ascii="仿宋" w:hAnsi="仿宋" w:eastAsia="仿宋"/>
          <w:color w:val="auto"/>
          <w:sz w:val="24"/>
          <w:szCs w:val="24"/>
          <w:highlight w:val="none"/>
        </w:rPr>
        <w:t>4、严格按照谈判文件、谈判响应文件约定签订合同；</w:t>
      </w:r>
    </w:p>
    <w:p>
      <w:pPr>
        <w:pStyle w:val="17"/>
        <w:spacing w:line="520" w:lineRule="exact"/>
        <w:ind w:firstLine="480"/>
        <w:rPr>
          <w:rFonts w:ascii="仿宋" w:hAnsi="仿宋" w:eastAsia="仿宋"/>
          <w:color w:val="auto"/>
          <w:sz w:val="24"/>
          <w:szCs w:val="24"/>
          <w:highlight w:val="none"/>
        </w:rPr>
      </w:pPr>
      <w:r>
        <w:rPr>
          <w:rFonts w:ascii="仿宋" w:hAnsi="仿宋" w:eastAsia="仿宋"/>
          <w:color w:val="auto"/>
          <w:sz w:val="24"/>
          <w:szCs w:val="24"/>
          <w:highlight w:val="none"/>
        </w:rPr>
        <w:t>5、主动接受行业监督部门、业主及社会各界的监督，如有违反，接受相应处罚，直至被追究法律责任。</w:t>
      </w:r>
    </w:p>
    <w:p>
      <w:pPr>
        <w:pStyle w:val="17"/>
        <w:spacing w:line="520" w:lineRule="exact"/>
        <w:rPr>
          <w:rFonts w:ascii="仿宋" w:hAnsi="仿宋" w:eastAsia="仿宋"/>
          <w:color w:val="auto"/>
          <w:sz w:val="24"/>
          <w:szCs w:val="24"/>
          <w:highlight w:val="none"/>
        </w:rPr>
      </w:pPr>
    </w:p>
    <w:p>
      <w:pPr>
        <w:pStyle w:val="17"/>
        <w:spacing w:line="520" w:lineRule="exact"/>
        <w:rPr>
          <w:rFonts w:ascii="仿宋" w:hAnsi="仿宋" w:eastAsia="仿宋"/>
          <w:color w:val="auto"/>
          <w:sz w:val="24"/>
          <w:szCs w:val="24"/>
          <w:highlight w:val="none"/>
        </w:rPr>
      </w:pPr>
    </w:p>
    <w:p>
      <w:pPr>
        <w:pStyle w:val="17"/>
        <w:spacing w:line="520" w:lineRule="exact"/>
        <w:rPr>
          <w:rFonts w:ascii="仿宋" w:hAnsi="仿宋" w:eastAsia="仿宋"/>
          <w:color w:val="auto"/>
          <w:sz w:val="24"/>
          <w:szCs w:val="24"/>
          <w:highlight w:val="none"/>
        </w:rPr>
      </w:pP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法定代表人或授权代表人签字：</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u w:val="single"/>
        </w:rPr>
      </w:pPr>
      <w:r>
        <w:rPr>
          <w:rFonts w:hint="eastAsia" w:ascii="仿宋" w:hAnsi="仿宋" w:eastAsia="仿宋"/>
          <w:color w:val="auto"/>
          <w:sz w:val="24"/>
          <w:highlight w:val="none"/>
        </w:rPr>
        <w:t>供应商名称</w:t>
      </w:r>
      <w:r>
        <w:rPr>
          <w:rFonts w:hint="eastAsia" w:ascii="仿宋" w:hAnsi="仿宋" w:eastAsia="仿宋"/>
          <w:color w:val="auto"/>
          <w:szCs w:val="21"/>
          <w:highlight w:val="none"/>
        </w:rPr>
        <w:t>（签章）</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日            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pStyle w:val="17"/>
        <w:spacing w:line="520" w:lineRule="exact"/>
        <w:rPr>
          <w:rFonts w:ascii="仿宋" w:hAnsi="仿宋" w:eastAsia="仿宋"/>
          <w:color w:val="auto"/>
          <w:sz w:val="24"/>
          <w:szCs w:val="24"/>
          <w:highlight w:val="none"/>
        </w:rPr>
      </w:pP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pStyle w:val="17"/>
        <w:spacing w:before="11"/>
        <w:rPr>
          <w:rFonts w:ascii="仿宋" w:hAnsi="仿宋" w:eastAsia="仿宋"/>
          <w:b/>
          <w:color w:val="auto"/>
          <w:sz w:val="10"/>
          <w:highlight w:val="none"/>
        </w:rPr>
      </w:pPr>
      <w:r>
        <w:rPr>
          <w:rFonts w:ascii="仿宋" w:hAnsi="仿宋" w:eastAsia="仿宋"/>
          <w:color w:val="auto"/>
          <w:sz w:val="24"/>
          <w:szCs w:val="24"/>
          <w:highlight w:val="none"/>
        </w:rPr>
        <w:br w:type="page"/>
      </w:r>
    </w:p>
    <w:p>
      <w:pPr>
        <w:pStyle w:val="3"/>
        <w:numPr>
          <w:ilvl w:val="0"/>
          <w:numId w:val="11"/>
        </w:numPr>
        <w:tabs>
          <w:tab w:val="left" w:pos="900"/>
        </w:tabs>
        <w:ind w:hanging="2159"/>
        <w:rPr>
          <w:rFonts w:ascii="仿宋" w:hAnsi="仿宋" w:eastAsia="仿宋"/>
          <w:color w:val="auto"/>
          <w:highlight w:val="none"/>
        </w:rPr>
      </w:pPr>
      <w:bookmarkStart w:id="148" w:name="_TOC_250001"/>
      <w:bookmarkEnd w:id="148"/>
      <w:bookmarkStart w:id="149" w:name="_Toc9627"/>
      <w:bookmarkStart w:id="150" w:name="_Toc20036932"/>
      <w:r>
        <w:rPr>
          <w:rFonts w:ascii="仿宋" w:hAnsi="仿宋" w:eastAsia="仿宋"/>
          <w:color w:val="auto"/>
          <w:highlight w:val="none"/>
        </w:rPr>
        <w:t>资格证明文件</w:t>
      </w:r>
      <w:bookmarkEnd w:id="149"/>
      <w:bookmarkEnd w:id="150"/>
    </w:p>
    <w:p>
      <w:pPr>
        <w:spacing w:line="520" w:lineRule="exact"/>
        <w:rPr>
          <w:rFonts w:ascii="仿宋" w:hAnsi="仿宋" w:eastAsia="仿宋"/>
          <w:color w:val="auto"/>
          <w:sz w:val="24"/>
          <w:highlight w:val="none"/>
        </w:rPr>
      </w:pPr>
    </w:p>
    <w:p>
      <w:pPr>
        <w:numPr>
          <w:ilvl w:val="0"/>
          <w:numId w:val="12"/>
        </w:numPr>
        <w:spacing w:line="520" w:lineRule="exact"/>
        <w:rPr>
          <w:rFonts w:ascii="仿宋" w:hAnsi="仿宋" w:eastAsia="仿宋"/>
          <w:b/>
          <w:color w:val="auto"/>
          <w:sz w:val="24"/>
          <w:highlight w:val="none"/>
        </w:rPr>
      </w:pPr>
      <w:r>
        <w:rPr>
          <w:rFonts w:hint="eastAsia" w:ascii="仿宋" w:hAnsi="仿宋" w:eastAsia="仿宋"/>
          <w:b/>
          <w:color w:val="auto"/>
          <w:sz w:val="24"/>
          <w:highlight w:val="none"/>
        </w:rPr>
        <w:t xml:space="preserve"> </w:t>
      </w:r>
      <w:r>
        <w:rPr>
          <w:rFonts w:ascii="仿宋" w:hAnsi="仿宋" w:eastAsia="仿宋"/>
          <w:b/>
          <w:color w:val="auto"/>
          <w:sz w:val="24"/>
          <w:highlight w:val="none"/>
        </w:rPr>
        <w:t>证明具有独立承担民事责任能力的材料</w:t>
      </w:r>
    </w:p>
    <w:p>
      <w:pPr>
        <w:pStyle w:val="17"/>
        <w:spacing w:line="520" w:lineRule="exact"/>
        <w:rPr>
          <w:rFonts w:ascii="仿宋" w:hAnsi="仿宋" w:eastAsia="仿宋"/>
          <w:b/>
          <w:color w:val="auto"/>
          <w:sz w:val="24"/>
          <w:szCs w:val="24"/>
          <w:highlight w:val="none"/>
        </w:rPr>
      </w:pPr>
    </w:p>
    <w:p>
      <w:pPr>
        <w:spacing w:line="520" w:lineRule="exact"/>
        <w:rPr>
          <w:rFonts w:ascii="仿宋" w:hAnsi="仿宋" w:eastAsia="仿宋"/>
          <w:b/>
          <w:color w:val="auto"/>
          <w:sz w:val="24"/>
          <w:highlight w:val="none"/>
        </w:rPr>
      </w:pPr>
      <w:r>
        <w:rPr>
          <w:rFonts w:ascii="仿宋" w:hAnsi="仿宋" w:eastAsia="仿宋"/>
          <w:b/>
          <w:color w:val="auto"/>
          <w:sz w:val="24"/>
          <w:highlight w:val="none"/>
        </w:rPr>
        <w:t>提供材料说明：</w:t>
      </w:r>
    </w:p>
    <w:p>
      <w:pPr>
        <w:pStyle w:val="67"/>
        <w:tabs>
          <w:tab w:val="left" w:pos="882"/>
        </w:tabs>
        <w:autoSpaceDE w:val="0"/>
        <w:autoSpaceDN w:val="0"/>
        <w:spacing w:line="520" w:lineRule="exact"/>
        <w:ind w:firstLine="0" w:firstLineChars="0"/>
        <w:rPr>
          <w:rFonts w:ascii="仿宋" w:hAnsi="仿宋" w:eastAsia="仿宋"/>
          <w:color w:val="auto"/>
          <w:sz w:val="24"/>
          <w:highlight w:val="none"/>
        </w:rPr>
      </w:pPr>
      <w:r>
        <w:rPr>
          <w:rFonts w:hint="eastAsia" w:ascii="仿宋" w:hAnsi="仿宋" w:eastAsia="仿宋"/>
          <w:color w:val="auto"/>
          <w:sz w:val="24"/>
          <w:highlight w:val="none"/>
        </w:rPr>
        <w:t xml:space="preserve"> </w:t>
      </w:r>
      <w:r>
        <w:rPr>
          <w:rFonts w:ascii="仿宋" w:hAnsi="仿宋" w:eastAsia="仿宋"/>
          <w:color w:val="auto"/>
          <w:sz w:val="24"/>
          <w:highlight w:val="none"/>
        </w:rPr>
        <w:t>提供法人或者其他组织的有效营业执照等证明文件或自然人的身份证明；</w:t>
      </w:r>
      <w:r>
        <w:rPr>
          <w:rFonts w:hint="eastAsia" w:ascii="仿宋" w:hAnsi="仿宋" w:eastAsia="仿宋"/>
          <w:color w:val="auto"/>
          <w:sz w:val="24"/>
          <w:highlight w:val="none"/>
        </w:rPr>
        <w:t>（银行、保险、石油石化、电力、电信等有行业特殊情况的，取得营业执照的分支机构可以以分公司名义参与本项目，须提供有独立法人资格的总公司合法有效授权，招标文件中涉及的“法定代表人”在前述特殊行业中即对应为“分支机构负责人”。）</w:t>
      </w:r>
    </w:p>
    <w:p>
      <w:pPr>
        <w:pStyle w:val="17"/>
        <w:spacing w:line="520" w:lineRule="exact"/>
        <w:rPr>
          <w:rFonts w:ascii="仿宋" w:hAnsi="仿宋" w:eastAsia="仿宋"/>
          <w:color w:val="auto"/>
          <w:sz w:val="24"/>
          <w:szCs w:val="24"/>
          <w:highlight w:val="none"/>
        </w:rPr>
      </w:pPr>
      <w:r>
        <w:rPr>
          <w:rFonts w:ascii="仿宋" w:hAnsi="仿宋" w:eastAsia="仿宋"/>
          <w:b/>
          <w:color w:val="auto"/>
          <w:sz w:val="24"/>
          <w:szCs w:val="24"/>
          <w:highlight w:val="none"/>
        </w:rPr>
        <w:t>释义：</w:t>
      </w:r>
      <w:r>
        <w:rPr>
          <w:rFonts w:ascii="仿宋" w:hAnsi="仿宋" w:eastAsia="仿宋"/>
          <w:color w:val="auto"/>
          <w:sz w:val="24"/>
          <w:szCs w:val="24"/>
          <w:highlight w:val="none"/>
        </w:rPr>
        <w:t>供应商是企业（包括合伙企业）</w:t>
      </w:r>
      <w:r>
        <w:rPr>
          <w:rFonts w:ascii="仿宋" w:hAnsi="仿宋" w:eastAsia="仿宋"/>
          <w:color w:val="auto"/>
          <w:spacing w:val="-1"/>
          <w:sz w:val="24"/>
          <w:szCs w:val="24"/>
          <w:highlight w:val="none"/>
        </w:rPr>
        <w:t xml:space="preserve">的，应提供其在工商部门注册的有效“企业法人营业执照” </w:t>
      </w:r>
      <w:r>
        <w:rPr>
          <w:rFonts w:ascii="仿宋" w:hAnsi="仿宋" w:eastAsia="仿宋"/>
          <w:color w:val="auto"/>
          <w:spacing w:val="-3"/>
          <w:sz w:val="24"/>
          <w:szCs w:val="24"/>
          <w:highlight w:val="none"/>
        </w:rPr>
        <w:t>或“营业执照”；供应商是事业单位的，应提供其有效的“事业单位法人证书”；供应商是非企业专业服务机构的，应提供其有效的执业许可证；供应商是个体工商户的，应提供其有效的“个体工商户营业执照”；供应商是自然人的，应提供其有效的自然人身份证明。</w:t>
      </w: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numPr>
          <w:ilvl w:val="0"/>
          <w:numId w:val="12"/>
        </w:numPr>
        <w:spacing w:line="520" w:lineRule="exact"/>
        <w:rPr>
          <w:rFonts w:ascii="仿宋" w:hAnsi="仿宋" w:eastAsia="仿宋"/>
          <w:b/>
          <w:color w:val="auto"/>
          <w:sz w:val="24"/>
          <w:highlight w:val="none"/>
        </w:rPr>
      </w:pPr>
      <w:r>
        <w:rPr>
          <w:rFonts w:ascii="仿宋" w:hAnsi="仿宋" w:eastAsia="仿宋"/>
          <w:color w:val="auto"/>
          <w:sz w:val="24"/>
          <w:highlight w:val="none"/>
        </w:rPr>
        <w:br w:type="page"/>
      </w:r>
      <w:r>
        <w:rPr>
          <w:rFonts w:hint="eastAsia" w:ascii="仿宋" w:hAnsi="仿宋" w:eastAsia="仿宋"/>
          <w:b/>
          <w:color w:val="auto"/>
          <w:sz w:val="24"/>
          <w:highlight w:val="none"/>
        </w:rPr>
        <w:t xml:space="preserve"> </w:t>
      </w:r>
      <w:r>
        <w:rPr>
          <w:rFonts w:ascii="仿宋" w:hAnsi="仿宋" w:eastAsia="仿宋"/>
          <w:b/>
          <w:color w:val="auto"/>
          <w:sz w:val="24"/>
          <w:highlight w:val="none"/>
        </w:rPr>
        <w:t>证明具有良好的商业信誉和健全的财务会计制度的材料</w:t>
      </w:r>
    </w:p>
    <w:p>
      <w:pPr>
        <w:pStyle w:val="17"/>
        <w:spacing w:line="520" w:lineRule="exact"/>
        <w:rPr>
          <w:rFonts w:ascii="仿宋" w:hAnsi="仿宋" w:eastAsia="仿宋"/>
          <w:b/>
          <w:color w:val="auto"/>
          <w:sz w:val="24"/>
          <w:szCs w:val="24"/>
          <w:highlight w:val="none"/>
        </w:rPr>
      </w:pPr>
    </w:p>
    <w:p>
      <w:pPr>
        <w:spacing w:line="520" w:lineRule="exact"/>
        <w:rPr>
          <w:rFonts w:ascii="仿宋" w:hAnsi="仿宋" w:eastAsia="仿宋"/>
          <w:b/>
          <w:color w:val="auto"/>
          <w:sz w:val="24"/>
          <w:highlight w:val="none"/>
        </w:rPr>
      </w:pPr>
      <w:r>
        <w:rPr>
          <w:rFonts w:ascii="仿宋" w:hAnsi="仿宋" w:eastAsia="仿宋"/>
          <w:b/>
          <w:color w:val="auto"/>
          <w:sz w:val="24"/>
          <w:highlight w:val="none"/>
        </w:rPr>
        <w:t>提供材料说明：</w:t>
      </w:r>
    </w:p>
    <w:p>
      <w:pPr>
        <w:spacing w:line="520" w:lineRule="exact"/>
        <w:ind w:firstLine="480"/>
        <w:rPr>
          <w:rFonts w:ascii="仿宋" w:hAnsi="仿宋" w:eastAsia="仿宋"/>
          <w:b/>
          <w:color w:val="auto"/>
          <w:sz w:val="24"/>
          <w:highlight w:val="none"/>
        </w:rPr>
      </w:pPr>
      <w:r>
        <w:rPr>
          <w:rFonts w:hint="eastAsia" w:ascii="仿宋" w:hAnsi="仿宋" w:eastAsia="仿宋"/>
          <w:color w:val="auto"/>
          <w:sz w:val="24"/>
          <w:highlight w:val="none"/>
        </w:rPr>
        <w:t>提供谈判开始前两年内任意一年度经审计的财务报告</w:t>
      </w:r>
      <w:r>
        <w:rPr>
          <w:rFonts w:ascii="仿宋" w:hAnsi="仿宋" w:eastAsia="仿宋"/>
          <w:color w:val="auto"/>
          <w:sz w:val="24"/>
          <w:highlight w:val="none"/>
        </w:rPr>
        <w:t>；</w:t>
      </w:r>
      <w:r>
        <w:rPr>
          <w:rFonts w:hint="eastAsia" w:ascii="仿宋" w:hAnsi="仿宋" w:eastAsia="仿宋"/>
          <w:color w:val="auto"/>
          <w:sz w:val="24"/>
          <w:highlight w:val="none"/>
        </w:rPr>
        <w:t>或其开户银行出具的无不良记录的资信证明（开具时间应在招标/采购公告</w:t>
      </w:r>
      <w:r>
        <w:rPr>
          <w:rFonts w:ascii="仿宋" w:hAnsi="仿宋" w:eastAsia="仿宋"/>
          <w:color w:val="auto"/>
          <w:sz w:val="24"/>
          <w:highlight w:val="none"/>
        </w:rPr>
        <w:t>发布</w:t>
      </w:r>
      <w:r>
        <w:rPr>
          <w:rFonts w:hint="eastAsia" w:ascii="仿宋" w:hAnsi="仿宋" w:eastAsia="仿宋"/>
          <w:color w:val="auto"/>
          <w:sz w:val="24"/>
          <w:highlight w:val="none"/>
        </w:rPr>
        <w:t>日之后，或证明文件上注明在有效期内）；或谈判开始前6个月内，任意一个月的财务报表（包含资产负债表、利润表或损益表）。</w:t>
      </w:r>
      <w:r>
        <w:rPr>
          <w:rFonts w:ascii="仿宋" w:hAnsi="仿宋" w:eastAsia="仿宋"/>
          <w:b/>
          <w:color w:val="auto"/>
          <w:sz w:val="24"/>
          <w:highlight w:val="none"/>
        </w:rPr>
        <w:t xml:space="preserve">      </w:t>
      </w:r>
    </w:p>
    <w:p>
      <w:pPr>
        <w:spacing w:line="520" w:lineRule="exact"/>
        <w:ind w:firstLine="480"/>
        <w:rPr>
          <w:rFonts w:ascii="仿宋" w:hAnsi="仿宋" w:eastAsia="仿宋"/>
          <w:b/>
          <w:color w:val="auto"/>
          <w:sz w:val="24"/>
          <w:highlight w:val="none"/>
        </w:rPr>
      </w:pPr>
    </w:p>
    <w:p>
      <w:pPr>
        <w:spacing w:line="520" w:lineRule="exact"/>
        <w:ind w:firstLine="480"/>
        <w:rPr>
          <w:rFonts w:ascii="仿宋" w:hAnsi="仿宋" w:eastAsia="仿宋"/>
          <w:b/>
          <w:color w:val="auto"/>
          <w:sz w:val="24"/>
          <w:highlight w:val="none"/>
        </w:rPr>
      </w:pPr>
    </w:p>
    <w:p>
      <w:pPr>
        <w:numPr>
          <w:ilvl w:val="0"/>
          <w:numId w:val="12"/>
        </w:numPr>
        <w:spacing w:line="520" w:lineRule="exact"/>
        <w:rPr>
          <w:rFonts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 xml:space="preserve"> </w:t>
      </w:r>
      <w:r>
        <w:rPr>
          <w:rFonts w:ascii="仿宋" w:hAnsi="仿宋" w:eastAsia="仿宋"/>
          <w:b/>
          <w:color w:val="auto"/>
          <w:sz w:val="24"/>
          <w:highlight w:val="none"/>
        </w:rPr>
        <w:t>证明具有履行合同所必需的设备和专业技术能力的材料（格式）</w:t>
      </w:r>
    </w:p>
    <w:p>
      <w:pPr>
        <w:pStyle w:val="17"/>
        <w:spacing w:line="520" w:lineRule="exact"/>
        <w:rPr>
          <w:rFonts w:ascii="仿宋" w:hAnsi="仿宋" w:eastAsia="仿宋"/>
          <w:b/>
          <w:color w:val="auto"/>
          <w:sz w:val="32"/>
          <w:szCs w:val="32"/>
          <w:highlight w:val="none"/>
        </w:rPr>
      </w:pPr>
    </w:p>
    <w:p>
      <w:pPr>
        <w:spacing w:line="520" w:lineRule="exact"/>
        <w:ind w:firstLine="1017"/>
        <w:rPr>
          <w:rFonts w:ascii="仿宋" w:hAnsi="仿宋" w:eastAsia="仿宋"/>
          <w:b/>
          <w:color w:val="auto"/>
          <w:sz w:val="32"/>
          <w:szCs w:val="32"/>
          <w:highlight w:val="none"/>
        </w:rPr>
      </w:pPr>
    </w:p>
    <w:p>
      <w:pPr>
        <w:spacing w:line="520" w:lineRule="exact"/>
        <w:rPr>
          <w:rFonts w:ascii="仿宋" w:hAnsi="仿宋" w:eastAsia="仿宋"/>
          <w:b/>
          <w:color w:val="auto"/>
          <w:sz w:val="24"/>
          <w:highlight w:val="none"/>
        </w:rPr>
      </w:pPr>
      <w:r>
        <w:rPr>
          <w:rFonts w:ascii="仿宋" w:hAnsi="仿宋" w:eastAsia="仿宋"/>
          <w:b/>
          <w:color w:val="auto"/>
          <w:sz w:val="24"/>
          <w:highlight w:val="none"/>
        </w:rPr>
        <w:t xml:space="preserve"> 致：江西骏宏招标咨询有限公司</w:t>
      </w:r>
    </w:p>
    <w:p>
      <w:pPr>
        <w:spacing w:line="520" w:lineRule="exact"/>
        <w:ind w:firstLine="480"/>
        <w:rPr>
          <w:rFonts w:ascii="仿宋" w:hAnsi="仿宋" w:eastAsia="仿宋"/>
          <w:color w:val="auto"/>
          <w:sz w:val="24"/>
          <w:highlight w:val="none"/>
        </w:rPr>
      </w:pPr>
      <w:r>
        <w:rPr>
          <w:rFonts w:ascii="仿宋" w:hAnsi="仿宋" w:eastAsia="仿宋"/>
          <w:color w:val="auto"/>
          <w:w w:val="95"/>
          <w:sz w:val="24"/>
          <w:highlight w:val="none"/>
        </w:rPr>
        <w:t>根据贵方为</w:t>
      </w:r>
      <w:r>
        <w:rPr>
          <w:rFonts w:ascii="仿宋" w:hAnsi="仿宋" w:eastAsia="仿宋"/>
          <w:color w:val="auto"/>
          <w:spacing w:val="-12"/>
          <w:w w:val="95"/>
          <w:sz w:val="24"/>
          <w:highlight w:val="none"/>
        </w:rPr>
        <w:t>(项目名称)项目(项目编号)谈判采购的邀请函。我公司在完全理解本</w:t>
      </w:r>
      <w:r>
        <w:rPr>
          <w:rFonts w:ascii="仿宋" w:hAnsi="仿宋" w:eastAsia="仿宋"/>
          <w:color w:val="auto"/>
          <w:spacing w:val="-7"/>
          <w:sz w:val="24"/>
          <w:highlight w:val="none"/>
        </w:rPr>
        <w:t>项目采购标的质量技术要求、商务条款及其他内容后，决定参与该项目的谈判活动。并</w:t>
      </w:r>
      <w:r>
        <w:rPr>
          <w:rFonts w:ascii="仿宋" w:hAnsi="仿宋" w:eastAsia="仿宋"/>
          <w:color w:val="auto"/>
          <w:sz w:val="24"/>
          <w:highlight w:val="none"/>
        </w:rPr>
        <w:t>承诺，如获成交</w:t>
      </w:r>
      <w:r>
        <w:rPr>
          <w:rFonts w:hint="eastAsia" w:ascii="仿宋" w:hAnsi="仿宋" w:eastAsia="仿宋"/>
          <w:color w:val="auto"/>
          <w:sz w:val="24"/>
          <w:highlight w:val="none"/>
        </w:rPr>
        <w:t>，</w:t>
      </w:r>
      <w:r>
        <w:rPr>
          <w:rFonts w:ascii="仿宋" w:hAnsi="仿宋" w:eastAsia="仿宋"/>
          <w:color w:val="auto"/>
          <w:sz w:val="24"/>
          <w:highlight w:val="none"/>
        </w:rPr>
        <w:t>我公司将提供足够的设备和专业技术能力保证本合同履行。</w:t>
      </w:r>
    </w:p>
    <w:p>
      <w:pPr>
        <w:spacing w:line="520" w:lineRule="exact"/>
        <w:ind w:firstLine="480"/>
        <w:rPr>
          <w:rFonts w:ascii="仿宋" w:hAnsi="仿宋" w:eastAsia="仿宋"/>
          <w:color w:val="auto"/>
          <w:sz w:val="24"/>
          <w:highlight w:val="none"/>
        </w:rPr>
      </w:pPr>
      <w:r>
        <w:rPr>
          <w:rFonts w:ascii="仿宋" w:hAnsi="仿宋" w:eastAsia="仿宋"/>
          <w:color w:val="auto"/>
          <w:spacing w:val="-7"/>
          <w:sz w:val="24"/>
          <w:highlight w:val="none"/>
        </w:rPr>
        <w:t>本公司对上述承诺的真实性负责。如有虚假，我公司同意按我方合同违约处理，并</w:t>
      </w:r>
      <w:r>
        <w:rPr>
          <w:rFonts w:ascii="仿宋" w:hAnsi="仿宋" w:eastAsia="仿宋"/>
          <w:color w:val="auto"/>
          <w:sz w:val="24"/>
          <w:highlight w:val="none"/>
        </w:rPr>
        <w:t>依法承担相应法律责任。</w:t>
      </w:r>
    </w:p>
    <w:p>
      <w:pPr>
        <w:pStyle w:val="17"/>
        <w:spacing w:line="520" w:lineRule="exact"/>
        <w:rPr>
          <w:rFonts w:ascii="仿宋" w:hAnsi="仿宋" w:eastAsia="仿宋"/>
          <w:color w:val="auto"/>
          <w:sz w:val="24"/>
          <w:szCs w:val="24"/>
          <w:highlight w:val="none"/>
        </w:rPr>
      </w:pPr>
    </w:p>
    <w:p>
      <w:pPr>
        <w:pStyle w:val="17"/>
        <w:spacing w:line="520" w:lineRule="exact"/>
        <w:rPr>
          <w:rFonts w:ascii="仿宋" w:hAnsi="仿宋" w:eastAsia="仿宋"/>
          <w:color w:val="auto"/>
          <w:sz w:val="24"/>
          <w:szCs w:val="24"/>
          <w:highlight w:val="none"/>
        </w:rPr>
      </w:pPr>
    </w:p>
    <w:p>
      <w:pPr>
        <w:pStyle w:val="17"/>
        <w:spacing w:line="520" w:lineRule="exact"/>
        <w:rPr>
          <w:rFonts w:ascii="仿宋" w:hAnsi="仿宋" w:eastAsia="仿宋"/>
          <w:color w:val="auto"/>
          <w:sz w:val="24"/>
          <w:szCs w:val="24"/>
          <w:highlight w:val="none"/>
        </w:rPr>
      </w:pPr>
    </w:p>
    <w:p>
      <w:pPr>
        <w:pStyle w:val="17"/>
        <w:spacing w:line="520" w:lineRule="exact"/>
        <w:rPr>
          <w:rFonts w:ascii="仿宋" w:hAnsi="仿宋" w:eastAsia="仿宋"/>
          <w:color w:val="auto"/>
          <w:sz w:val="24"/>
          <w:szCs w:val="24"/>
          <w:highlight w:val="none"/>
        </w:rPr>
      </w:pP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法定代表人或授权代表人签字：</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u w:val="single"/>
        </w:rPr>
      </w:pPr>
      <w:r>
        <w:rPr>
          <w:rFonts w:hint="eastAsia" w:ascii="仿宋" w:hAnsi="仿宋" w:eastAsia="仿宋"/>
          <w:color w:val="auto"/>
          <w:sz w:val="24"/>
          <w:highlight w:val="none"/>
        </w:rPr>
        <w:t>供应商名称</w:t>
      </w:r>
      <w:r>
        <w:rPr>
          <w:rFonts w:hint="eastAsia" w:ascii="仿宋" w:hAnsi="仿宋" w:eastAsia="仿宋"/>
          <w:color w:val="auto"/>
          <w:szCs w:val="21"/>
          <w:highlight w:val="none"/>
        </w:rPr>
        <w:t>（签章）</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日            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numPr>
          <w:ilvl w:val="0"/>
          <w:numId w:val="12"/>
        </w:numPr>
        <w:spacing w:line="520" w:lineRule="exact"/>
        <w:rPr>
          <w:rFonts w:ascii="仿宋" w:hAnsi="仿宋" w:eastAsia="仿宋"/>
          <w:b/>
          <w:color w:val="auto"/>
          <w:sz w:val="24"/>
          <w:highlight w:val="none"/>
        </w:rPr>
      </w:pPr>
      <w:r>
        <w:rPr>
          <w:rFonts w:ascii="仿宋" w:hAnsi="仿宋" w:eastAsia="仿宋"/>
          <w:color w:val="auto"/>
          <w:sz w:val="24"/>
          <w:highlight w:val="none"/>
        </w:rPr>
        <w:br w:type="page"/>
      </w:r>
      <w:r>
        <w:rPr>
          <w:rFonts w:hint="eastAsia" w:ascii="仿宋" w:hAnsi="仿宋" w:eastAsia="仿宋"/>
          <w:b/>
          <w:color w:val="auto"/>
          <w:sz w:val="24"/>
          <w:highlight w:val="none"/>
        </w:rPr>
        <w:t xml:space="preserve"> </w:t>
      </w:r>
      <w:r>
        <w:rPr>
          <w:rFonts w:ascii="仿宋" w:hAnsi="仿宋" w:eastAsia="仿宋"/>
          <w:b/>
          <w:color w:val="auto"/>
          <w:sz w:val="24"/>
          <w:highlight w:val="none"/>
        </w:rPr>
        <w:t>证明具有依法缴纳税收和社会保障资金的良好记录的材料</w:t>
      </w:r>
    </w:p>
    <w:p>
      <w:pPr>
        <w:pStyle w:val="17"/>
        <w:spacing w:line="520" w:lineRule="exact"/>
        <w:rPr>
          <w:rFonts w:ascii="仿宋" w:hAnsi="仿宋" w:eastAsia="仿宋"/>
          <w:b/>
          <w:color w:val="auto"/>
          <w:sz w:val="24"/>
          <w:szCs w:val="24"/>
          <w:highlight w:val="none"/>
        </w:rPr>
      </w:pPr>
    </w:p>
    <w:p>
      <w:pPr>
        <w:spacing w:line="520" w:lineRule="exact"/>
        <w:rPr>
          <w:rFonts w:ascii="仿宋" w:hAnsi="仿宋" w:eastAsia="仿宋"/>
          <w:b/>
          <w:color w:val="auto"/>
          <w:sz w:val="24"/>
          <w:highlight w:val="none"/>
        </w:rPr>
      </w:pPr>
      <w:r>
        <w:rPr>
          <w:rFonts w:ascii="仿宋" w:hAnsi="仿宋" w:eastAsia="仿宋"/>
          <w:b/>
          <w:color w:val="auto"/>
          <w:sz w:val="24"/>
          <w:highlight w:val="none"/>
        </w:rPr>
        <w:t>提供材料说明：</w:t>
      </w:r>
    </w:p>
    <w:p>
      <w:pPr>
        <w:pStyle w:val="67"/>
        <w:numPr>
          <w:ilvl w:val="0"/>
          <w:numId w:val="13"/>
        </w:numPr>
        <w:tabs>
          <w:tab w:val="left" w:pos="880"/>
        </w:tabs>
        <w:autoSpaceDE w:val="0"/>
        <w:autoSpaceDN w:val="0"/>
        <w:spacing w:line="520" w:lineRule="exact"/>
        <w:ind w:left="0" w:firstLine="709" w:firstLineChars="0"/>
        <w:rPr>
          <w:rFonts w:ascii="仿宋" w:hAnsi="仿宋" w:eastAsia="仿宋"/>
          <w:color w:val="auto"/>
          <w:sz w:val="24"/>
          <w:highlight w:val="none"/>
        </w:rPr>
      </w:pPr>
      <w:r>
        <w:rPr>
          <w:rFonts w:ascii="仿宋" w:hAnsi="仿宋" w:eastAsia="仿宋"/>
          <w:color w:val="auto"/>
          <w:sz w:val="24"/>
          <w:highlight w:val="none"/>
        </w:rPr>
        <w:t>提供</w:t>
      </w:r>
      <w:r>
        <w:rPr>
          <w:rFonts w:hint="eastAsia" w:ascii="仿宋" w:hAnsi="仿宋" w:eastAsia="仿宋"/>
          <w:color w:val="auto"/>
          <w:sz w:val="24"/>
          <w:highlight w:val="none"/>
        </w:rPr>
        <w:t>谈判开始前6个月内</w:t>
      </w:r>
      <w:r>
        <w:rPr>
          <w:rFonts w:ascii="仿宋" w:hAnsi="仿宋" w:eastAsia="仿宋"/>
          <w:color w:val="auto"/>
          <w:sz w:val="24"/>
          <w:highlight w:val="none"/>
        </w:rPr>
        <w:t>任意一个月依法缴纳税收的凭据</w:t>
      </w:r>
      <w:r>
        <w:rPr>
          <w:rFonts w:hint="eastAsia" w:ascii="仿宋" w:hAnsi="仿宋" w:eastAsia="仿宋"/>
          <w:color w:val="auto"/>
          <w:sz w:val="24"/>
          <w:highlight w:val="none"/>
        </w:rPr>
        <w:t>（个人所得税除外）</w:t>
      </w:r>
      <w:r>
        <w:rPr>
          <w:rFonts w:ascii="仿宋" w:hAnsi="仿宋" w:eastAsia="仿宋"/>
          <w:color w:val="auto"/>
          <w:sz w:val="24"/>
          <w:highlight w:val="none"/>
        </w:rPr>
        <w:t>；</w:t>
      </w:r>
    </w:p>
    <w:p>
      <w:pPr>
        <w:pStyle w:val="67"/>
        <w:numPr>
          <w:ilvl w:val="0"/>
          <w:numId w:val="13"/>
        </w:numPr>
        <w:tabs>
          <w:tab w:val="left" w:pos="882"/>
        </w:tabs>
        <w:autoSpaceDE w:val="0"/>
        <w:autoSpaceDN w:val="0"/>
        <w:spacing w:line="520" w:lineRule="exact"/>
        <w:ind w:left="0" w:firstLine="709" w:firstLineChars="0"/>
        <w:rPr>
          <w:rFonts w:ascii="仿宋" w:hAnsi="仿宋" w:eastAsia="仿宋"/>
          <w:color w:val="auto"/>
          <w:sz w:val="24"/>
          <w:highlight w:val="none"/>
        </w:rPr>
      </w:pPr>
      <w:r>
        <w:rPr>
          <w:rFonts w:ascii="仿宋" w:hAnsi="仿宋" w:eastAsia="仿宋"/>
          <w:color w:val="auto"/>
          <w:sz w:val="24"/>
          <w:highlight w:val="none"/>
        </w:rPr>
        <w:t>提供</w:t>
      </w:r>
      <w:r>
        <w:rPr>
          <w:rFonts w:hint="eastAsia" w:ascii="仿宋" w:hAnsi="仿宋" w:eastAsia="仿宋"/>
          <w:color w:val="auto"/>
          <w:sz w:val="24"/>
          <w:highlight w:val="none"/>
        </w:rPr>
        <w:t>谈判开始前6个月内</w:t>
      </w:r>
      <w:r>
        <w:rPr>
          <w:rFonts w:ascii="仿宋" w:hAnsi="仿宋" w:eastAsia="仿宋"/>
          <w:color w:val="auto"/>
          <w:sz w:val="24"/>
          <w:highlight w:val="none"/>
        </w:rPr>
        <w:t>任意一个月</w:t>
      </w:r>
      <w:r>
        <w:rPr>
          <w:rFonts w:hint="eastAsia" w:ascii="仿宋" w:hAnsi="仿宋" w:eastAsia="仿宋"/>
          <w:color w:val="auto"/>
          <w:sz w:val="24"/>
          <w:highlight w:val="none"/>
        </w:rPr>
        <w:t>依法缴纳其中任意一个月社会保险的凭证或当地社会保障局出具的缴纳明细；</w:t>
      </w:r>
    </w:p>
    <w:p>
      <w:pPr>
        <w:pStyle w:val="67"/>
        <w:numPr>
          <w:ilvl w:val="0"/>
          <w:numId w:val="13"/>
        </w:numPr>
        <w:tabs>
          <w:tab w:val="left" w:pos="882"/>
        </w:tabs>
        <w:autoSpaceDE w:val="0"/>
        <w:autoSpaceDN w:val="0"/>
        <w:spacing w:line="520" w:lineRule="exact"/>
        <w:ind w:left="0" w:firstLine="709" w:firstLineChars="0"/>
        <w:rPr>
          <w:rFonts w:ascii="仿宋" w:hAnsi="仿宋" w:eastAsia="仿宋"/>
          <w:color w:val="auto"/>
          <w:sz w:val="24"/>
          <w:highlight w:val="none"/>
        </w:rPr>
      </w:pPr>
      <w:r>
        <w:rPr>
          <w:rFonts w:ascii="仿宋" w:hAnsi="仿宋" w:eastAsia="仿宋"/>
          <w:color w:val="auto"/>
          <w:spacing w:val="-6"/>
          <w:sz w:val="24"/>
          <w:highlight w:val="none"/>
        </w:rPr>
        <w:t>依法免税或不需要缴纳社会保障资金的供应商，须提供相应文件证明其依法免税或不</w:t>
      </w:r>
      <w:r>
        <w:rPr>
          <w:rFonts w:ascii="仿宋" w:hAnsi="仿宋" w:eastAsia="仿宋"/>
          <w:color w:val="auto"/>
          <w:sz w:val="24"/>
          <w:highlight w:val="none"/>
        </w:rPr>
        <w:t>需要缴纳社会保障资金</w:t>
      </w:r>
      <w:r>
        <w:rPr>
          <w:rFonts w:hint="eastAsia" w:ascii="仿宋" w:hAnsi="仿宋" w:eastAsia="仿宋"/>
          <w:color w:val="auto"/>
          <w:sz w:val="24"/>
          <w:highlight w:val="none"/>
        </w:rPr>
        <w:t>。</w:t>
      </w:r>
    </w:p>
    <w:p>
      <w:pPr>
        <w:pStyle w:val="67"/>
        <w:tabs>
          <w:tab w:val="left" w:pos="882"/>
        </w:tabs>
        <w:autoSpaceDE w:val="0"/>
        <w:autoSpaceDN w:val="0"/>
        <w:spacing w:line="520" w:lineRule="exact"/>
        <w:ind w:firstLineChars="0"/>
        <w:rPr>
          <w:rFonts w:ascii="仿宋" w:hAnsi="仿宋" w:eastAsia="仿宋"/>
          <w:color w:val="auto"/>
          <w:sz w:val="24"/>
          <w:highlight w:val="none"/>
        </w:rPr>
      </w:pPr>
    </w:p>
    <w:p>
      <w:pPr>
        <w:pStyle w:val="67"/>
        <w:tabs>
          <w:tab w:val="left" w:pos="882"/>
        </w:tabs>
        <w:autoSpaceDE w:val="0"/>
        <w:autoSpaceDN w:val="0"/>
        <w:spacing w:line="520" w:lineRule="exact"/>
        <w:ind w:firstLineChars="0"/>
        <w:rPr>
          <w:rFonts w:ascii="仿宋" w:hAnsi="仿宋" w:eastAsia="仿宋"/>
          <w:color w:val="auto"/>
          <w:sz w:val="24"/>
          <w:highlight w:val="none"/>
        </w:rPr>
      </w:pPr>
    </w:p>
    <w:p>
      <w:pPr>
        <w:pStyle w:val="67"/>
        <w:tabs>
          <w:tab w:val="left" w:pos="882"/>
        </w:tabs>
        <w:autoSpaceDE w:val="0"/>
        <w:autoSpaceDN w:val="0"/>
        <w:spacing w:line="520" w:lineRule="exact"/>
        <w:ind w:firstLineChars="0"/>
        <w:rPr>
          <w:rFonts w:ascii="仿宋" w:hAnsi="仿宋" w:eastAsia="仿宋"/>
          <w:color w:val="auto"/>
          <w:sz w:val="24"/>
          <w:highlight w:val="none"/>
        </w:rPr>
      </w:pPr>
    </w:p>
    <w:p>
      <w:pPr>
        <w:pStyle w:val="67"/>
        <w:tabs>
          <w:tab w:val="left" w:pos="882"/>
        </w:tabs>
        <w:autoSpaceDE w:val="0"/>
        <w:autoSpaceDN w:val="0"/>
        <w:spacing w:line="520" w:lineRule="exact"/>
        <w:ind w:firstLineChars="0"/>
        <w:rPr>
          <w:rFonts w:ascii="仿宋" w:hAnsi="仿宋" w:eastAsia="仿宋"/>
          <w:color w:val="auto"/>
          <w:sz w:val="24"/>
          <w:highlight w:val="none"/>
        </w:rPr>
      </w:pPr>
    </w:p>
    <w:p>
      <w:pPr>
        <w:numPr>
          <w:ilvl w:val="0"/>
          <w:numId w:val="12"/>
        </w:numPr>
        <w:spacing w:line="520" w:lineRule="exact"/>
        <w:rPr>
          <w:rFonts w:ascii="仿宋" w:hAnsi="仿宋" w:eastAsia="仿宋"/>
          <w:b/>
          <w:color w:val="auto"/>
          <w:sz w:val="24"/>
          <w:highlight w:val="none"/>
        </w:rPr>
      </w:pPr>
      <w:r>
        <w:rPr>
          <w:rFonts w:ascii="仿宋" w:hAnsi="仿宋" w:eastAsia="仿宋"/>
          <w:color w:val="auto"/>
          <w:sz w:val="24"/>
          <w:highlight w:val="none"/>
        </w:rPr>
        <w:br w:type="page"/>
      </w:r>
      <w:r>
        <w:rPr>
          <w:rFonts w:hint="eastAsia" w:ascii="仿宋" w:hAnsi="仿宋" w:eastAsia="仿宋"/>
          <w:b/>
          <w:color w:val="auto"/>
          <w:sz w:val="24"/>
          <w:highlight w:val="none"/>
        </w:rPr>
        <w:t xml:space="preserve"> 证明</w:t>
      </w:r>
      <w:r>
        <w:rPr>
          <w:rFonts w:ascii="仿宋" w:hAnsi="仿宋" w:eastAsia="仿宋"/>
          <w:b/>
          <w:color w:val="auto"/>
          <w:sz w:val="24"/>
          <w:highlight w:val="none"/>
        </w:rPr>
        <w:t>参加本次采购前三年内,在经营活动中没有重大违法记录的材料（格式）</w:t>
      </w:r>
    </w:p>
    <w:p>
      <w:pPr>
        <w:pStyle w:val="17"/>
        <w:spacing w:line="520" w:lineRule="exact"/>
        <w:rPr>
          <w:rFonts w:ascii="仿宋" w:hAnsi="仿宋" w:eastAsia="仿宋"/>
          <w:b/>
          <w:color w:val="auto"/>
          <w:sz w:val="24"/>
          <w:szCs w:val="24"/>
          <w:highlight w:val="none"/>
        </w:rPr>
      </w:pPr>
    </w:p>
    <w:p>
      <w:pPr>
        <w:pStyle w:val="17"/>
        <w:spacing w:line="520" w:lineRule="exact"/>
        <w:jc w:val="center"/>
        <w:rPr>
          <w:rFonts w:ascii="仿宋" w:hAnsi="仿宋" w:eastAsia="仿宋"/>
          <w:b/>
          <w:color w:val="auto"/>
          <w:sz w:val="24"/>
          <w:szCs w:val="24"/>
          <w:highlight w:val="none"/>
        </w:rPr>
      </w:pPr>
      <w:r>
        <w:rPr>
          <w:rFonts w:ascii="仿宋" w:hAnsi="仿宋" w:eastAsia="仿宋"/>
          <w:b/>
          <w:color w:val="auto"/>
          <w:sz w:val="24"/>
          <w:szCs w:val="24"/>
          <w:highlight w:val="none"/>
        </w:rPr>
        <w:t>参加本次采购前三年内,在经营活动中没有重大违法记录的</w:t>
      </w:r>
      <w:r>
        <w:rPr>
          <w:rFonts w:hint="eastAsia" w:ascii="仿宋" w:hAnsi="仿宋" w:eastAsia="仿宋"/>
          <w:b/>
          <w:color w:val="auto"/>
          <w:sz w:val="24"/>
          <w:szCs w:val="24"/>
          <w:highlight w:val="none"/>
        </w:rPr>
        <w:t>声明函</w:t>
      </w:r>
    </w:p>
    <w:p>
      <w:pPr>
        <w:pStyle w:val="17"/>
        <w:spacing w:line="520" w:lineRule="exact"/>
        <w:rPr>
          <w:rFonts w:ascii="仿宋" w:hAnsi="仿宋" w:eastAsia="仿宋"/>
          <w:b/>
          <w:color w:val="auto"/>
          <w:sz w:val="24"/>
          <w:szCs w:val="24"/>
          <w:highlight w:val="none"/>
        </w:rPr>
      </w:pPr>
    </w:p>
    <w:p>
      <w:pPr>
        <w:spacing w:line="520" w:lineRule="exact"/>
        <w:ind w:firstLine="142"/>
        <w:rPr>
          <w:rFonts w:ascii="仿宋" w:hAnsi="仿宋" w:eastAsia="仿宋"/>
          <w:b/>
          <w:color w:val="auto"/>
          <w:sz w:val="24"/>
          <w:highlight w:val="none"/>
        </w:rPr>
      </w:pPr>
      <w:r>
        <w:rPr>
          <w:rFonts w:ascii="仿宋" w:hAnsi="仿宋" w:eastAsia="仿宋"/>
          <w:b/>
          <w:color w:val="auto"/>
          <w:sz w:val="24"/>
          <w:highlight w:val="none"/>
        </w:rPr>
        <w:t>致：江西骏宏招标咨询有限公司</w:t>
      </w:r>
    </w:p>
    <w:p>
      <w:pPr>
        <w:pStyle w:val="67"/>
        <w:tabs>
          <w:tab w:val="left" w:pos="1362"/>
        </w:tabs>
        <w:autoSpaceDE w:val="0"/>
        <w:autoSpaceDN w:val="0"/>
        <w:spacing w:line="520" w:lineRule="exact"/>
        <w:ind w:left="142" w:firstLine="480"/>
        <w:jc w:val="left"/>
        <w:rPr>
          <w:rFonts w:ascii="仿宋" w:hAnsi="仿宋" w:eastAsia="仿宋"/>
          <w:color w:val="auto"/>
          <w:sz w:val="24"/>
          <w:highlight w:val="none"/>
        </w:rPr>
      </w:pPr>
      <w:r>
        <w:rPr>
          <w:rFonts w:hint="eastAsia" w:ascii="仿宋" w:hAnsi="仿宋" w:eastAsia="仿宋"/>
          <w:color w:val="auto"/>
          <w:sz w:val="24"/>
          <w:highlight w:val="none"/>
        </w:rPr>
        <w:t>1、</w:t>
      </w:r>
      <w:r>
        <w:rPr>
          <w:rFonts w:ascii="仿宋" w:hAnsi="仿宋" w:eastAsia="仿宋"/>
          <w:color w:val="auto"/>
          <w:sz w:val="24"/>
          <w:highlight w:val="none"/>
        </w:rPr>
        <w:t>我公司在本项目</w:t>
      </w:r>
      <w:r>
        <w:rPr>
          <w:rFonts w:hint="eastAsia" w:ascii="仿宋" w:hAnsi="仿宋" w:eastAsia="仿宋"/>
          <w:color w:val="auto"/>
          <w:sz w:val="24"/>
          <w:highlight w:val="none"/>
        </w:rPr>
        <w:t>响应文件递交</w:t>
      </w:r>
      <w:r>
        <w:rPr>
          <w:rFonts w:ascii="仿宋" w:hAnsi="仿宋" w:eastAsia="仿宋"/>
          <w:color w:val="auto"/>
          <w:sz w:val="24"/>
          <w:highlight w:val="none"/>
        </w:rPr>
        <w:t>截止日前3</w:t>
      </w:r>
      <w:r>
        <w:rPr>
          <w:rFonts w:ascii="仿宋" w:hAnsi="仿宋" w:eastAsia="仿宋"/>
          <w:color w:val="auto"/>
          <w:spacing w:val="-1"/>
          <w:sz w:val="24"/>
          <w:highlight w:val="none"/>
        </w:rPr>
        <w:t>年内在经营活动中没有因违法经营受到刑事处罚</w:t>
      </w:r>
      <w:r>
        <w:rPr>
          <w:rFonts w:ascii="仿宋" w:hAnsi="仿宋" w:eastAsia="仿宋"/>
          <w:color w:val="auto"/>
          <w:sz w:val="24"/>
          <w:highlight w:val="none"/>
        </w:rPr>
        <w:t>或者责令停产停业、吊销许可证或者执照、较大数额罚款等行政处罚。</w:t>
      </w:r>
    </w:p>
    <w:p>
      <w:pPr>
        <w:pStyle w:val="67"/>
        <w:tabs>
          <w:tab w:val="left" w:pos="1362"/>
        </w:tabs>
        <w:autoSpaceDE w:val="0"/>
        <w:autoSpaceDN w:val="0"/>
        <w:spacing w:line="520" w:lineRule="exact"/>
        <w:ind w:left="142" w:firstLine="480"/>
        <w:jc w:val="left"/>
        <w:rPr>
          <w:rFonts w:ascii="仿宋" w:hAnsi="仿宋" w:eastAsia="仿宋"/>
          <w:color w:val="auto"/>
          <w:sz w:val="24"/>
          <w:highlight w:val="none"/>
        </w:rPr>
      </w:pPr>
      <w:r>
        <w:rPr>
          <w:rFonts w:hint="eastAsia" w:ascii="仿宋" w:hAnsi="仿宋" w:eastAsia="仿宋"/>
          <w:color w:val="auto"/>
          <w:sz w:val="24"/>
          <w:highlight w:val="none"/>
        </w:rPr>
        <w:t>2、</w:t>
      </w:r>
      <w:r>
        <w:rPr>
          <w:rFonts w:ascii="仿宋" w:hAnsi="仿宋" w:eastAsia="仿宋"/>
          <w:color w:val="auto"/>
          <w:sz w:val="24"/>
          <w:highlight w:val="none"/>
        </w:rPr>
        <w:t>我公司在本项目</w:t>
      </w:r>
      <w:r>
        <w:rPr>
          <w:rFonts w:hint="eastAsia" w:ascii="仿宋" w:hAnsi="仿宋" w:eastAsia="仿宋"/>
          <w:color w:val="auto"/>
          <w:sz w:val="24"/>
          <w:highlight w:val="none"/>
        </w:rPr>
        <w:t>响应文件递交</w:t>
      </w:r>
      <w:r>
        <w:rPr>
          <w:rFonts w:ascii="仿宋" w:hAnsi="仿宋" w:eastAsia="仿宋"/>
          <w:color w:val="auto"/>
          <w:sz w:val="24"/>
          <w:highlight w:val="none"/>
        </w:rPr>
        <w:t>截止日前3年内在“信用中国”网站（</w:t>
      </w:r>
      <w:r>
        <w:rPr>
          <w:color w:val="auto"/>
          <w:highlight w:val="none"/>
        </w:rPr>
        <w:fldChar w:fldCharType="begin"/>
      </w:r>
      <w:r>
        <w:rPr>
          <w:color w:val="auto"/>
          <w:highlight w:val="none"/>
        </w:rPr>
        <w:instrText xml:space="preserve"> HYPERLINK "http://www.creditchina.go/" \h </w:instrText>
      </w:r>
      <w:r>
        <w:rPr>
          <w:color w:val="auto"/>
          <w:highlight w:val="none"/>
        </w:rPr>
        <w:fldChar w:fldCharType="separate"/>
      </w:r>
      <w:r>
        <w:rPr>
          <w:rFonts w:ascii="仿宋" w:hAnsi="仿宋" w:eastAsia="仿宋"/>
          <w:color w:val="auto"/>
          <w:sz w:val="24"/>
          <w:highlight w:val="none"/>
        </w:rPr>
        <w:t>www.creditchina.go</w:t>
      </w:r>
      <w:r>
        <w:rPr>
          <w:rFonts w:ascii="仿宋" w:hAnsi="仿宋" w:eastAsia="仿宋"/>
          <w:color w:val="auto"/>
          <w:sz w:val="24"/>
          <w:highlight w:val="none"/>
        </w:rPr>
        <w:fldChar w:fldCharType="end"/>
      </w:r>
      <w:r>
        <w:rPr>
          <w:rFonts w:hint="eastAsia" w:ascii="仿宋" w:hAnsi="仿宋" w:eastAsia="仿宋"/>
          <w:color w:val="auto"/>
          <w:sz w:val="24"/>
          <w:highlight w:val="none"/>
        </w:rPr>
        <w:t>v.</w:t>
      </w:r>
      <w:r>
        <w:rPr>
          <w:rFonts w:ascii="仿宋" w:hAnsi="仿宋" w:eastAsia="仿宋"/>
          <w:color w:val="auto"/>
          <w:sz w:val="24"/>
          <w:highlight w:val="none"/>
        </w:rPr>
        <w:t>cn）、中国政府采购网（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ascii="仿宋" w:hAnsi="仿宋" w:eastAsia="仿宋"/>
          <w:color w:val="auto"/>
          <w:sz w:val="24"/>
          <w:highlight w:val="none"/>
        </w:rPr>
        <w:t>www.ccgp.gov.cn</w:t>
      </w:r>
      <w:r>
        <w:rPr>
          <w:rFonts w:ascii="仿宋" w:hAnsi="仿宋" w:eastAsia="仿宋"/>
          <w:color w:val="auto"/>
          <w:sz w:val="24"/>
          <w:highlight w:val="none"/>
        </w:rPr>
        <w:fldChar w:fldCharType="end"/>
      </w:r>
      <w:r>
        <w:rPr>
          <w:rFonts w:ascii="仿宋" w:hAnsi="仿宋" w:eastAsia="仿宋"/>
          <w:color w:val="auto"/>
          <w:sz w:val="24"/>
          <w:highlight w:val="none"/>
        </w:rPr>
        <w:t>）没有被列入失信被执行人、重大税收违法案件当事人名单、政府采购严重违法失信行为记录名单；</w:t>
      </w:r>
    </w:p>
    <w:p>
      <w:pPr>
        <w:spacing w:line="520" w:lineRule="exact"/>
        <w:ind w:firstLine="480"/>
        <w:rPr>
          <w:rFonts w:ascii="仿宋" w:hAnsi="仿宋" w:eastAsia="仿宋"/>
          <w:color w:val="auto"/>
          <w:sz w:val="24"/>
          <w:highlight w:val="none"/>
        </w:rPr>
      </w:pPr>
      <w:r>
        <w:rPr>
          <w:rFonts w:ascii="仿宋" w:hAnsi="仿宋" w:eastAsia="仿宋"/>
          <w:color w:val="auto"/>
          <w:spacing w:val="-10"/>
          <w:sz w:val="24"/>
          <w:highlight w:val="none"/>
        </w:rPr>
        <w:t>若以上声明不真实，我方全部承担虚假</w:t>
      </w:r>
      <w:r>
        <w:rPr>
          <w:rFonts w:hint="eastAsia" w:ascii="仿宋" w:hAnsi="仿宋" w:eastAsia="仿宋"/>
          <w:color w:val="auto"/>
          <w:spacing w:val="-10"/>
          <w:sz w:val="24"/>
          <w:highlight w:val="none"/>
        </w:rPr>
        <w:t>响应</w:t>
      </w:r>
      <w:r>
        <w:rPr>
          <w:rFonts w:ascii="仿宋" w:hAnsi="仿宋" w:eastAsia="仿宋"/>
          <w:color w:val="auto"/>
          <w:spacing w:val="-10"/>
          <w:sz w:val="24"/>
          <w:highlight w:val="none"/>
        </w:rPr>
        <w:t>的责任，成交无效，并按法</w:t>
      </w:r>
      <w:r>
        <w:rPr>
          <w:rFonts w:ascii="仿宋" w:hAnsi="仿宋" w:eastAsia="仿宋"/>
          <w:color w:val="auto"/>
          <w:sz w:val="24"/>
          <w:highlight w:val="none"/>
        </w:rPr>
        <w:t>律、法规的规定接受处罚。</w:t>
      </w:r>
    </w:p>
    <w:p>
      <w:pPr>
        <w:spacing w:line="520" w:lineRule="exact"/>
        <w:ind w:firstLine="480"/>
        <w:rPr>
          <w:rFonts w:ascii="仿宋" w:hAnsi="仿宋" w:eastAsia="仿宋"/>
          <w:color w:val="auto"/>
          <w:sz w:val="24"/>
          <w:highlight w:val="none"/>
        </w:rPr>
      </w:pPr>
    </w:p>
    <w:p>
      <w:pPr>
        <w:pStyle w:val="17"/>
        <w:spacing w:line="520" w:lineRule="exact"/>
        <w:ind w:firstLine="440" w:firstLineChars="200"/>
        <w:rPr>
          <w:rFonts w:ascii="仿宋" w:hAnsi="仿宋" w:eastAsia="仿宋"/>
          <w:color w:val="auto"/>
          <w:spacing w:val="-10"/>
          <w:sz w:val="24"/>
          <w:highlight w:val="none"/>
        </w:rPr>
      </w:pPr>
      <w:r>
        <w:rPr>
          <w:rFonts w:ascii="仿宋" w:hAnsi="仿宋" w:eastAsia="仿宋"/>
          <w:color w:val="auto"/>
          <w:spacing w:val="-10"/>
          <w:sz w:val="24"/>
          <w:highlight w:val="none"/>
        </w:rPr>
        <w:t>特此声明。</w:t>
      </w:r>
    </w:p>
    <w:p>
      <w:pPr>
        <w:pStyle w:val="17"/>
        <w:spacing w:line="520" w:lineRule="exact"/>
        <w:ind w:firstLine="480" w:firstLineChars="200"/>
        <w:rPr>
          <w:rFonts w:ascii="仿宋" w:hAnsi="仿宋" w:eastAsia="仿宋"/>
          <w:color w:val="auto"/>
          <w:sz w:val="24"/>
          <w:szCs w:val="24"/>
          <w:highlight w:val="none"/>
        </w:rPr>
      </w:pP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法定代表人或授权代表人签字：</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u w:val="single"/>
        </w:rPr>
      </w:pPr>
      <w:r>
        <w:rPr>
          <w:rFonts w:hint="eastAsia" w:ascii="仿宋" w:hAnsi="仿宋" w:eastAsia="仿宋"/>
          <w:color w:val="auto"/>
          <w:sz w:val="24"/>
          <w:highlight w:val="none"/>
        </w:rPr>
        <w:t>供应商名称</w:t>
      </w:r>
      <w:r>
        <w:rPr>
          <w:rFonts w:hint="eastAsia" w:ascii="仿宋" w:hAnsi="仿宋" w:eastAsia="仿宋"/>
          <w:color w:val="auto"/>
          <w:szCs w:val="21"/>
          <w:highlight w:val="none"/>
        </w:rPr>
        <w:t>（签章）</w:t>
      </w:r>
      <w:r>
        <w:rPr>
          <w:rFonts w:hint="eastAsia" w:ascii="仿宋" w:hAnsi="仿宋" w:eastAsia="仿宋"/>
          <w:color w:val="auto"/>
          <w:sz w:val="24"/>
          <w:highlight w:val="none"/>
        </w:rPr>
        <w:t>：</w:t>
      </w:r>
      <w:r>
        <w:rPr>
          <w:rFonts w:hint="eastAsia" w:ascii="仿宋" w:hAnsi="仿宋" w:eastAsia="仿宋"/>
          <w:color w:val="auto"/>
          <w:sz w:val="24"/>
          <w:highlight w:val="none"/>
          <w:u w:val="single"/>
        </w:rPr>
        <w:t xml:space="preserve">                       </w:t>
      </w:r>
    </w:p>
    <w:p>
      <w:pPr>
        <w:adjustRightInd w:val="0"/>
        <w:snapToGrid w:val="0"/>
        <w:spacing w:line="360" w:lineRule="auto"/>
        <w:ind w:left="2940" w:leftChars="1400" w:firstLine="888" w:firstLineChars="370"/>
        <w:rPr>
          <w:rFonts w:ascii="仿宋" w:hAnsi="仿宋" w:eastAsia="仿宋"/>
          <w:color w:val="auto"/>
          <w:sz w:val="24"/>
          <w:highlight w:val="none"/>
        </w:rPr>
      </w:pPr>
      <w:r>
        <w:rPr>
          <w:rFonts w:hint="eastAsia" w:ascii="仿宋" w:hAnsi="仿宋" w:eastAsia="仿宋"/>
          <w:color w:val="auto"/>
          <w:sz w:val="24"/>
          <w:highlight w:val="none"/>
        </w:rPr>
        <w:t>日            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spacing w:line="520" w:lineRule="exact"/>
        <w:rPr>
          <w:rFonts w:ascii="仿宋" w:hAnsi="仿宋" w:eastAsia="仿宋"/>
          <w:b/>
          <w:color w:val="auto"/>
          <w:sz w:val="24"/>
          <w:highlight w:val="none"/>
        </w:rPr>
      </w:pPr>
    </w:p>
    <w:p>
      <w:pPr>
        <w:spacing w:line="520" w:lineRule="exact"/>
        <w:rPr>
          <w:rFonts w:ascii="仿宋" w:hAnsi="仿宋" w:eastAsia="仿宋"/>
          <w:b/>
          <w:color w:val="auto"/>
          <w:sz w:val="24"/>
          <w:highlight w:val="none"/>
        </w:rPr>
      </w:pPr>
    </w:p>
    <w:p>
      <w:pPr>
        <w:spacing w:line="520" w:lineRule="exact"/>
        <w:rPr>
          <w:rFonts w:ascii="仿宋" w:hAnsi="仿宋" w:eastAsia="仿宋"/>
          <w:b/>
          <w:color w:val="auto"/>
          <w:sz w:val="24"/>
          <w:highlight w:val="none"/>
        </w:rPr>
      </w:pPr>
    </w:p>
    <w:p>
      <w:pPr>
        <w:numPr>
          <w:ilvl w:val="0"/>
          <w:numId w:val="12"/>
        </w:numPr>
        <w:spacing w:line="520" w:lineRule="exact"/>
        <w:rPr>
          <w:rFonts w:ascii="仿宋" w:hAnsi="仿宋" w:eastAsia="仿宋"/>
          <w:b/>
          <w:color w:val="auto"/>
          <w:sz w:val="24"/>
          <w:highlight w:val="none"/>
        </w:rPr>
      </w:pPr>
      <w:r>
        <w:rPr>
          <w:rFonts w:ascii="仿宋" w:hAnsi="仿宋" w:eastAsia="仿宋"/>
          <w:b/>
          <w:color w:val="auto"/>
          <w:sz w:val="24"/>
          <w:highlight w:val="none"/>
        </w:rPr>
        <w:br w:type="page"/>
      </w:r>
      <w:r>
        <w:rPr>
          <w:rFonts w:hint="eastAsia" w:ascii="仿宋" w:hAnsi="仿宋" w:eastAsia="仿宋"/>
          <w:b/>
          <w:color w:val="auto"/>
          <w:sz w:val="24"/>
          <w:highlight w:val="none"/>
        </w:rPr>
        <w:t xml:space="preserve"> </w:t>
      </w:r>
      <w:r>
        <w:rPr>
          <w:rFonts w:ascii="仿宋" w:hAnsi="仿宋" w:eastAsia="仿宋"/>
          <w:b/>
          <w:color w:val="auto"/>
          <w:sz w:val="24"/>
          <w:highlight w:val="none"/>
        </w:rPr>
        <w:t>法定代表人授权书（格式）</w:t>
      </w:r>
    </w:p>
    <w:p>
      <w:pPr>
        <w:rPr>
          <w:rFonts w:ascii="仿宋" w:hAnsi="仿宋" w:eastAsia="仿宋"/>
          <w:b/>
          <w:color w:val="auto"/>
          <w:sz w:val="24"/>
          <w:highlight w:val="none"/>
        </w:rPr>
      </w:pPr>
    </w:p>
    <w:p>
      <w:pPr>
        <w:numPr>
          <w:ilvl w:val="1"/>
          <w:numId w:val="12"/>
        </w:numPr>
        <w:spacing w:before="192"/>
        <w:jc w:val="left"/>
        <w:rPr>
          <w:rFonts w:ascii="仿宋" w:hAnsi="仿宋" w:eastAsia="仿宋"/>
          <w:b/>
          <w:color w:val="auto"/>
          <w:sz w:val="24"/>
          <w:highlight w:val="none"/>
        </w:rPr>
      </w:pPr>
      <w:bookmarkStart w:id="151" w:name="_TOC_250004"/>
      <w:bookmarkEnd w:id="151"/>
      <w:r>
        <w:rPr>
          <w:rFonts w:ascii="仿宋" w:hAnsi="仿宋" w:eastAsia="仿宋"/>
          <w:b/>
          <w:color w:val="auto"/>
          <w:sz w:val="24"/>
          <w:highlight w:val="none"/>
        </w:rPr>
        <w:t>法定代表人资格证明书（格式）</w:t>
      </w:r>
    </w:p>
    <w:p>
      <w:pPr>
        <w:pStyle w:val="17"/>
        <w:rPr>
          <w:rFonts w:ascii="仿宋" w:hAnsi="仿宋" w:eastAsia="仿宋"/>
          <w:b/>
          <w:color w:val="auto"/>
          <w:sz w:val="24"/>
          <w:szCs w:val="24"/>
          <w:highlight w:val="none"/>
        </w:rPr>
      </w:pPr>
    </w:p>
    <w:p>
      <w:pPr>
        <w:pStyle w:val="17"/>
        <w:spacing w:before="10"/>
        <w:rPr>
          <w:rFonts w:ascii="仿宋" w:hAnsi="仿宋" w:eastAsia="仿宋"/>
          <w:b/>
          <w:color w:val="auto"/>
          <w:sz w:val="24"/>
          <w:szCs w:val="24"/>
          <w:highlight w:val="none"/>
        </w:rPr>
      </w:pPr>
    </w:p>
    <w:p>
      <w:pPr>
        <w:spacing w:before="66" w:line="391" w:lineRule="auto"/>
        <w:ind w:left="640"/>
        <w:rPr>
          <w:rFonts w:ascii="仿宋" w:hAnsi="仿宋" w:eastAsia="仿宋"/>
          <w:color w:val="auto"/>
          <w:spacing w:val="-3"/>
          <w:sz w:val="24"/>
          <w:highlight w:val="none"/>
        </w:rPr>
      </w:pPr>
      <w:r>
        <w:rPr>
          <w:rFonts w:ascii="仿宋" w:hAnsi="仿宋" w:eastAsia="仿宋"/>
          <w:color w:val="auto"/>
          <w:spacing w:val="-3"/>
          <w:sz w:val="24"/>
          <w:highlight w:val="none"/>
        </w:rPr>
        <w:t xml:space="preserve">供应商名称： </w:t>
      </w:r>
    </w:p>
    <w:p>
      <w:pPr>
        <w:spacing w:before="66" w:line="391" w:lineRule="auto"/>
        <w:ind w:left="640"/>
        <w:rPr>
          <w:rFonts w:ascii="仿宋" w:hAnsi="仿宋" w:eastAsia="仿宋"/>
          <w:color w:val="auto"/>
          <w:sz w:val="24"/>
          <w:highlight w:val="none"/>
        </w:rPr>
      </w:pPr>
      <w:r>
        <w:rPr>
          <w:rFonts w:ascii="仿宋" w:hAnsi="仿宋" w:eastAsia="仿宋"/>
          <w:color w:val="auto"/>
          <w:sz w:val="24"/>
          <w:highlight w:val="none"/>
        </w:rPr>
        <w:t>单位性质：</w:t>
      </w:r>
    </w:p>
    <w:p>
      <w:pPr>
        <w:spacing w:before="66" w:line="391" w:lineRule="auto"/>
        <w:ind w:left="640"/>
        <w:rPr>
          <w:rFonts w:ascii="仿宋" w:hAnsi="仿宋" w:eastAsia="仿宋"/>
          <w:color w:val="auto"/>
          <w:sz w:val="24"/>
          <w:highlight w:val="none"/>
        </w:rPr>
      </w:pPr>
      <w:r>
        <w:rPr>
          <w:rFonts w:ascii="仿宋" w:hAnsi="仿宋" w:eastAsia="仿宋"/>
          <w:color w:val="auto"/>
          <w:sz w:val="24"/>
          <w:highlight w:val="none"/>
        </w:rPr>
        <w:t>单位地址：</w:t>
      </w:r>
    </w:p>
    <w:p>
      <w:pPr>
        <w:spacing w:line="391" w:lineRule="auto"/>
        <w:ind w:left="640"/>
        <w:rPr>
          <w:rFonts w:ascii="仿宋" w:hAnsi="仿宋" w:eastAsia="仿宋"/>
          <w:color w:val="auto"/>
          <w:spacing w:val="-3"/>
          <w:sz w:val="24"/>
          <w:highlight w:val="none"/>
        </w:rPr>
      </w:pPr>
      <w:r>
        <w:rPr>
          <w:rFonts w:ascii="仿宋" w:hAnsi="仿宋" w:eastAsia="仿宋"/>
          <w:color w:val="auto"/>
          <w:spacing w:val="-3"/>
          <w:sz w:val="24"/>
          <w:highlight w:val="none"/>
        </w:rPr>
        <w:t>成立时间：</w:t>
      </w:r>
      <w:r>
        <w:rPr>
          <w:rFonts w:hint="eastAsia" w:ascii="仿宋" w:hAnsi="仿宋" w:eastAsia="仿宋"/>
          <w:color w:val="auto"/>
          <w:spacing w:val="-3"/>
          <w:sz w:val="24"/>
          <w:highlight w:val="none"/>
        </w:rPr>
        <w:t xml:space="preserve">   </w:t>
      </w:r>
      <w:r>
        <w:rPr>
          <w:rFonts w:ascii="仿宋" w:hAnsi="仿宋" w:eastAsia="仿宋"/>
          <w:color w:val="auto"/>
          <w:spacing w:val="-3"/>
          <w:sz w:val="24"/>
          <w:highlight w:val="none"/>
        </w:rPr>
        <w:t>年</w:t>
      </w:r>
      <w:r>
        <w:rPr>
          <w:rFonts w:hint="eastAsia" w:ascii="仿宋" w:hAnsi="仿宋" w:eastAsia="仿宋"/>
          <w:color w:val="auto"/>
          <w:spacing w:val="-3"/>
          <w:sz w:val="24"/>
          <w:highlight w:val="none"/>
        </w:rPr>
        <w:t xml:space="preserve">  </w:t>
      </w:r>
      <w:r>
        <w:rPr>
          <w:rFonts w:ascii="仿宋" w:hAnsi="仿宋" w:eastAsia="仿宋"/>
          <w:color w:val="auto"/>
          <w:spacing w:val="-3"/>
          <w:sz w:val="24"/>
          <w:highlight w:val="none"/>
        </w:rPr>
        <w:t>月</w:t>
      </w:r>
      <w:r>
        <w:rPr>
          <w:rFonts w:hint="eastAsia" w:ascii="仿宋" w:hAnsi="仿宋" w:eastAsia="仿宋"/>
          <w:color w:val="auto"/>
          <w:spacing w:val="-3"/>
          <w:sz w:val="24"/>
          <w:highlight w:val="none"/>
        </w:rPr>
        <w:t xml:space="preserve">   </w:t>
      </w:r>
      <w:r>
        <w:rPr>
          <w:rFonts w:ascii="仿宋" w:hAnsi="仿宋" w:eastAsia="仿宋"/>
          <w:color w:val="auto"/>
          <w:spacing w:val="-3"/>
          <w:sz w:val="24"/>
          <w:highlight w:val="none"/>
        </w:rPr>
        <w:t>日</w:t>
      </w:r>
    </w:p>
    <w:p>
      <w:pPr>
        <w:spacing w:line="391" w:lineRule="auto"/>
        <w:ind w:left="640"/>
        <w:rPr>
          <w:rFonts w:ascii="仿宋" w:hAnsi="仿宋" w:eastAsia="仿宋"/>
          <w:color w:val="auto"/>
          <w:sz w:val="24"/>
          <w:highlight w:val="none"/>
        </w:rPr>
      </w:pPr>
      <w:r>
        <w:rPr>
          <w:rFonts w:ascii="仿宋" w:hAnsi="仿宋" w:eastAsia="仿宋"/>
          <w:color w:val="auto"/>
          <w:sz w:val="24"/>
          <w:highlight w:val="none"/>
        </w:rPr>
        <w:t>经营期限：</w:t>
      </w:r>
    </w:p>
    <w:p>
      <w:pPr>
        <w:spacing w:line="381" w:lineRule="auto"/>
        <w:ind w:left="640" w:leftChars="305" w:firstLine="480" w:firstLineChars="200"/>
        <w:rPr>
          <w:rFonts w:ascii="仿宋" w:hAnsi="仿宋" w:eastAsia="仿宋"/>
          <w:color w:val="auto"/>
          <w:sz w:val="24"/>
          <w:highlight w:val="none"/>
        </w:rPr>
      </w:pPr>
      <w:r>
        <w:rPr>
          <w:rFonts w:ascii="仿宋" w:hAnsi="仿宋" w:eastAsia="仿宋"/>
          <w:color w:val="auto"/>
          <w:sz w:val="24"/>
          <w:highlight w:val="none"/>
        </w:rPr>
        <w:t>姓名：</w:t>
      </w:r>
      <w:r>
        <w:rPr>
          <w:rFonts w:hint="eastAsia" w:ascii="仿宋" w:hAnsi="仿宋" w:eastAsia="仿宋"/>
          <w:color w:val="auto"/>
          <w:sz w:val="24"/>
          <w:highlight w:val="none"/>
        </w:rPr>
        <w:t xml:space="preserve">                    </w:t>
      </w:r>
      <w:r>
        <w:rPr>
          <w:rFonts w:ascii="仿宋" w:hAnsi="仿宋" w:eastAsia="仿宋"/>
          <w:color w:val="auto"/>
          <w:sz w:val="24"/>
          <w:highlight w:val="none"/>
        </w:rPr>
        <w:t>，性别</w:t>
      </w:r>
      <w:r>
        <w:rPr>
          <w:rFonts w:hint="eastAsia" w:ascii="仿宋" w:hAnsi="仿宋" w:eastAsia="仿宋"/>
          <w:color w:val="auto"/>
          <w:sz w:val="24"/>
          <w:highlight w:val="none"/>
        </w:rPr>
        <w:t xml:space="preserve"> </w:t>
      </w:r>
      <w:r>
        <w:rPr>
          <w:rFonts w:ascii="仿宋" w:hAnsi="仿宋" w:eastAsia="仿宋"/>
          <w:color w:val="auto"/>
          <w:sz w:val="24"/>
          <w:highlight w:val="none"/>
        </w:rPr>
        <w:t>：</w:t>
      </w:r>
      <w:r>
        <w:rPr>
          <w:rFonts w:hint="eastAsia" w:ascii="仿宋" w:hAnsi="仿宋" w:eastAsia="仿宋"/>
          <w:color w:val="auto"/>
          <w:sz w:val="24"/>
          <w:highlight w:val="none"/>
        </w:rPr>
        <w:t xml:space="preserve">        </w:t>
      </w:r>
      <w:r>
        <w:rPr>
          <w:rFonts w:ascii="仿宋" w:hAnsi="仿宋" w:eastAsia="仿宋"/>
          <w:color w:val="auto"/>
          <w:sz w:val="24"/>
          <w:highlight w:val="none"/>
        </w:rPr>
        <w:t>，年龄</w:t>
      </w:r>
      <w:r>
        <w:rPr>
          <w:rFonts w:hint="eastAsia" w:ascii="仿宋" w:hAnsi="仿宋" w:eastAsia="仿宋"/>
          <w:color w:val="auto"/>
          <w:sz w:val="24"/>
          <w:highlight w:val="none"/>
        </w:rPr>
        <w:t xml:space="preserve"> </w:t>
      </w:r>
      <w:r>
        <w:rPr>
          <w:rFonts w:ascii="仿宋" w:hAnsi="仿宋" w:eastAsia="仿宋"/>
          <w:color w:val="auto"/>
          <w:sz w:val="24"/>
          <w:highlight w:val="none"/>
        </w:rPr>
        <w:t>：</w:t>
      </w:r>
      <w:r>
        <w:rPr>
          <w:rFonts w:hint="eastAsia" w:ascii="仿宋" w:hAnsi="仿宋" w:eastAsia="仿宋"/>
          <w:color w:val="auto"/>
          <w:sz w:val="24"/>
          <w:highlight w:val="none"/>
        </w:rPr>
        <w:t xml:space="preserve">        </w:t>
      </w:r>
      <w:r>
        <w:rPr>
          <w:rFonts w:ascii="仿宋" w:hAnsi="仿宋" w:eastAsia="仿宋"/>
          <w:color w:val="auto"/>
          <w:sz w:val="24"/>
          <w:highlight w:val="none"/>
        </w:rPr>
        <w:t>，职务</w:t>
      </w:r>
      <w:r>
        <w:rPr>
          <w:rFonts w:hint="eastAsia" w:ascii="仿宋" w:hAnsi="仿宋" w:eastAsia="仿宋"/>
          <w:color w:val="auto"/>
          <w:sz w:val="24"/>
          <w:highlight w:val="none"/>
        </w:rPr>
        <w:t xml:space="preserve">  </w:t>
      </w:r>
      <w:r>
        <w:rPr>
          <w:rFonts w:ascii="仿宋" w:hAnsi="仿宋" w:eastAsia="仿宋"/>
          <w:color w:val="auto"/>
          <w:sz w:val="24"/>
          <w:highlight w:val="none"/>
        </w:rPr>
        <w:t>：</w:t>
      </w:r>
      <w:r>
        <w:rPr>
          <w:rFonts w:hint="eastAsia" w:ascii="仿宋" w:hAnsi="仿宋" w:eastAsia="仿宋"/>
          <w:color w:val="auto"/>
          <w:sz w:val="24"/>
          <w:highlight w:val="none"/>
        </w:rPr>
        <w:t xml:space="preserve">           </w:t>
      </w:r>
      <w:r>
        <w:rPr>
          <w:rFonts w:ascii="仿宋" w:hAnsi="仿宋" w:eastAsia="仿宋"/>
          <w:color w:val="auto"/>
          <w:sz w:val="24"/>
          <w:highlight w:val="none"/>
        </w:rPr>
        <w:t>。系</w:t>
      </w:r>
      <w:r>
        <w:rPr>
          <w:rFonts w:ascii="仿宋" w:hAnsi="仿宋" w:eastAsia="仿宋"/>
          <w:i/>
          <w:color w:val="auto"/>
          <w:sz w:val="24"/>
          <w:highlight w:val="none"/>
          <w:u w:val="single"/>
        </w:rPr>
        <w:t>（供应商名称）</w:t>
      </w:r>
      <w:r>
        <w:rPr>
          <w:rFonts w:ascii="仿宋" w:hAnsi="仿宋" w:eastAsia="仿宋"/>
          <w:color w:val="auto"/>
          <w:sz w:val="24"/>
          <w:highlight w:val="none"/>
        </w:rPr>
        <w:t>的法定代表人。</w:t>
      </w:r>
    </w:p>
    <w:p>
      <w:pPr>
        <w:spacing w:line="381" w:lineRule="auto"/>
        <w:ind w:left="640"/>
        <w:rPr>
          <w:rFonts w:ascii="仿宋" w:hAnsi="仿宋" w:eastAsia="仿宋"/>
          <w:color w:val="auto"/>
          <w:sz w:val="24"/>
          <w:highlight w:val="none"/>
        </w:rPr>
      </w:pPr>
      <w:r>
        <w:rPr>
          <w:rFonts w:ascii="仿宋" w:hAnsi="仿宋" w:eastAsia="仿宋"/>
          <w:color w:val="auto"/>
          <w:sz w:val="24"/>
          <w:highlight w:val="none"/>
        </w:rPr>
        <w:t>特此证明。</w:t>
      </w:r>
    </w:p>
    <w:p>
      <w:pPr>
        <w:pStyle w:val="17"/>
        <w:rPr>
          <w:rFonts w:ascii="仿宋" w:hAnsi="仿宋" w:eastAsia="仿宋"/>
          <w:color w:val="auto"/>
          <w:sz w:val="24"/>
          <w:szCs w:val="24"/>
          <w:highlight w:val="none"/>
        </w:rPr>
      </w:pPr>
    </w:p>
    <w:p>
      <w:pPr>
        <w:tabs>
          <w:tab w:val="left" w:pos="1600"/>
        </w:tabs>
        <w:spacing w:before="190" w:line="388" w:lineRule="auto"/>
        <w:ind w:left="640"/>
        <w:rPr>
          <w:rFonts w:ascii="仿宋" w:hAnsi="仿宋" w:eastAsia="仿宋"/>
          <w:color w:val="auto"/>
          <w:spacing w:val="-17"/>
          <w:sz w:val="24"/>
          <w:highlight w:val="none"/>
        </w:rPr>
      </w:pPr>
      <w:r>
        <w:rPr>
          <w:rFonts w:ascii="仿宋" w:hAnsi="仿宋" w:eastAsia="仿宋"/>
          <w:color w:val="auto"/>
          <w:sz w:val="24"/>
          <w:highlight w:val="none"/>
        </w:rPr>
        <w:t>供应商盖章</w:t>
      </w:r>
      <w:r>
        <w:rPr>
          <w:rFonts w:ascii="仿宋" w:hAnsi="仿宋" w:eastAsia="仿宋"/>
          <w:color w:val="auto"/>
          <w:spacing w:val="-17"/>
          <w:sz w:val="24"/>
          <w:highlight w:val="none"/>
        </w:rPr>
        <w:t xml:space="preserve">： </w:t>
      </w:r>
    </w:p>
    <w:p>
      <w:pPr>
        <w:tabs>
          <w:tab w:val="left" w:pos="1600"/>
        </w:tabs>
        <w:spacing w:before="190" w:line="388" w:lineRule="auto"/>
        <w:ind w:left="640"/>
        <w:rPr>
          <w:rFonts w:ascii="仿宋" w:hAnsi="仿宋" w:eastAsia="仿宋"/>
          <w:color w:val="auto"/>
          <w:sz w:val="24"/>
          <w:highlight w:val="none"/>
        </w:rPr>
      </w:pPr>
      <w:r>
        <w:rPr>
          <w:rFonts w:ascii="仿宋" w:hAnsi="仿宋" w:eastAsia="仿宋"/>
          <w:color w:val="auto"/>
          <w:sz w:val="24"/>
          <w:highlight w:val="none"/>
        </w:rPr>
        <w:t>日</w:t>
      </w:r>
      <w:r>
        <w:rPr>
          <w:rFonts w:ascii="仿宋" w:hAnsi="仿宋" w:eastAsia="仿宋"/>
          <w:color w:val="auto"/>
          <w:sz w:val="24"/>
          <w:highlight w:val="none"/>
        </w:rPr>
        <w:tab/>
      </w:r>
      <w:r>
        <w:rPr>
          <w:rFonts w:ascii="仿宋" w:hAnsi="仿宋" w:eastAsia="仿宋"/>
          <w:color w:val="auto"/>
          <w:sz w:val="24"/>
          <w:highlight w:val="none"/>
        </w:rPr>
        <w:t>期</w:t>
      </w:r>
      <w:r>
        <w:rPr>
          <w:rFonts w:ascii="仿宋" w:hAnsi="仿宋" w:eastAsia="仿宋"/>
          <w:color w:val="auto"/>
          <w:spacing w:val="-17"/>
          <w:sz w:val="24"/>
          <w:highlight w:val="none"/>
        </w:rPr>
        <w:t>：</w:t>
      </w:r>
    </w:p>
    <w:p>
      <w:pPr>
        <w:spacing w:before="196"/>
        <w:ind w:left="640"/>
        <w:rPr>
          <w:rFonts w:ascii="仿宋" w:hAnsi="仿宋" w:eastAsia="仿宋"/>
          <w:b/>
          <w:color w:val="auto"/>
          <w:sz w:val="24"/>
          <w:highlight w:val="none"/>
        </w:rPr>
      </w:pPr>
      <w:r>
        <w:rPr>
          <w:rFonts w:ascii="仿宋" w:hAnsi="仿宋" w:eastAsia="仿宋"/>
          <w:color w:val="auto"/>
          <w:sz w:val="24"/>
          <w:highlight w:val="none"/>
          <w:lang w:val="zh-CN" w:bidi="zh-CN"/>
        </w:rPr>
        <mc:AlternateContent>
          <mc:Choice Requires="wps">
            <w:drawing>
              <wp:anchor distT="0" distB="0" distL="0" distR="0" simplePos="0" relativeHeight="251660288" behindDoc="0" locked="0" layoutInCell="1" allowOverlap="1">
                <wp:simplePos x="0" y="0"/>
                <wp:positionH relativeFrom="page">
                  <wp:posOffset>845820</wp:posOffset>
                </wp:positionH>
                <wp:positionV relativeFrom="paragraph">
                  <wp:posOffset>342265</wp:posOffset>
                </wp:positionV>
                <wp:extent cx="5711190" cy="3385185"/>
                <wp:effectExtent l="4445" t="4445" r="8890" b="10795"/>
                <wp:wrapTopAndBottom/>
                <wp:docPr id="16" name="文本框 116"/>
                <wp:cNvGraphicFramePr/>
                <a:graphic xmlns:a="http://schemas.openxmlformats.org/drawingml/2006/main">
                  <a:graphicData uri="http://schemas.microsoft.com/office/word/2010/wordprocessingShape">
                    <wps:wsp>
                      <wps:cNvSpPr txBox="1"/>
                      <wps:spPr>
                        <a:xfrm>
                          <a:off x="0" y="0"/>
                          <a:ext cx="5711190" cy="3385185"/>
                        </a:xfrm>
                        <a:prstGeom prst="rect">
                          <a:avLst/>
                        </a:prstGeom>
                        <a:noFill/>
                        <a:ln w="6096" cap="flat" cmpd="sng">
                          <a:solidFill>
                            <a:srgbClr val="000000"/>
                          </a:solidFill>
                          <a:prstDash val="solid"/>
                          <a:miter/>
                          <a:headEnd type="none" w="med" len="med"/>
                          <a:tailEnd type="none" w="med" len="med"/>
                        </a:ln>
                      </wps:spPr>
                      <wps:txbx>
                        <w:txbxContent>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spacing w:before="12"/>
                              <w:rPr>
                                <w:b/>
                              </w:rPr>
                            </w:pPr>
                          </w:p>
                          <w:p>
                            <w:pPr>
                              <w:ind w:left="2883"/>
                              <w:rPr>
                                <w:rFonts w:ascii="仿宋" w:hAnsi="仿宋" w:eastAsia="仿宋"/>
                                <w:b/>
                                <w:sz w:val="24"/>
                              </w:rPr>
                            </w:pPr>
                            <w:r>
                              <w:rPr>
                                <w:rFonts w:ascii="仿宋" w:hAnsi="仿宋" w:eastAsia="仿宋"/>
                                <w:b/>
                                <w:sz w:val="24"/>
                              </w:rPr>
                              <w:t>法定代表人身份证正、反面粘贴处</w:t>
                            </w:r>
                          </w:p>
                        </w:txbxContent>
                      </wps:txbx>
                      <wps:bodyPr wrap="square" lIns="0" tIns="0" rIns="0" bIns="0" upright="1"/>
                    </wps:wsp>
                  </a:graphicData>
                </a:graphic>
              </wp:anchor>
            </w:drawing>
          </mc:Choice>
          <mc:Fallback>
            <w:pict>
              <v:shape id="文本框 116" o:spid="_x0000_s1026" o:spt="202" type="#_x0000_t202" style="position:absolute;left:0pt;margin-left:66.6pt;margin-top:26.95pt;height:266.55pt;width:449.7pt;mso-position-horizontal-relative:page;mso-wrap-distance-bottom:0pt;mso-wrap-distance-top:0pt;z-index:251660288;mso-width-relative:page;mso-height-relative:page;" filled="f" stroked="t" coordsize="21600,21600" o:gfxdata="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Be6dP1wAA&#10;AAsBAAAPAAAAAAAAAAEAIAAAACIAAABkcnMvZG93bnJldi54bWxQSwECFAAUAAAACACHTuJAOf41&#10;cB8CAABDBAAADgAAAAAAAAABACAAAAAmAQAAZHJzL2Uyb0RvYy54bWxQSwUGAAAAAAYABgBZAQAA&#10;twUAAAAA&#10;">
                <v:fill on="f" focussize="0,0"/>
                <v:stroke weight="0.48pt" color="#000000" joinstyle="miter"/>
                <v:imagedata o:title=""/>
                <o:lock v:ext="edit" aspectratio="f"/>
                <v:textbox inset="0mm,0mm,0mm,0mm">
                  <w:txbxContent>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spacing w:before="12"/>
                        <w:rPr>
                          <w:b/>
                        </w:rPr>
                      </w:pPr>
                    </w:p>
                    <w:p>
                      <w:pPr>
                        <w:ind w:left="2883"/>
                        <w:rPr>
                          <w:rFonts w:ascii="仿宋" w:hAnsi="仿宋" w:eastAsia="仿宋"/>
                          <w:b/>
                          <w:sz w:val="24"/>
                        </w:rPr>
                      </w:pPr>
                      <w:r>
                        <w:rPr>
                          <w:rFonts w:ascii="仿宋" w:hAnsi="仿宋" w:eastAsia="仿宋"/>
                          <w:b/>
                          <w:sz w:val="24"/>
                        </w:rPr>
                        <w:t>法定代表人身份证正、反面粘贴处</w:t>
                      </w:r>
                    </w:p>
                  </w:txbxContent>
                </v:textbox>
                <w10:wrap type="topAndBottom"/>
              </v:shape>
            </w:pict>
          </mc:Fallback>
        </mc:AlternateContent>
      </w:r>
      <w:r>
        <w:rPr>
          <w:rFonts w:ascii="仿宋" w:hAnsi="仿宋" w:eastAsia="仿宋"/>
          <w:b/>
          <w:color w:val="auto"/>
          <w:sz w:val="24"/>
          <w:highlight w:val="none"/>
        </w:rPr>
        <w:t>附法定代表人身份证：</w:t>
      </w:r>
    </w:p>
    <w:p>
      <w:pPr>
        <w:rPr>
          <w:rFonts w:ascii="仿宋" w:hAnsi="仿宋" w:eastAsia="仿宋"/>
          <w:color w:val="auto"/>
          <w:sz w:val="24"/>
          <w:highlight w:val="none"/>
        </w:rPr>
        <w:sectPr>
          <w:type w:val="continuous"/>
          <w:pgSz w:w="11910" w:h="16840"/>
          <w:pgMar w:top="1440" w:right="1080" w:bottom="1440" w:left="1080" w:header="567" w:footer="907" w:gutter="0"/>
          <w:cols w:space="720" w:num="1"/>
          <w:docGrid w:linePitch="286" w:charSpace="0"/>
        </w:sectPr>
      </w:pPr>
    </w:p>
    <w:p>
      <w:pPr>
        <w:numPr>
          <w:ilvl w:val="1"/>
          <w:numId w:val="12"/>
        </w:numPr>
        <w:spacing w:before="192"/>
        <w:jc w:val="center"/>
        <w:rPr>
          <w:rFonts w:ascii="仿宋" w:hAnsi="仿宋" w:eastAsia="仿宋"/>
          <w:b/>
          <w:color w:val="auto"/>
          <w:sz w:val="24"/>
          <w:highlight w:val="none"/>
        </w:rPr>
      </w:pPr>
      <w:r>
        <w:rPr>
          <w:rFonts w:ascii="仿宋" w:hAnsi="仿宋" w:eastAsia="仿宋"/>
          <w:b/>
          <w:color w:val="auto"/>
          <w:sz w:val="24"/>
          <w:highlight w:val="none"/>
        </w:rPr>
        <w:t>法定代表人授权委托书（如适用）</w:t>
      </w:r>
    </w:p>
    <w:p>
      <w:pPr>
        <w:spacing w:before="74"/>
        <w:jc w:val="center"/>
        <w:rPr>
          <w:rFonts w:ascii="仿宋" w:hAnsi="仿宋" w:eastAsia="仿宋"/>
          <w:b/>
          <w:color w:val="auto"/>
          <w:sz w:val="24"/>
          <w:highlight w:val="none"/>
        </w:rPr>
      </w:pPr>
      <w:r>
        <w:rPr>
          <w:rFonts w:hint="eastAsia" w:ascii="仿宋" w:hAnsi="仿宋" w:eastAsia="仿宋"/>
          <w:color w:val="auto"/>
          <w:sz w:val="24"/>
          <w:highlight w:val="none"/>
        </w:rPr>
        <w:t xml:space="preserve">  （注：法定代表人参与谈判的无需提供）</w:t>
      </w:r>
    </w:p>
    <w:p>
      <w:pPr>
        <w:pStyle w:val="17"/>
        <w:rPr>
          <w:rFonts w:ascii="仿宋" w:hAnsi="仿宋" w:eastAsia="仿宋"/>
          <w:color w:val="auto"/>
          <w:sz w:val="24"/>
          <w:highlight w:val="none"/>
        </w:rPr>
      </w:pPr>
    </w:p>
    <w:p>
      <w:pPr>
        <w:spacing w:line="520" w:lineRule="atLeast"/>
        <w:ind w:left="640" w:right="596" w:firstLine="480"/>
        <w:rPr>
          <w:rFonts w:ascii="仿宋" w:hAnsi="仿宋" w:eastAsia="仿宋"/>
          <w:color w:val="auto"/>
          <w:sz w:val="24"/>
          <w:highlight w:val="none"/>
        </w:rPr>
      </w:pPr>
      <w:r>
        <w:rPr>
          <w:rFonts w:ascii="仿宋" w:hAnsi="仿宋" w:eastAsia="仿宋"/>
          <w:color w:val="auto"/>
          <w:sz w:val="24"/>
          <w:highlight w:val="none"/>
        </w:rPr>
        <w:t>本授权书声明：注册于</w:t>
      </w:r>
      <w:r>
        <w:rPr>
          <w:rFonts w:ascii="仿宋" w:hAnsi="仿宋" w:eastAsia="仿宋"/>
          <w:color w:val="auto"/>
          <w:sz w:val="24"/>
          <w:highlight w:val="none"/>
          <w:u w:val="single"/>
        </w:rPr>
        <w:t>（</w:t>
      </w:r>
      <w:r>
        <w:rPr>
          <w:rFonts w:ascii="仿宋" w:hAnsi="仿宋" w:eastAsia="仿宋"/>
          <w:b/>
          <w:i/>
          <w:color w:val="auto"/>
          <w:sz w:val="24"/>
          <w:highlight w:val="none"/>
          <w:u w:val="single"/>
        </w:rPr>
        <w:t>国家或地区的名称</w:t>
      </w:r>
      <w:r>
        <w:rPr>
          <w:rFonts w:ascii="仿宋" w:hAnsi="仿宋" w:eastAsia="仿宋"/>
          <w:color w:val="auto"/>
          <w:sz w:val="24"/>
          <w:highlight w:val="none"/>
          <w:u w:val="single"/>
        </w:rPr>
        <w:t>）</w:t>
      </w:r>
      <w:r>
        <w:rPr>
          <w:rFonts w:ascii="仿宋" w:hAnsi="仿宋" w:eastAsia="仿宋"/>
          <w:color w:val="auto"/>
          <w:sz w:val="24"/>
          <w:highlight w:val="none"/>
        </w:rPr>
        <w:t>的</w:t>
      </w:r>
      <w:r>
        <w:rPr>
          <w:rFonts w:ascii="仿宋" w:hAnsi="仿宋" w:eastAsia="仿宋"/>
          <w:color w:val="auto"/>
          <w:sz w:val="24"/>
          <w:highlight w:val="none"/>
          <w:u w:val="single"/>
        </w:rPr>
        <w:t xml:space="preserve">   （</w:t>
      </w:r>
      <w:r>
        <w:rPr>
          <w:rFonts w:hint="eastAsia" w:ascii="仿宋" w:hAnsi="仿宋" w:eastAsia="仿宋"/>
          <w:b/>
          <w:i/>
          <w:color w:val="auto"/>
          <w:sz w:val="24"/>
          <w:highlight w:val="none"/>
          <w:u w:val="single"/>
        </w:rPr>
        <w:t>供应商名称</w:t>
      </w:r>
      <w:r>
        <w:rPr>
          <w:rFonts w:ascii="仿宋" w:hAnsi="仿宋" w:eastAsia="仿宋"/>
          <w:color w:val="auto"/>
          <w:sz w:val="24"/>
          <w:highlight w:val="none"/>
          <w:u w:val="single"/>
        </w:rPr>
        <w:t xml:space="preserve">）    </w:t>
      </w:r>
      <w:r>
        <w:rPr>
          <w:rFonts w:ascii="仿宋" w:hAnsi="仿宋" w:eastAsia="仿宋"/>
          <w:color w:val="auto"/>
          <w:sz w:val="24"/>
          <w:highlight w:val="none"/>
        </w:rPr>
        <w:t>的在下面签字的</w:t>
      </w:r>
      <w:r>
        <w:rPr>
          <w:rFonts w:ascii="仿宋" w:hAnsi="仿宋" w:eastAsia="仿宋"/>
          <w:color w:val="auto"/>
          <w:sz w:val="24"/>
          <w:highlight w:val="none"/>
          <w:u w:val="single"/>
        </w:rPr>
        <w:t xml:space="preserve"> （</w:t>
      </w:r>
      <w:r>
        <w:rPr>
          <w:rFonts w:ascii="仿宋" w:hAnsi="仿宋" w:eastAsia="仿宋"/>
          <w:b/>
          <w:i/>
          <w:color w:val="auto"/>
          <w:sz w:val="24"/>
          <w:highlight w:val="none"/>
          <w:u w:val="single"/>
        </w:rPr>
        <w:t>法定代表人姓名、职</w:t>
      </w:r>
      <w:r>
        <w:rPr>
          <w:rFonts w:ascii="仿宋" w:hAnsi="仿宋" w:eastAsia="仿宋"/>
          <w:b/>
          <w:color w:val="auto"/>
          <w:sz w:val="24"/>
          <w:highlight w:val="none"/>
          <w:u w:val="single"/>
        </w:rPr>
        <w:t>务</w:t>
      </w:r>
      <w:r>
        <w:rPr>
          <w:rFonts w:ascii="仿宋" w:hAnsi="仿宋" w:eastAsia="仿宋"/>
          <w:color w:val="auto"/>
          <w:sz w:val="24"/>
          <w:highlight w:val="none"/>
          <w:u w:val="single"/>
        </w:rPr>
        <w:t xml:space="preserve">） </w:t>
      </w:r>
      <w:r>
        <w:rPr>
          <w:rFonts w:ascii="仿宋" w:hAnsi="仿宋" w:eastAsia="仿宋"/>
          <w:color w:val="auto"/>
          <w:sz w:val="24"/>
          <w:highlight w:val="none"/>
        </w:rPr>
        <w:t>代表本公司授权</w:t>
      </w:r>
      <w:r>
        <w:rPr>
          <w:rFonts w:ascii="仿宋" w:hAnsi="仿宋" w:eastAsia="仿宋"/>
          <w:color w:val="auto"/>
          <w:sz w:val="24"/>
          <w:highlight w:val="none"/>
          <w:u w:val="single"/>
        </w:rPr>
        <w:t>（</w:t>
      </w:r>
      <w:r>
        <w:rPr>
          <w:rFonts w:ascii="仿宋" w:hAnsi="仿宋" w:eastAsia="仿宋"/>
          <w:b/>
          <w:i/>
          <w:color w:val="auto"/>
          <w:sz w:val="24"/>
          <w:highlight w:val="none"/>
          <w:u w:val="single"/>
        </w:rPr>
        <w:t>被授权人的姓名、职务</w:t>
      </w:r>
      <w:r>
        <w:rPr>
          <w:rFonts w:ascii="仿宋" w:hAnsi="仿宋" w:eastAsia="仿宋"/>
          <w:color w:val="auto"/>
          <w:sz w:val="24"/>
          <w:highlight w:val="none"/>
          <w:u w:val="single"/>
        </w:rPr>
        <w:t xml:space="preserve">） </w:t>
      </w:r>
      <w:r>
        <w:rPr>
          <w:rFonts w:ascii="仿宋" w:hAnsi="仿宋" w:eastAsia="仿宋"/>
          <w:color w:val="auto"/>
          <w:sz w:val="24"/>
          <w:highlight w:val="none"/>
        </w:rPr>
        <w:t>为本公司的合法代理人，就</w:t>
      </w:r>
      <w:r>
        <w:rPr>
          <w:rFonts w:ascii="仿宋" w:hAnsi="仿宋" w:eastAsia="仿宋"/>
          <w:color w:val="auto"/>
          <w:sz w:val="24"/>
          <w:highlight w:val="none"/>
          <w:u w:val="single"/>
        </w:rPr>
        <w:t>（</w:t>
      </w:r>
      <w:r>
        <w:rPr>
          <w:rFonts w:ascii="仿宋" w:hAnsi="仿宋" w:eastAsia="仿宋"/>
          <w:b/>
          <w:i/>
          <w:color w:val="auto"/>
          <w:sz w:val="24"/>
          <w:highlight w:val="none"/>
          <w:u w:val="single"/>
        </w:rPr>
        <w:t>项目名称，项目编号</w:t>
      </w:r>
      <w:r>
        <w:rPr>
          <w:rFonts w:ascii="仿宋" w:hAnsi="仿宋" w:eastAsia="仿宋"/>
          <w:color w:val="auto"/>
          <w:sz w:val="24"/>
          <w:highlight w:val="none"/>
          <w:u w:val="single"/>
        </w:rPr>
        <w:t>）</w:t>
      </w:r>
      <w:r>
        <w:rPr>
          <w:rFonts w:ascii="仿宋" w:hAnsi="仿宋" w:eastAsia="仿宋"/>
          <w:color w:val="auto"/>
          <w:sz w:val="24"/>
          <w:highlight w:val="none"/>
        </w:rPr>
        <w:t>参与谈判，并以本公司名义处理一切与谈判有关的事务。</w:t>
      </w:r>
    </w:p>
    <w:p>
      <w:pPr>
        <w:spacing w:line="520" w:lineRule="atLeast"/>
        <w:ind w:left="640" w:right="596" w:firstLine="480"/>
        <w:rPr>
          <w:rFonts w:ascii="仿宋" w:hAnsi="仿宋" w:eastAsia="仿宋"/>
          <w:color w:val="auto"/>
          <w:sz w:val="24"/>
          <w:highlight w:val="none"/>
        </w:rPr>
      </w:pPr>
    </w:p>
    <w:p>
      <w:pPr>
        <w:spacing w:line="520" w:lineRule="atLeast"/>
        <w:ind w:left="640" w:right="596" w:firstLine="480"/>
        <w:rPr>
          <w:rFonts w:ascii="仿宋" w:hAnsi="仿宋" w:eastAsia="仿宋"/>
          <w:color w:val="auto"/>
          <w:sz w:val="24"/>
          <w:highlight w:val="none"/>
        </w:rPr>
      </w:pPr>
      <w:r>
        <w:rPr>
          <w:rFonts w:ascii="仿宋" w:hAnsi="仿宋" w:eastAsia="仿宋"/>
          <w:color w:val="auto"/>
          <w:sz w:val="24"/>
          <w:highlight w:val="none"/>
        </w:rPr>
        <w:t>本授权自</w:t>
      </w:r>
      <w:r>
        <w:rPr>
          <w:rFonts w:hint="eastAsia" w:ascii="仿宋" w:hAnsi="仿宋" w:eastAsia="仿宋"/>
          <w:color w:val="auto"/>
          <w:sz w:val="24"/>
          <w:highlight w:val="none"/>
        </w:rPr>
        <w:t xml:space="preserve">   </w:t>
      </w:r>
      <w:r>
        <w:rPr>
          <w:rFonts w:ascii="仿宋" w:hAnsi="仿宋" w:eastAsia="仿宋"/>
          <w:color w:val="auto"/>
          <w:sz w:val="24"/>
          <w:highlight w:val="none"/>
        </w:rPr>
        <w:t>年</w:t>
      </w:r>
      <w:r>
        <w:rPr>
          <w:rFonts w:hint="eastAsia" w:ascii="仿宋" w:hAnsi="仿宋" w:eastAsia="仿宋"/>
          <w:color w:val="auto"/>
          <w:sz w:val="24"/>
          <w:highlight w:val="none"/>
        </w:rPr>
        <w:t xml:space="preserve">  </w:t>
      </w:r>
      <w:r>
        <w:rPr>
          <w:rFonts w:ascii="仿宋" w:hAnsi="仿宋" w:eastAsia="仿宋"/>
          <w:color w:val="auto"/>
          <w:sz w:val="24"/>
          <w:highlight w:val="none"/>
        </w:rPr>
        <w:t>月</w:t>
      </w:r>
      <w:r>
        <w:rPr>
          <w:rFonts w:hint="eastAsia" w:ascii="仿宋" w:hAnsi="仿宋" w:eastAsia="仿宋"/>
          <w:color w:val="auto"/>
          <w:sz w:val="24"/>
          <w:highlight w:val="none"/>
        </w:rPr>
        <w:t xml:space="preserve">  </w:t>
      </w:r>
      <w:r>
        <w:rPr>
          <w:rFonts w:ascii="仿宋" w:hAnsi="仿宋" w:eastAsia="仿宋"/>
          <w:color w:val="auto"/>
          <w:sz w:val="24"/>
          <w:highlight w:val="none"/>
        </w:rPr>
        <w:t>日签字之日起生效,特此声明。</w:t>
      </w:r>
    </w:p>
    <w:p>
      <w:pPr>
        <w:spacing w:line="520" w:lineRule="atLeast"/>
        <w:ind w:left="640" w:right="596" w:firstLine="480"/>
        <w:rPr>
          <w:rFonts w:ascii="仿宋" w:hAnsi="仿宋" w:eastAsia="仿宋"/>
          <w:color w:val="auto"/>
          <w:sz w:val="24"/>
          <w:highlight w:val="none"/>
        </w:rPr>
      </w:pPr>
      <w:r>
        <w:rPr>
          <w:rFonts w:ascii="仿宋" w:hAnsi="仿宋" w:eastAsia="仿宋"/>
          <w:color w:val="auto"/>
          <w:sz w:val="24"/>
          <w:highlight w:val="none"/>
        </w:rPr>
        <w:t>代理人无转委托权。</w:t>
      </w:r>
    </w:p>
    <w:p>
      <w:pPr>
        <w:pStyle w:val="17"/>
        <w:spacing w:line="520" w:lineRule="atLeast"/>
        <w:rPr>
          <w:rFonts w:ascii="仿宋" w:hAnsi="仿宋" w:eastAsia="仿宋"/>
          <w:color w:val="auto"/>
          <w:sz w:val="24"/>
          <w:szCs w:val="24"/>
          <w:highlight w:val="none"/>
        </w:rPr>
      </w:pPr>
    </w:p>
    <w:p>
      <w:pPr>
        <w:spacing w:line="520" w:lineRule="atLeast"/>
        <w:ind w:left="641"/>
        <w:rPr>
          <w:rFonts w:ascii="仿宋" w:hAnsi="仿宋" w:eastAsia="仿宋"/>
          <w:color w:val="auto"/>
          <w:sz w:val="24"/>
          <w:highlight w:val="none"/>
        </w:rPr>
      </w:pPr>
      <w:r>
        <w:rPr>
          <w:rFonts w:ascii="仿宋" w:hAnsi="仿宋" w:eastAsia="仿宋"/>
          <w:color w:val="auto"/>
          <w:sz w:val="24"/>
          <w:highlight w:val="none"/>
        </w:rPr>
        <w:t xml:space="preserve">法定代表人签字或签章： </w:t>
      </w:r>
    </w:p>
    <w:p>
      <w:pPr>
        <w:spacing w:line="520" w:lineRule="atLeast"/>
        <w:ind w:left="641"/>
        <w:rPr>
          <w:rFonts w:ascii="仿宋" w:hAnsi="仿宋" w:eastAsia="仿宋"/>
          <w:color w:val="auto"/>
          <w:sz w:val="24"/>
          <w:highlight w:val="none"/>
        </w:rPr>
      </w:pPr>
      <w:r>
        <w:rPr>
          <w:rFonts w:ascii="仿宋" w:hAnsi="仿宋" w:eastAsia="仿宋"/>
          <w:color w:val="auto"/>
          <w:sz w:val="24"/>
          <w:highlight w:val="none"/>
        </w:rPr>
        <w:t>授权代表签字：</w:t>
      </w:r>
    </w:p>
    <w:p>
      <w:pPr>
        <w:spacing w:line="520" w:lineRule="atLeast"/>
        <w:ind w:left="640"/>
        <w:rPr>
          <w:rFonts w:ascii="仿宋" w:hAnsi="仿宋" w:eastAsia="仿宋"/>
          <w:color w:val="auto"/>
          <w:sz w:val="24"/>
          <w:highlight w:val="none"/>
        </w:rPr>
      </w:pPr>
      <w:r>
        <w:rPr>
          <w:rFonts w:ascii="仿宋" w:hAnsi="仿宋" w:eastAsia="仿宋"/>
          <w:color w:val="auto"/>
          <w:sz w:val="24"/>
          <w:highlight w:val="none"/>
        </w:rPr>
        <w:t>供应商盖章：</w:t>
      </w:r>
    </w:p>
    <w:p>
      <w:pPr>
        <w:pStyle w:val="17"/>
        <w:spacing w:line="520" w:lineRule="atLeast"/>
        <w:rPr>
          <w:rFonts w:ascii="仿宋" w:hAnsi="仿宋" w:eastAsia="仿宋"/>
          <w:b/>
          <w:color w:val="auto"/>
          <w:sz w:val="24"/>
          <w:szCs w:val="24"/>
          <w:highlight w:val="none"/>
        </w:rPr>
      </w:pPr>
      <w:r>
        <w:rPr>
          <w:rFonts w:hint="eastAsia" w:ascii="仿宋" w:hAnsi="仿宋" w:eastAsia="仿宋"/>
          <w:color w:val="auto"/>
          <w:sz w:val="24"/>
          <w:szCs w:val="24"/>
          <w:highlight w:val="none"/>
        </w:rPr>
        <w:t xml:space="preserve">   </w:t>
      </w:r>
      <w:r>
        <w:rPr>
          <w:rFonts w:hint="eastAsia" w:ascii="仿宋" w:hAnsi="仿宋" w:eastAsia="仿宋"/>
          <w:b/>
          <w:color w:val="auto"/>
          <w:sz w:val="24"/>
          <w:szCs w:val="24"/>
          <w:highlight w:val="none"/>
        </w:rPr>
        <w:t>附授权代表身份证：</w:t>
      </w:r>
    </w:p>
    <w:p>
      <w:pPr>
        <w:spacing w:line="520" w:lineRule="atLeast"/>
        <w:ind w:left="640"/>
        <w:rPr>
          <w:rFonts w:ascii="仿宋" w:hAnsi="仿宋" w:eastAsia="仿宋"/>
          <w:b/>
          <w:color w:val="auto"/>
          <w:sz w:val="24"/>
          <w:highlight w:val="none"/>
        </w:rPr>
        <w:sectPr>
          <w:type w:val="continuous"/>
          <w:pgSz w:w="11910" w:h="16840"/>
          <w:pgMar w:top="1440" w:right="1080" w:bottom="1440" w:left="1080" w:header="567" w:footer="907" w:gutter="0"/>
          <w:cols w:space="720" w:num="1"/>
          <w:docGrid w:linePitch="286" w:charSpace="0"/>
        </w:sectPr>
      </w:pPr>
      <w:r>
        <w:rPr>
          <w:rFonts w:ascii="仿宋" w:hAnsi="仿宋" w:eastAsia="仿宋"/>
          <w:color w:val="auto"/>
          <w:sz w:val="24"/>
          <w:highlight w:val="none"/>
          <w:lang w:val="zh-CN" w:bidi="zh-CN"/>
        </w:rPr>
        <mc:AlternateContent>
          <mc:Choice Requires="wps">
            <w:drawing>
              <wp:anchor distT="0" distB="0" distL="0" distR="0" simplePos="0" relativeHeight="251661312" behindDoc="0" locked="0" layoutInCell="1" allowOverlap="1">
                <wp:simplePos x="0" y="0"/>
                <wp:positionH relativeFrom="page">
                  <wp:posOffset>845820</wp:posOffset>
                </wp:positionH>
                <wp:positionV relativeFrom="paragraph">
                  <wp:posOffset>215265</wp:posOffset>
                </wp:positionV>
                <wp:extent cx="6043930" cy="3725545"/>
                <wp:effectExtent l="4445" t="5080" r="9525" b="12700"/>
                <wp:wrapTopAndBottom/>
                <wp:docPr id="17" name="文本框 117"/>
                <wp:cNvGraphicFramePr/>
                <a:graphic xmlns:a="http://schemas.openxmlformats.org/drawingml/2006/main">
                  <a:graphicData uri="http://schemas.microsoft.com/office/word/2010/wordprocessingShape">
                    <wps:wsp>
                      <wps:cNvSpPr txBox="1"/>
                      <wps:spPr>
                        <a:xfrm>
                          <a:off x="0" y="0"/>
                          <a:ext cx="6043930" cy="3725545"/>
                        </a:xfrm>
                        <a:prstGeom prst="rect">
                          <a:avLst/>
                        </a:prstGeom>
                        <a:noFill/>
                        <a:ln w="6097" cap="flat" cmpd="sng">
                          <a:solidFill>
                            <a:srgbClr val="000000"/>
                          </a:solidFill>
                          <a:prstDash val="solid"/>
                          <a:miter/>
                          <a:headEnd type="none" w="med" len="med"/>
                          <a:tailEnd type="none" w="med" len="med"/>
                        </a:ln>
                      </wps:spPr>
                      <wps:txbx>
                        <w:txbxContent>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spacing w:before="2"/>
                              <w:rPr>
                                <w:rFonts w:ascii="仿宋" w:hAnsi="仿宋" w:eastAsia="仿宋"/>
                                <w:sz w:val="24"/>
                                <w:szCs w:val="24"/>
                              </w:rPr>
                            </w:pPr>
                          </w:p>
                          <w:p>
                            <w:pPr>
                              <w:ind w:left="2998"/>
                              <w:rPr>
                                <w:rFonts w:ascii="仿宋" w:hAnsi="仿宋" w:eastAsia="仿宋"/>
                                <w:sz w:val="24"/>
                              </w:rPr>
                            </w:pPr>
                            <w:r>
                              <w:rPr>
                                <w:rFonts w:ascii="仿宋" w:hAnsi="仿宋" w:eastAsia="仿宋"/>
                                <w:sz w:val="24"/>
                              </w:rPr>
                              <w:t>授权代表身份证正、反面粘贴处</w:t>
                            </w:r>
                          </w:p>
                        </w:txbxContent>
                      </wps:txbx>
                      <wps:bodyPr wrap="square" lIns="0" tIns="0" rIns="0" bIns="0" upright="1"/>
                    </wps:wsp>
                  </a:graphicData>
                </a:graphic>
              </wp:anchor>
            </w:drawing>
          </mc:Choice>
          <mc:Fallback>
            <w:pict>
              <v:shape id="文本框 117" o:spid="_x0000_s1026" o:spt="202" type="#_x0000_t202" style="position:absolute;left:0pt;margin-left:66.6pt;margin-top:16.95pt;height:293.35pt;width:475.9pt;mso-position-horizontal-relative:page;mso-wrap-distance-bottom:0pt;mso-wrap-distance-top:0pt;z-index:251661312;mso-width-relative:page;mso-height-relative:page;" filled="f" stroked="t" coordsize="21600,21600" o:gfxdata="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1VXJC1wAA&#10;AAsBAAAPAAAAAAAAAAEAIAAAACIAAABkcnMvZG93bnJldi54bWxQSwECFAAUAAAACACHTuJA/ev2&#10;FR8CAABDBAAADgAAAAAAAAABACAAAAAmAQAAZHJzL2Uyb0RvYy54bWxQSwUGAAAAAAYABgBZAQAA&#10;twUAAAAA&#10;">
                <v:fill on="f" focussize="0,0"/>
                <v:stroke weight="0.48007874015748pt" color="#000000" joinstyle="miter"/>
                <v:imagedata o:title=""/>
                <o:lock v:ext="edit" aspectratio="f"/>
                <v:textbox inset="0mm,0mm,0mm,0mm">
                  <w:txbxContent>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rPr>
                          <w:b/>
                          <w:sz w:val="24"/>
                        </w:rPr>
                      </w:pPr>
                    </w:p>
                    <w:p>
                      <w:pPr>
                        <w:pStyle w:val="17"/>
                        <w:spacing w:before="2"/>
                        <w:rPr>
                          <w:rFonts w:ascii="仿宋" w:hAnsi="仿宋" w:eastAsia="仿宋"/>
                          <w:sz w:val="24"/>
                          <w:szCs w:val="24"/>
                        </w:rPr>
                      </w:pPr>
                    </w:p>
                    <w:p>
                      <w:pPr>
                        <w:ind w:left="2998"/>
                        <w:rPr>
                          <w:rFonts w:ascii="仿宋" w:hAnsi="仿宋" w:eastAsia="仿宋"/>
                          <w:sz w:val="24"/>
                        </w:rPr>
                      </w:pPr>
                      <w:r>
                        <w:rPr>
                          <w:rFonts w:ascii="仿宋" w:hAnsi="仿宋" w:eastAsia="仿宋"/>
                          <w:sz w:val="24"/>
                        </w:rPr>
                        <w:t>授权代表身份证正、反面粘贴处</w:t>
                      </w:r>
                    </w:p>
                  </w:txbxContent>
                </v:textbox>
                <w10:wrap type="topAndBottom"/>
              </v:shape>
            </w:pict>
          </mc:Fallback>
        </mc:AlternateContent>
      </w:r>
    </w:p>
    <w:p>
      <w:pPr>
        <w:numPr>
          <w:ilvl w:val="0"/>
          <w:numId w:val="12"/>
        </w:numPr>
        <w:spacing w:line="520" w:lineRule="exact"/>
        <w:rPr>
          <w:rFonts w:ascii="仿宋" w:hAnsi="仿宋" w:eastAsia="仿宋"/>
          <w:b/>
          <w:color w:val="auto"/>
          <w:sz w:val="24"/>
          <w:highlight w:val="none"/>
        </w:rPr>
      </w:pPr>
      <w:r>
        <w:rPr>
          <w:rFonts w:hint="eastAsia" w:ascii="仿宋" w:hAnsi="仿宋" w:eastAsia="仿宋"/>
          <w:b/>
          <w:color w:val="auto"/>
          <w:sz w:val="24"/>
          <w:highlight w:val="none"/>
        </w:rPr>
        <w:t xml:space="preserve"> </w:t>
      </w:r>
      <w:r>
        <w:rPr>
          <w:rFonts w:ascii="仿宋" w:hAnsi="仿宋" w:eastAsia="仿宋"/>
          <w:b/>
          <w:color w:val="auto"/>
          <w:sz w:val="24"/>
          <w:highlight w:val="none"/>
        </w:rPr>
        <w:t>谈判保证金证明文件</w:t>
      </w:r>
    </w:p>
    <w:p>
      <w:pPr>
        <w:pStyle w:val="17"/>
        <w:spacing w:line="520" w:lineRule="exact"/>
        <w:rPr>
          <w:rFonts w:ascii="仿宋" w:hAnsi="仿宋" w:eastAsia="仿宋"/>
          <w:b/>
          <w:color w:val="auto"/>
          <w:sz w:val="24"/>
          <w:szCs w:val="24"/>
          <w:highlight w:val="none"/>
        </w:rPr>
      </w:pPr>
    </w:p>
    <w:p>
      <w:pPr>
        <w:spacing w:line="520" w:lineRule="exact"/>
        <w:rPr>
          <w:rFonts w:ascii="仿宋" w:hAnsi="仿宋" w:eastAsia="仿宋"/>
          <w:b/>
          <w:color w:val="auto"/>
          <w:sz w:val="24"/>
          <w:highlight w:val="none"/>
        </w:rPr>
      </w:pPr>
      <w:r>
        <w:rPr>
          <w:rFonts w:ascii="仿宋" w:hAnsi="仿宋" w:eastAsia="仿宋"/>
          <w:b/>
          <w:color w:val="auto"/>
          <w:sz w:val="24"/>
          <w:highlight w:val="none"/>
        </w:rPr>
        <w:t>提供材料说明：</w:t>
      </w:r>
    </w:p>
    <w:p>
      <w:pPr>
        <w:pStyle w:val="67"/>
        <w:numPr>
          <w:ilvl w:val="0"/>
          <w:numId w:val="14"/>
        </w:numPr>
        <w:tabs>
          <w:tab w:val="left" w:pos="1001"/>
        </w:tabs>
        <w:autoSpaceDE w:val="0"/>
        <w:autoSpaceDN w:val="0"/>
        <w:spacing w:line="520" w:lineRule="exact"/>
        <w:ind w:left="0" w:firstLine="567" w:firstLineChars="0"/>
        <w:rPr>
          <w:rFonts w:ascii="仿宋" w:hAnsi="仿宋" w:eastAsia="仿宋"/>
          <w:color w:val="auto"/>
          <w:sz w:val="24"/>
          <w:highlight w:val="none"/>
        </w:rPr>
      </w:pPr>
      <w:r>
        <w:rPr>
          <w:rFonts w:ascii="仿宋" w:hAnsi="仿宋" w:eastAsia="仿宋"/>
          <w:color w:val="auto"/>
          <w:sz w:val="24"/>
          <w:highlight w:val="none"/>
        </w:rPr>
        <w:t>供应商须在谈判响应文件中提供证明其已缴纳谈判保证金的证明文件或凭证；</w:t>
      </w:r>
    </w:p>
    <w:p>
      <w:pPr>
        <w:pStyle w:val="67"/>
        <w:numPr>
          <w:ilvl w:val="0"/>
          <w:numId w:val="14"/>
        </w:numPr>
        <w:tabs>
          <w:tab w:val="left" w:pos="1001"/>
        </w:tabs>
        <w:autoSpaceDE w:val="0"/>
        <w:autoSpaceDN w:val="0"/>
        <w:spacing w:line="520" w:lineRule="exact"/>
        <w:ind w:left="0" w:firstLine="567" w:firstLineChars="0"/>
        <w:rPr>
          <w:rFonts w:ascii="仿宋" w:hAnsi="仿宋" w:eastAsia="仿宋"/>
          <w:color w:val="auto"/>
          <w:sz w:val="24"/>
          <w:highlight w:val="none"/>
        </w:rPr>
      </w:pPr>
      <w:r>
        <w:rPr>
          <w:rFonts w:ascii="仿宋" w:hAnsi="仿宋" w:eastAsia="仿宋"/>
          <w:color w:val="auto"/>
          <w:sz w:val="24"/>
          <w:highlight w:val="none"/>
        </w:rPr>
        <w:t>谈判保证金</w:t>
      </w:r>
      <w:r>
        <w:rPr>
          <w:color w:val="auto"/>
          <w:highlight w:val="none"/>
        </w:rPr>
        <w:fldChar w:fldCharType="begin"/>
      </w:r>
      <w:r>
        <w:rPr>
          <w:color w:val="auto"/>
          <w:highlight w:val="none"/>
        </w:rPr>
        <w:instrText xml:space="preserve"> HYPERLINK "http://baike.sogou.com/lemma/ShowInnerLink.htm?lemmaId=432927&amp;amp;ss_c=ssc.citiao.link" \h </w:instrText>
      </w:r>
      <w:r>
        <w:rPr>
          <w:color w:val="auto"/>
          <w:highlight w:val="none"/>
        </w:rPr>
        <w:fldChar w:fldCharType="separate"/>
      </w:r>
      <w:r>
        <w:rPr>
          <w:rFonts w:ascii="仿宋" w:hAnsi="仿宋" w:eastAsia="仿宋"/>
          <w:color w:val="auto"/>
          <w:sz w:val="24"/>
          <w:highlight w:val="none"/>
        </w:rPr>
        <w:t>应当以电汇、支票、汇票、本票</w:t>
      </w:r>
      <w:r>
        <w:rPr>
          <w:rFonts w:ascii="仿宋" w:hAnsi="仿宋" w:eastAsia="仿宋"/>
          <w:color w:val="auto"/>
          <w:sz w:val="24"/>
          <w:highlight w:val="none"/>
        </w:rPr>
        <w:fldChar w:fldCharType="end"/>
      </w:r>
      <w:r>
        <w:rPr>
          <w:rFonts w:ascii="仿宋" w:hAnsi="仿宋" w:eastAsia="仿宋"/>
          <w:color w:val="auto"/>
          <w:spacing w:val="-16"/>
          <w:sz w:val="24"/>
          <w:highlight w:val="none"/>
        </w:rPr>
        <w:t>等</w:t>
      </w:r>
      <w:r>
        <w:rPr>
          <w:rFonts w:ascii="仿宋" w:hAnsi="仿宋" w:eastAsia="仿宋"/>
          <w:b/>
          <w:color w:val="auto"/>
          <w:sz w:val="24"/>
          <w:highlight w:val="none"/>
        </w:rPr>
        <w:t>非现金形式</w:t>
      </w:r>
      <w:r>
        <w:rPr>
          <w:rFonts w:ascii="仿宋" w:hAnsi="仿宋" w:eastAsia="仿宋"/>
          <w:color w:val="auto"/>
          <w:sz w:val="24"/>
          <w:highlight w:val="none"/>
        </w:rPr>
        <w:t>提交。</w:t>
      </w:r>
    </w:p>
    <w:p>
      <w:pPr>
        <w:pStyle w:val="67"/>
        <w:tabs>
          <w:tab w:val="left" w:pos="1001"/>
        </w:tabs>
        <w:autoSpaceDE w:val="0"/>
        <w:autoSpaceDN w:val="0"/>
        <w:spacing w:line="520" w:lineRule="exact"/>
        <w:ind w:left="567" w:firstLine="0" w:firstLineChars="0"/>
        <w:rPr>
          <w:rFonts w:ascii="仿宋" w:hAnsi="仿宋" w:eastAsia="仿宋"/>
          <w:color w:val="auto"/>
          <w:sz w:val="24"/>
          <w:highlight w:val="none"/>
        </w:rPr>
      </w:pPr>
    </w:p>
    <w:p>
      <w:pPr>
        <w:numPr>
          <w:ilvl w:val="0"/>
          <w:numId w:val="12"/>
        </w:numPr>
        <w:spacing w:line="520" w:lineRule="exact"/>
        <w:rPr>
          <w:rFonts w:ascii="仿宋" w:hAnsi="仿宋" w:eastAsia="仿宋"/>
          <w:color w:val="auto"/>
          <w:sz w:val="24"/>
          <w:highlight w:val="none"/>
        </w:rPr>
      </w:pPr>
      <w:r>
        <w:rPr>
          <w:rFonts w:hint="eastAsia" w:ascii="仿宋" w:hAnsi="仿宋" w:eastAsia="仿宋"/>
          <w:color w:val="auto"/>
          <w:sz w:val="24"/>
          <w:highlight w:val="none"/>
        </w:rPr>
        <w:t xml:space="preserve"> </w:t>
      </w:r>
      <w:r>
        <w:rPr>
          <w:rFonts w:hint="eastAsia" w:ascii="仿宋" w:hAnsi="仿宋" w:eastAsia="仿宋"/>
          <w:b/>
          <w:color w:val="auto"/>
          <w:sz w:val="24"/>
          <w:highlight w:val="none"/>
        </w:rPr>
        <w:t>谈判文件</w:t>
      </w:r>
      <w:r>
        <w:rPr>
          <w:rFonts w:ascii="仿宋" w:hAnsi="仿宋" w:eastAsia="仿宋"/>
          <w:b/>
          <w:color w:val="auto"/>
          <w:sz w:val="24"/>
          <w:highlight w:val="none"/>
        </w:rPr>
        <w:t>中要求的其他资格证明文件。</w:t>
      </w:r>
    </w:p>
    <w:p>
      <w:pPr>
        <w:pStyle w:val="2"/>
        <w:rPr>
          <w:rFonts w:ascii="仿宋" w:hAnsi="仿宋" w:eastAsia="仿宋"/>
          <w:b w:val="0"/>
          <w:color w:val="auto"/>
          <w:sz w:val="24"/>
          <w:highlight w:val="none"/>
        </w:rPr>
      </w:pPr>
    </w:p>
    <w:p>
      <w:pPr>
        <w:rPr>
          <w:rFonts w:ascii="仿宋" w:hAnsi="仿宋" w:eastAsia="仿宋"/>
          <w:b/>
          <w:color w:val="auto"/>
          <w:sz w:val="24"/>
          <w:highlight w:val="none"/>
        </w:rPr>
      </w:pPr>
    </w:p>
    <w:p>
      <w:pPr>
        <w:pStyle w:val="2"/>
        <w:rPr>
          <w:rFonts w:ascii="仿宋" w:hAnsi="仿宋" w:eastAsia="仿宋"/>
          <w:b w:val="0"/>
          <w:color w:val="auto"/>
          <w:sz w:val="24"/>
          <w:highlight w:val="none"/>
        </w:rPr>
      </w:pPr>
    </w:p>
    <w:p>
      <w:pPr>
        <w:rPr>
          <w:rFonts w:ascii="仿宋" w:hAnsi="仿宋" w:eastAsia="仿宋"/>
          <w:b/>
          <w:color w:val="auto"/>
          <w:sz w:val="24"/>
          <w:highlight w:val="none"/>
        </w:rPr>
      </w:pPr>
    </w:p>
    <w:p>
      <w:pPr>
        <w:pStyle w:val="2"/>
        <w:rPr>
          <w:rFonts w:ascii="仿宋" w:hAnsi="仿宋" w:eastAsia="仿宋"/>
          <w:b w:val="0"/>
          <w:color w:val="auto"/>
          <w:sz w:val="24"/>
          <w:highlight w:val="none"/>
        </w:rPr>
      </w:pPr>
    </w:p>
    <w:p>
      <w:pPr>
        <w:rPr>
          <w:rFonts w:ascii="仿宋" w:hAnsi="仿宋" w:eastAsia="仿宋"/>
          <w:b/>
          <w:color w:val="auto"/>
          <w:sz w:val="24"/>
          <w:highlight w:val="none"/>
        </w:rPr>
      </w:pPr>
    </w:p>
    <w:p>
      <w:pPr>
        <w:pStyle w:val="2"/>
        <w:rPr>
          <w:rFonts w:ascii="仿宋" w:hAnsi="仿宋" w:eastAsia="仿宋"/>
          <w:b w:val="0"/>
          <w:color w:val="auto"/>
          <w:sz w:val="24"/>
          <w:highlight w:val="none"/>
        </w:rPr>
      </w:pPr>
    </w:p>
    <w:p>
      <w:pPr>
        <w:rPr>
          <w:rFonts w:ascii="仿宋" w:hAnsi="仿宋" w:eastAsia="仿宋"/>
          <w:b/>
          <w:color w:val="auto"/>
          <w:sz w:val="24"/>
          <w:highlight w:val="none"/>
        </w:rPr>
      </w:pPr>
    </w:p>
    <w:p>
      <w:pPr>
        <w:pStyle w:val="2"/>
        <w:rPr>
          <w:rFonts w:ascii="仿宋" w:hAnsi="仿宋" w:eastAsia="仿宋"/>
          <w:b w:val="0"/>
          <w:color w:val="auto"/>
          <w:sz w:val="24"/>
          <w:highlight w:val="none"/>
        </w:rPr>
      </w:pPr>
    </w:p>
    <w:p>
      <w:pPr>
        <w:rPr>
          <w:rFonts w:ascii="仿宋" w:hAnsi="仿宋" w:eastAsia="仿宋"/>
          <w:b/>
          <w:color w:val="auto"/>
          <w:sz w:val="24"/>
          <w:highlight w:val="none"/>
        </w:rPr>
      </w:pPr>
    </w:p>
    <w:p>
      <w:pPr>
        <w:spacing w:line="520" w:lineRule="exact"/>
        <w:rPr>
          <w:rFonts w:ascii="仿宋" w:hAnsi="仿宋" w:eastAsia="仿宋"/>
          <w:color w:val="auto"/>
          <w:sz w:val="24"/>
          <w:highlight w:val="none"/>
        </w:rPr>
      </w:pPr>
    </w:p>
    <w:p>
      <w:pPr>
        <w:pStyle w:val="2"/>
        <w:spacing w:before="0" w:after="0" w:line="240" w:lineRule="auto"/>
        <w:rPr>
          <w:rFonts w:ascii="仿宋" w:hAnsi="仿宋" w:eastAsia="仿宋"/>
          <w:color w:val="auto"/>
          <w:sz w:val="24"/>
          <w:highlight w:val="none"/>
        </w:rPr>
      </w:pPr>
    </w:p>
    <w:p>
      <w:pPr>
        <w:rPr>
          <w:color w:val="auto"/>
          <w:highlight w:val="none"/>
        </w:rPr>
      </w:pPr>
    </w:p>
    <w:p>
      <w:pPr>
        <w:numPr>
          <w:ilvl w:val="0"/>
          <w:numId w:val="12"/>
        </w:numPr>
        <w:spacing w:line="520" w:lineRule="exact"/>
        <w:rPr>
          <w:rFonts w:ascii="仿宋" w:hAnsi="仿宋" w:eastAsia="仿宋"/>
          <w:color w:val="auto"/>
          <w:sz w:val="24"/>
          <w:highlight w:val="none"/>
        </w:rPr>
      </w:pPr>
      <w:r>
        <w:rPr>
          <w:rFonts w:hint="eastAsia" w:ascii="仿宋" w:hAnsi="仿宋" w:eastAsia="仿宋"/>
          <w:b/>
          <w:color w:val="auto"/>
          <w:sz w:val="24"/>
          <w:highlight w:val="none"/>
        </w:rPr>
        <w:t>政府采购资格审查用承诺函</w:t>
      </w:r>
    </w:p>
    <w:p>
      <w:pPr>
        <w:pStyle w:val="71"/>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江西省政府采购供应商资格信用承诺函</w:t>
      </w:r>
    </w:p>
    <w:p>
      <w:pPr>
        <w:pStyle w:val="71"/>
        <w:spacing w:line="360" w:lineRule="auto"/>
        <w:rPr>
          <w:rFonts w:ascii="仿宋" w:hAnsi="仿宋" w:eastAsia="仿宋" w:cs="仿宋"/>
          <w:color w:val="auto"/>
          <w:sz w:val="24"/>
          <w:highlight w:val="none"/>
        </w:rPr>
      </w:pPr>
    </w:p>
    <w:p>
      <w:pPr>
        <w:pStyle w:val="71"/>
        <w:rPr>
          <w:rFonts w:ascii="仿宋" w:hAnsi="仿宋" w:eastAsia="仿宋"/>
          <w:color w:val="auto"/>
          <w:sz w:val="24"/>
          <w:highlight w:val="none"/>
        </w:rPr>
      </w:pPr>
      <w:r>
        <w:rPr>
          <w:rFonts w:hint="eastAsia" w:ascii="仿宋" w:hAnsi="仿宋" w:eastAsia="仿宋"/>
          <w:color w:val="auto"/>
          <w:sz w:val="24"/>
          <w:highlight w:val="none"/>
        </w:rPr>
        <w:t>致(采购人或政府采购代理机构):</w:t>
      </w:r>
    </w:p>
    <w:p>
      <w:pPr>
        <w:pStyle w:val="71"/>
        <w:ind w:left="420" w:leftChars="200"/>
        <w:rPr>
          <w:rFonts w:ascii="仿宋" w:hAnsi="仿宋" w:eastAsia="仿宋"/>
          <w:color w:val="auto"/>
          <w:sz w:val="24"/>
          <w:highlight w:val="none"/>
        </w:rPr>
      </w:pPr>
      <w:r>
        <w:rPr>
          <w:rFonts w:hint="eastAsia" w:ascii="仿宋" w:hAnsi="仿宋" w:eastAsia="仿宋"/>
          <w:color w:val="auto"/>
          <w:sz w:val="24"/>
          <w:highlight w:val="none"/>
        </w:rPr>
        <w:t>单位名称(自然人姓名):</w:t>
      </w:r>
    </w:p>
    <w:p>
      <w:pPr>
        <w:pStyle w:val="71"/>
        <w:ind w:left="420" w:leftChars="200"/>
        <w:rPr>
          <w:rFonts w:ascii="仿宋" w:hAnsi="仿宋" w:eastAsia="仿宋"/>
          <w:color w:val="auto"/>
          <w:sz w:val="24"/>
          <w:highlight w:val="none"/>
        </w:rPr>
      </w:pPr>
      <w:r>
        <w:rPr>
          <w:rFonts w:hint="eastAsia" w:ascii="仿宋" w:hAnsi="仿宋" w:eastAsia="仿宋"/>
          <w:color w:val="auto"/>
          <w:sz w:val="24"/>
          <w:highlight w:val="none"/>
        </w:rPr>
        <w:t>统一社会信用代码(身份证号码):</w:t>
      </w:r>
    </w:p>
    <w:p>
      <w:pPr>
        <w:pStyle w:val="71"/>
        <w:ind w:left="420" w:leftChars="200"/>
        <w:rPr>
          <w:rFonts w:ascii="仿宋" w:hAnsi="仿宋" w:eastAsia="仿宋"/>
          <w:color w:val="auto"/>
          <w:sz w:val="24"/>
          <w:highlight w:val="none"/>
        </w:rPr>
      </w:pPr>
      <w:r>
        <w:rPr>
          <w:rFonts w:hint="eastAsia" w:ascii="仿宋" w:hAnsi="仿宋" w:eastAsia="仿宋"/>
          <w:color w:val="auto"/>
          <w:sz w:val="24"/>
          <w:highlight w:val="none"/>
        </w:rPr>
        <w:t>法定代表人(负责人):</w:t>
      </w:r>
    </w:p>
    <w:p>
      <w:pPr>
        <w:pStyle w:val="71"/>
        <w:ind w:left="420" w:leftChars="200"/>
        <w:rPr>
          <w:rFonts w:ascii="仿宋" w:hAnsi="仿宋" w:eastAsia="仿宋"/>
          <w:color w:val="auto"/>
          <w:sz w:val="24"/>
          <w:highlight w:val="none"/>
        </w:rPr>
      </w:pPr>
      <w:r>
        <w:rPr>
          <w:rFonts w:hint="eastAsia" w:ascii="仿宋" w:hAnsi="仿宋" w:eastAsia="仿宋"/>
          <w:color w:val="auto"/>
          <w:sz w:val="24"/>
          <w:highlight w:val="none"/>
        </w:rPr>
        <w:t>联系地址和电话：</w:t>
      </w:r>
    </w:p>
    <w:p>
      <w:pPr>
        <w:pStyle w:val="71"/>
        <w:ind w:firstLine="480" w:firstLineChars="200"/>
        <w:rPr>
          <w:rFonts w:ascii="仿宋" w:hAnsi="仿宋" w:eastAsia="仿宋"/>
          <w:color w:val="auto"/>
          <w:sz w:val="24"/>
          <w:highlight w:val="none"/>
        </w:rPr>
      </w:pPr>
      <w:r>
        <w:rPr>
          <w:rFonts w:hint="eastAsia" w:ascii="仿宋" w:hAnsi="仿宋" w:eastAsia="仿宋"/>
          <w:color w:val="auto"/>
          <w:sz w:val="24"/>
          <w:highlight w:val="none"/>
        </w:rPr>
        <w:t>我单位(本人)自愿参加本次政府采购活动。严格遵守《中华人民共和国政府采购法》及相关法律法规，坚守公开、公平、公正和诚实信用等原则，依法诚信经营，并郑重承诺：</w:t>
      </w:r>
    </w:p>
    <w:p>
      <w:pPr>
        <w:pStyle w:val="71"/>
        <w:ind w:firstLine="480" w:firstLineChars="200"/>
        <w:rPr>
          <w:rFonts w:ascii="仿宋" w:hAnsi="仿宋" w:eastAsia="仿宋"/>
          <w:color w:val="auto"/>
          <w:sz w:val="24"/>
          <w:highlight w:val="none"/>
        </w:rPr>
      </w:pPr>
      <w:r>
        <w:rPr>
          <w:rFonts w:hint="eastAsia" w:ascii="仿宋" w:hAnsi="仿宋" w:eastAsia="仿宋"/>
          <w:color w:val="auto"/>
          <w:sz w:val="24"/>
          <w:highlight w:val="none"/>
        </w:rPr>
        <w:t>（一）我单位(本人)符合采购文件要求以及《中华人民共和国政府采购法》第二十二条规定的条件：</w:t>
      </w:r>
    </w:p>
    <w:p>
      <w:pPr>
        <w:pStyle w:val="71"/>
        <w:ind w:left="420" w:leftChars="200"/>
        <w:rPr>
          <w:rFonts w:ascii="仿宋" w:hAnsi="仿宋" w:eastAsia="仿宋"/>
          <w:color w:val="auto"/>
          <w:sz w:val="24"/>
          <w:highlight w:val="none"/>
        </w:rPr>
      </w:pPr>
      <w:r>
        <w:rPr>
          <w:rFonts w:hint="eastAsia" w:ascii="仿宋" w:hAnsi="仿宋" w:eastAsia="仿宋"/>
          <w:color w:val="auto"/>
          <w:sz w:val="24"/>
          <w:highlight w:val="none"/>
        </w:rPr>
        <w:t>1.具有独立承担民事责任的能力；</w:t>
      </w:r>
    </w:p>
    <w:p>
      <w:pPr>
        <w:pStyle w:val="71"/>
        <w:ind w:left="420" w:leftChars="200"/>
        <w:rPr>
          <w:rFonts w:ascii="仿宋" w:hAnsi="仿宋" w:eastAsia="仿宋"/>
          <w:color w:val="auto"/>
          <w:sz w:val="24"/>
          <w:highlight w:val="none"/>
        </w:rPr>
      </w:pPr>
      <w:r>
        <w:rPr>
          <w:rFonts w:hint="eastAsia" w:ascii="仿宋" w:hAnsi="仿宋" w:eastAsia="仿宋"/>
          <w:color w:val="auto"/>
          <w:sz w:val="24"/>
          <w:highlight w:val="none"/>
        </w:rPr>
        <w:t>2.具有良好的商业信誉和健全的财务会计制度；</w:t>
      </w:r>
    </w:p>
    <w:p>
      <w:pPr>
        <w:pStyle w:val="71"/>
        <w:ind w:left="420" w:leftChars="200"/>
        <w:rPr>
          <w:rFonts w:ascii="仿宋" w:hAnsi="仿宋" w:eastAsia="仿宋"/>
          <w:color w:val="auto"/>
          <w:sz w:val="24"/>
          <w:highlight w:val="none"/>
        </w:rPr>
      </w:pPr>
      <w:r>
        <w:rPr>
          <w:rFonts w:hint="eastAsia" w:ascii="仿宋" w:hAnsi="仿宋" w:eastAsia="仿宋"/>
          <w:color w:val="auto"/>
          <w:sz w:val="24"/>
          <w:highlight w:val="none"/>
        </w:rPr>
        <w:t>3.具有履行合同所必需的设备和专业技术能力；</w:t>
      </w:r>
    </w:p>
    <w:p>
      <w:pPr>
        <w:pStyle w:val="71"/>
        <w:ind w:left="420" w:leftChars="200"/>
        <w:rPr>
          <w:rFonts w:ascii="仿宋" w:hAnsi="仿宋" w:eastAsia="仿宋"/>
          <w:color w:val="auto"/>
          <w:sz w:val="24"/>
          <w:highlight w:val="none"/>
        </w:rPr>
      </w:pPr>
      <w:r>
        <w:rPr>
          <w:rFonts w:hint="eastAsia" w:ascii="仿宋" w:hAnsi="仿宋" w:eastAsia="仿宋"/>
          <w:color w:val="auto"/>
          <w:sz w:val="24"/>
          <w:highlight w:val="none"/>
        </w:rPr>
        <w:t>4.有依法缴纳税收和社会保障资金的良好记录；</w:t>
      </w:r>
    </w:p>
    <w:p>
      <w:pPr>
        <w:pStyle w:val="71"/>
        <w:ind w:left="420" w:leftChars="200"/>
        <w:rPr>
          <w:rFonts w:ascii="仿宋" w:hAnsi="仿宋" w:eastAsia="仿宋"/>
          <w:color w:val="auto"/>
          <w:sz w:val="24"/>
          <w:highlight w:val="none"/>
        </w:rPr>
      </w:pPr>
      <w:r>
        <w:rPr>
          <w:rFonts w:hint="eastAsia" w:ascii="仿宋" w:hAnsi="仿宋" w:eastAsia="仿宋"/>
          <w:color w:val="auto"/>
          <w:sz w:val="24"/>
          <w:highlight w:val="none"/>
        </w:rPr>
        <w:t>5.参加政府采购活动前三年内，在经营活动中没有重大违法记录；</w:t>
      </w:r>
    </w:p>
    <w:p>
      <w:pPr>
        <w:pStyle w:val="71"/>
        <w:ind w:left="420" w:leftChars="200"/>
        <w:rPr>
          <w:rFonts w:ascii="仿宋" w:hAnsi="仿宋" w:eastAsia="仿宋"/>
          <w:color w:val="auto"/>
          <w:sz w:val="24"/>
          <w:highlight w:val="none"/>
        </w:rPr>
      </w:pPr>
      <w:r>
        <w:rPr>
          <w:rFonts w:hint="eastAsia" w:ascii="仿宋" w:hAnsi="仿宋" w:eastAsia="仿宋"/>
          <w:color w:val="auto"/>
          <w:sz w:val="24"/>
          <w:highlight w:val="none"/>
        </w:rPr>
        <w:t>6.符合法律、行取法规规定的其他条件。</w:t>
      </w:r>
    </w:p>
    <w:p>
      <w:pPr>
        <w:pStyle w:val="71"/>
        <w:ind w:firstLine="480" w:firstLineChars="200"/>
        <w:rPr>
          <w:rFonts w:ascii="仿宋" w:hAnsi="仿宋" w:eastAsia="仿宋"/>
          <w:color w:val="auto"/>
          <w:sz w:val="24"/>
          <w:highlight w:val="none"/>
        </w:rPr>
      </w:pPr>
      <w:r>
        <w:rPr>
          <w:rFonts w:hint="eastAsia" w:ascii="仿宋" w:hAnsi="仿宋" w:eastAsia="仿宋"/>
          <w:color w:val="auto"/>
          <w:sz w:val="24"/>
          <w:highlight w:val="none"/>
        </w:rPr>
        <w:t>（二）我单位(本人)未被列入严重失信主体名单、失信被执行人、税收违法黑名单、政府采购严重违法失信行为记录名单。</w:t>
      </w:r>
    </w:p>
    <w:p>
      <w:pPr>
        <w:pStyle w:val="71"/>
        <w:ind w:firstLine="480" w:firstLineChars="200"/>
        <w:jc w:val="left"/>
        <w:rPr>
          <w:rFonts w:ascii="仿宋" w:hAnsi="仿宋" w:eastAsia="仿宋" w:cs="仿宋"/>
          <w:color w:val="auto"/>
          <w:sz w:val="24"/>
          <w:highlight w:val="none"/>
        </w:rPr>
      </w:pPr>
      <w:r>
        <w:rPr>
          <w:rFonts w:hint="eastAsia" w:ascii="仿宋" w:hAnsi="仿宋" w:eastAsia="仿宋"/>
          <w:color w:val="auto"/>
          <w:sz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自觉接受政府采购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pPr>
        <w:pStyle w:val="71"/>
        <w:spacing w:line="360" w:lineRule="auto"/>
        <w:jc w:val="left"/>
        <w:rPr>
          <w:rFonts w:ascii="仿宋" w:hAnsi="仿宋" w:eastAsia="仿宋" w:cs="仿宋"/>
          <w:color w:val="auto"/>
          <w:sz w:val="24"/>
          <w:highlight w:val="none"/>
        </w:rPr>
      </w:pPr>
    </w:p>
    <w:p>
      <w:pPr>
        <w:pStyle w:val="71"/>
        <w:tabs>
          <w:tab w:val="left" w:pos="6428"/>
          <w:tab w:val="right" w:pos="9870"/>
        </w:tabs>
        <w:spacing w:line="360" w:lineRule="auto"/>
        <w:jc w:val="center"/>
        <w:rPr>
          <w:rFonts w:ascii="仿宋" w:hAnsi="仿宋" w:eastAsia="仿宋" w:cs="仿宋"/>
          <w:color w:val="auto"/>
          <w:sz w:val="24"/>
          <w:highlight w:val="none"/>
        </w:rPr>
      </w:pPr>
      <w:r>
        <w:rPr>
          <w:rFonts w:hint="eastAsia" w:ascii="仿宋" w:hAnsi="仿宋" w:eastAsia="仿宋" w:cs="仿宋"/>
          <w:color w:val="auto"/>
          <w:spacing w:val="37"/>
          <w:position w:val="14"/>
          <w:sz w:val="24"/>
          <w:highlight w:val="none"/>
        </w:rPr>
        <w:t xml:space="preserve">                   供应商名称(单位盖章):</w:t>
      </w:r>
    </w:p>
    <w:p>
      <w:pPr>
        <w:pStyle w:val="71"/>
        <w:spacing w:line="360" w:lineRule="auto"/>
        <w:ind w:left="210" w:leftChars="100"/>
        <w:jc w:val="center"/>
        <w:rPr>
          <w:rFonts w:ascii="仿宋" w:hAnsi="仿宋" w:eastAsia="仿宋" w:cs="仿宋"/>
          <w:color w:val="auto"/>
          <w:sz w:val="24"/>
          <w:highlight w:val="none"/>
        </w:rPr>
      </w:pPr>
      <w:r>
        <w:rPr>
          <w:rFonts w:hint="eastAsia" w:ascii="仿宋" w:hAnsi="仿宋" w:eastAsia="仿宋" w:cs="仿宋"/>
          <w:color w:val="auto"/>
          <w:spacing w:val="19"/>
          <w:sz w:val="24"/>
          <w:highlight w:val="none"/>
        </w:rPr>
        <w:t xml:space="preserve">                             或自然人(签字):</w:t>
      </w:r>
    </w:p>
    <w:p>
      <w:pPr>
        <w:pStyle w:val="71"/>
        <w:spacing w:line="360" w:lineRule="auto"/>
        <w:ind w:left="210" w:leftChars="100"/>
        <w:jc w:val="center"/>
        <w:rPr>
          <w:rFonts w:ascii="仿宋" w:hAnsi="仿宋" w:eastAsia="仿宋" w:cs="仿宋"/>
          <w:color w:val="auto"/>
          <w:sz w:val="24"/>
          <w:highlight w:val="none"/>
        </w:rPr>
      </w:pPr>
      <w:r>
        <w:rPr>
          <w:rFonts w:hint="eastAsia" w:ascii="仿宋" w:hAnsi="仿宋" w:eastAsia="仿宋" w:cs="仿宋"/>
          <w:color w:val="auto"/>
          <w:spacing w:val="-39"/>
          <w:sz w:val="24"/>
          <w:highlight w:val="none"/>
        </w:rPr>
        <w:t xml:space="preserve">                                                                                                                                                             年        月       日</w:t>
      </w:r>
    </w:p>
    <w:p>
      <w:pPr>
        <w:pStyle w:val="71"/>
        <w:spacing w:line="360" w:lineRule="auto"/>
        <w:jc w:val="left"/>
        <w:rPr>
          <w:rFonts w:ascii="仿宋" w:hAnsi="仿宋" w:eastAsia="仿宋" w:cs="仿宋"/>
          <w:color w:val="auto"/>
          <w:spacing w:val="11"/>
          <w:sz w:val="24"/>
          <w:highlight w:val="none"/>
        </w:rPr>
      </w:pPr>
    </w:p>
    <w:p>
      <w:pPr>
        <w:pStyle w:val="71"/>
        <w:spacing w:line="360" w:lineRule="auto"/>
        <w:rPr>
          <w:rFonts w:ascii="仿宋" w:hAnsi="仿宋" w:eastAsia="仿宋" w:cs="仿宋"/>
          <w:color w:val="auto"/>
          <w:spacing w:val="11"/>
          <w:sz w:val="24"/>
          <w:highlight w:val="none"/>
        </w:rPr>
      </w:pPr>
      <w:r>
        <w:rPr>
          <w:rFonts w:hint="eastAsia" w:ascii="仿宋" w:hAnsi="仿宋" w:eastAsia="仿宋" w:cs="仿宋"/>
          <w:color w:val="auto"/>
          <w:spacing w:val="11"/>
          <w:sz w:val="24"/>
          <w:highlight w:val="none"/>
        </w:rPr>
        <w:t>注: 1.我单位(本人)专指参加政府采购活动的供应商(含自然人)</w:t>
      </w:r>
    </w:p>
    <w:p>
      <w:pPr>
        <w:pStyle w:val="71"/>
        <w:spacing w:line="360" w:lineRule="auto"/>
        <w:ind w:firstLine="524" w:firstLineChars="200"/>
        <w:jc w:val="center"/>
        <w:rPr>
          <w:rFonts w:ascii="仿宋" w:hAnsi="仿宋" w:eastAsia="仿宋" w:cs="仿宋"/>
          <w:color w:val="auto"/>
          <w:spacing w:val="11"/>
          <w:sz w:val="24"/>
          <w:highlight w:val="none"/>
        </w:rPr>
      </w:pPr>
      <w:r>
        <w:rPr>
          <w:rFonts w:hint="eastAsia" w:ascii="仿宋" w:hAnsi="仿宋" w:eastAsia="仿宋" w:cs="仿宋"/>
          <w:color w:val="auto"/>
          <w:spacing w:val="11"/>
          <w:sz w:val="24"/>
          <w:highlight w:val="none"/>
        </w:rPr>
        <w:t>2.供应商须在投标(响应)文件中按此模板提供承诺函，既未提供前述承诺函又未提供对应事项证明材料的，视为未实质响应招标文件要求，按无效投标(响应)处理。</w:t>
      </w:r>
    </w:p>
    <w:p>
      <w:pPr>
        <w:pStyle w:val="67"/>
        <w:tabs>
          <w:tab w:val="left" w:pos="4342"/>
        </w:tabs>
        <w:autoSpaceDE w:val="0"/>
        <w:autoSpaceDN w:val="0"/>
        <w:spacing w:line="520" w:lineRule="exact"/>
        <w:ind w:firstLine="0" w:firstLineChars="0"/>
        <w:jc w:val="left"/>
        <w:rPr>
          <w:rFonts w:ascii="仿宋" w:hAnsi="仿宋" w:eastAsia="仿宋"/>
          <w:color w:val="auto"/>
          <w:sz w:val="24"/>
          <w:highlight w:val="none"/>
        </w:rPr>
      </w:pPr>
    </w:p>
    <w:p>
      <w:pPr>
        <w:spacing w:line="520" w:lineRule="exact"/>
        <w:rPr>
          <w:rFonts w:ascii="仿宋" w:hAnsi="仿宋" w:eastAsia="仿宋"/>
          <w:color w:val="auto"/>
          <w:sz w:val="24"/>
          <w:highlight w:val="none"/>
        </w:rPr>
      </w:pPr>
    </w:p>
    <w:p>
      <w:pPr>
        <w:pStyle w:val="2"/>
        <w:tabs>
          <w:tab w:val="left" w:pos="1890"/>
        </w:tabs>
        <w:rPr>
          <w:color w:val="auto"/>
        </w:rPr>
        <w:sectPr>
          <w:headerReference r:id="rId15" w:type="first"/>
          <w:headerReference r:id="rId13" w:type="default"/>
          <w:headerReference r:id="rId14" w:type="even"/>
          <w:type w:val="continuous"/>
          <w:pgSz w:w="11910" w:h="16840"/>
          <w:pgMar w:top="1440" w:right="1080" w:bottom="1440" w:left="1080" w:header="567" w:footer="907" w:gutter="0"/>
          <w:cols w:space="720" w:num="1"/>
          <w:docGrid w:linePitch="286" w:charSpace="0"/>
        </w:sectPr>
      </w:pPr>
    </w:p>
    <w:p>
      <w:pPr>
        <w:pStyle w:val="3"/>
        <w:numPr>
          <w:ilvl w:val="0"/>
          <w:numId w:val="11"/>
        </w:numPr>
        <w:tabs>
          <w:tab w:val="left" w:pos="900"/>
          <w:tab w:val="left" w:pos="4395"/>
          <w:tab w:val="left" w:pos="4962"/>
        </w:tabs>
        <w:ind w:hanging="2159"/>
        <w:rPr>
          <w:rFonts w:ascii="仿宋" w:hAnsi="仿宋" w:eastAsia="仿宋"/>
          <w:bCs w:val="0"/>
          <w:color w:val="auto"/>
          <w:highlight w:val="none"/>
        </w:rPr>
      </w:pPr>
      <w:bookmarkStart w:id="152" w:name="_TOC_250000"/>
      <w:bookmarkEnd w:id="152"/>
      <w:bookmarkStart w:id="153" w:name="_Toc28386"/>
      <w:r>
        <w:rPr>
          <w:rFonts w:ascii="仿宋" w:hAnsi="仿宋" w:eastAsia="仿宋"/>
          <w:bCs w:val="0"/>
          <w:color w:val="auto"/>
          <w:highlight w:val="none"/>
        </w:rPr>
        <w:t>技术文件</w:t>
      </w:r>
      <w:bookmarkEnd w:id="153"/>
    </w:p>
    <w:p>
      <w:pPr>
        <w:spacing w:line="520" w:lineRule="exact"/>
        <w:rPr>
          <w:rFonts w:ascii="仿宋" w:hAnsi="仿宋" w:eastAsia="仿宋"/>
          <w:b/>
          <w:color w:val="auto"/>
          <w:sz w:val="24"/>
          <w:highlight w:val="none"/>
        </w:rPr>
      </w:pPr>
      <w:r>
        <w:rPr>
          <w:rFonts w:ascii="仿宋" w:hAnsi="仿宋" w:eastAsia="仿宋"/>
          <w:b/>
          <w:color w:val="auto"/>
          <w:sz w:val="24"/>
          <w:highlight w:val="none"/>
        </w:rPr>
        <w:t>可提供材料说明：</w:t>
      </w:r>
    </w:p>
    <w:p>
      <w:pPr>
        <w:pStyle w:val="67"/>
        <w:numPr>
          <w:ilvl w:val="0"/>
          <w:numId w:val="15"/>
        </w:numPr>
        <w:tabs>
          <w:tab w:val="left" w:pos="882"/>
        </w:tabs>
        <w:autoSpaceDE w:val="0"/>
        <w:autoSpaceDN w:val="0"/>
        <w:spacing w:line="520" w:lineRule="exact"/>
        <w:ind w:left="0" w:firstLine="567" w:firstLineChars="0"/>
        <w:rPr>
          <w:rFonts w:ascii="仿宋" w:hAnsi="仿宋" w:eastAsia="仿宋"/>
          <w:color w:val="auto"/>
          <w:sz w:val="24"/>
          <w:highlight w:val="none"/>
        </w:rPr>
      </w:pPr>
      <w:r>
        <w:rPr>
          <w:rFonts w:ascii="仿宋" w:hAnsi="仿宋" w:eastAsia="仿宋"/>
          <w:color w:val="auto"/>
          <w:sz w:val="24"/>
          <w:highlight w:val="none"/>
        </w:rPr>
        <w:t>货物的技术规格与功能的详细说明及佐证材料；</w:t>
      </w:r>
    </w:p>
    <w:p>
      <w:pPr>
        <w:pStyle w:val="67"/>
        <w:numPr>
          <w:ilvl w:val="0"/>
          <w:numId w:val="15"/>
        </w:numPr>
        <w:tabs>
          <w:tab w:val="left" w:pos="882"/>
        </w:tabs>
        <w:autoSpaceDE w:val="0"/>
        <w:autoSpaceDN w:val="0"/>
        <w:spacing w:line="520" w:lineRule="exact"/>
        <w:ind w:left="0" w:firstLine="567" w:firstLineChars="0"/>
        <w:rPr>
          <w:rFonts w:ascii="仿宋" w:hAnsi="仿宋" w:eastAsia="仿宋"/>
          <w:color w:val="auto"/>
          <w:sz w:val="24"/>
          <w:highlight w:val="none"/>
        </w:rPr>
      </w:pPr>
      <w:r>
        <w:rPr>
          <w:rFonts w:ascii="仿宋" w:hAnsi="仿宋" w:eastAsia="仿宋"/>
          <w:color w:val="auto"/>
          <w:sz w:val="24"/>
          <w:highlight w:val="none"/>
        </w:rPr>
        <w:t>主要外购件、配套件的型号规格和制造商明细表；</w:t>
      </w:r>
    </w:p>
    <w:p>
      <w:pPr>
        <w:pStyle w:val="67"/>
        <w:numPr>
          <w:ilvl w:val="0"/>
          <w:numId w:val="15"/>
        </w:numPr>
        <w:tabs>
          <w:tab w:val="left" w:pos="882"/>
        </w:tabs>
        <w:autoSpaceDE w:val="0"/>
        <w:autoSpaceDN w:val="0"/>
        <w:spacing w:line="520" w:lineRule="exact"/>
        <w:ind w:left="0" w:firstLine="567" w:firstLineChars="0"/>
        <w:rPr>
          <w:rFonts w:ascii="仿宋" w:hAnsi="仿宋" w:eastAsia="仿宋"/>
          <w:color w:val="auto"/>
          <w:sz w:val="24"/>
          <w:highlight w:val="none"/>
        </w:rPr>
      </w:pPr>
      <w:r>
        <w:rPr>
          <w:rFonts w:ascii="仿宋" w:hAnsi="仿宋" w:eastAsia="仿宋"/>
          <w:color w:val="auto"/>
          <w:sz w:val="24"/>
          <w:highlight w:val="none"/>
        </w:rPr>
        <w:t>标准附件、备品备件和专用工具等；</w:t>
      </w:r>
    </w:p>
    <w:p>
      <w:pPr>
        <w:pStyle w:val="67"/>
        <w:numPr>
          <w:ilvl w:val="0"/>
          <w:numId w:val="15"/>
        </w:numPr>
        <w:tabs>
          <w:tab w:val="left" w:pos="882"/>
        </w:tabs>
        <w:autoSpaceDE w:val="0"/>
        <w:autoSpaceDN w:val="0"/>
        <w:spacing w:line="520" w:lineRule="exact"/>
        <w:ind w:left="0" w:firstLine="567" w:firstLineChars="0"/>
        <w:rPr>
          <w:rFonts w:ascii="仿宋" w:hAnsi="仿宋" w:eastAsia="仿宋"/>
          <w:color w:val="auto"/>
          <w:sz w:val="24"/>
          <w:highlight w:val="none"/>
        </w:rPr>
      </w:pPr>
      <w:r>
        <w:rPr>
          <w:rFonts w:ascii="仿宋" w:hAnsi="仿宋" w:eastAsia="仿宋"/>
          <w:color w:val="auto"/>
          <w:sz w:val="24"/>
          <w:highlight w:val="none"/>
        </w:rPr>
        <w:t>供应商认为需要提供的其他说明</w:t>
      </w:r>
      <w:r>
        <w:rPr>
          <w:rFonts w:hint="eastAsia" w:ascii="仿宋" w:hAnsi="仿宋" w:eastAsia="仿宋"/>
          <w:color w:val="auto"/>
          <w:sz w:val="24"/>
          <w:highlight w:val="none"/>
        </w:rPr>
        <w:t>。</w:t>
      </w:r>
    </w:p>
    <w:bookmarkEnd w:id="137"/>
    <w:bookmarkEnd w:id="138"/>
    <w:bookmarkEnd w:id="139"/>
    <w:bookmarkEnd w:id="140"/>
    <w:bookmarkEnd w:id="141"/>
    <w:p>
      <w:pPr>
        <w:pStyle w:val="3"/>
        <w:numPr>
          <w:ilvl w:val="0"/>
          <w:numId w:val="11"/>
        </w:numPr>
        <w:tabs>
          <w:tab w:val="left" w:pos="900"/>
          <w:tab w:val="left" w:pos="4395"/>
          <w:tab w:val="left" w:pos="4962"/>
        </w:tabs>
        <w:ind w:hanging="2159"/>
        <w:rPr>
          <w:rFonts w:ascii="仿宋" w:hAnsi="仿宋" w:eastAsia="仿宋"/>
          <w:bCs w:val="0"/>
          <w:color w:val="auto"/>
          <w:highlight w:val="none"/>
        </w:rPr>
      </w:pPr>
      <w:bookmarkStart w:id="154" w:name="_Toc16914007"/>
      <w:bookmarkStart w:id="155" w:name="_Toc16909311"/>
      <w:bookmarkStart w:id="156" w:name="_Toc508605845"/>
      <w:bookmarkStart w:id="157" w:name="_Toc508606832"/>
      <w:bookmarkStart w:id="158" w:name="_Toc508606053"/>
      <w:bookmarkStart w:id="159" w:name="_Toc508525043"/>
      <w:r>
        <w:rPr>
          <w:rFonts w:ascii="仿宋" w:hAnsi="仿宋" w:eastAsia="仿宋"/>
          <w:color w:val="auto"/>
          <w:sz w:val="24"/>
          <w:highlight w:val="none"/>
          <w:u w:val="double"/>
        </w:rPr>
        <w:br w:type="page"/>
      </w:r>
      <w:bookmarkStart w:id="160" w:name="_Hlt28777004"/>
      <w:bookmarkEnd w:id="160"/>
      <w:bookmarkStart w:id="161" w:name="_Toc8706484"/>
      <w:bookmarkStart w:id="162" w:name="_Toc25566918"/>
      <w:bookmarkStart w:id="163" w:name="_Toc16790"/>
      <w:bookmarkStart w:id="164" w:name="_Toc85603425"/>
      <w:r>
        <w:rPr>
          <w:rFonts w:hint="eastAsia" w:ascii="仿宋" w:hAnsi="仿宋" w:eastAsia="仿宋"/>
          <w:bCs w:val="0"/>
          <w:color w:val="auto"/>
          <w:highlight w:val="none"/>
        </w:rPr>
        <w:t>售后服务的内容及措施</w:t>
      </w:r>
      <w:bookmarkEnd w:id="154"/>
      <w:bookmarkEnd w:id="155"/>
      <w:bookmarkEnd w:id="161"/>
      <w:bookmarkEnd w:id="162"/>
      <w:bookmarkEnd w:id="163"/>
      <w:bookmarkEnd w:id="164"/>
    </w:p>
    <w:p>
      <w:pPr>
        <w:spacing w:line="520" w:lineRule="exact"/>
        <w:ind w:firstLine="360" w:firstLineChars="150"/>
        <w:rPr>
          <w:rFonts w:ascii="仿宋" w:hAnsi="仿宋" w:eastAsia="仿宋"/>
          <w:bCs/>
          <w:color w:val="auto"/>
          <w:sz w:val="24"/>
          <w:highlight w:val="none"/>
        </w:rPr>
      </w:pPr>
      <w:r>
        <w:rPr>
          <w:rFonts w:hint="eastAsia" w:ascii="仿宋" w:hAnsi="仿宋" w:eastAsia="仿宋"/>
          <w:bCs/>
          <w:color w:val="auto"/>
          <w:sz w:val="24"/>
          <w:highlight w:val="none"/>
        </w:rPr>
        <w:t>供应商详细写出对此服务提供保障服务的能力（如服务网点数、技术人员等），提供服务的便利性，质保体系及措施及提供配送售后服务。至少应包括下列几项：</w:t>
      </w:r>
    </w:p>
    <w:p>
      <w:pPr>
        <w:spacing w:line="520" w:lineRule="exact"/>
        <w:rPr>
          <w:rFonts w:ascii="仿宋" w:hAnsi="仿宋" w:eastAsia="仿宋"/>
          <w:color w:val="auto"/>
          <w:sz w:val="24"/>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52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售后服务机构</w:t>
            </w:r>
          </w:p>
        </w:tc>
        <w:tc>
          <w:tcPr>
            <w:tcW w:w="66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52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地  点</w:t>
            </w:r>
          </w:p>
        </w:tc>
        <w:tc>
          <w:tcPr>
            <w:tcW w:w="66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52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电  话</w:t>
            </w:r>
          </w:p>
        </w:tc>
        <w:tc>
          <w:tcPr>
            <w:tcW w:w="66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52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人  员</w:t>
            </w:r>
          </w:p>
        </w:tc>
        <w:tc>
          <w:tcPr>
            <w:tcW w:w="66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bCs/>
                <w:color w:val="auto"/>
                <w:sz w:val="24"/>
                <w:highlight w:val="none"/>
              </w:rPr>
            </w:pPr>
            <w:r>
              <w:rPr>
                <w:rFonts w:hint="eastAsia" w:ascii="仿宋" w:hAnsi="仿宋" w:eastAsia="仿宋"/>
                <w:bCs/>
                <w:color w:val="auto"/>
                <w:sz w:val="24"/>
                <w:highlight w:val="none"/>
              </w:rPr>
              <w:t>其中技术人员</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52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响应时间</w:t>
            </w:r>
          </w:p>
        </w:tc>
        <w:tc>
          <w:tcPr>
            <w:tcW w:w="66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bCs/>
                <w:color w:val="auto"/>
                <w:sz w:val="24"/>
                <w:highlight w:val="none"/>
              </w:rPr>
            </w:pPr>
            <w:r>
              <w:rPr>
                <w:rFonts w:hint="eastAsia" w:ascii="仿宋" w:hAnsi="仿宋" w:eastAsia="仿宋"/>
                <w:bCs/>
                <w:color w:val="auto"/>
                <w:sz w:val="24"/>
                <w:highlight w:val="none"/>
              </w:rPr>
              <w:t>接报后</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小时内响应，</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小时内到达现场，</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小时内维修好，如维修不好，有无提供备用机。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E0E0E0"/>
            <w:vAlign w:val="center"/>
          </w:tcPr>
          <w:p>
            <w:pPr>
              <w:spacing w:line="52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其它优惠条件</w:t>
            </w:r>
          </w:p>
        </w:tc>
        <w:tc>
          <w:tcPr>
            <w:tcW w:w="6615"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bCs/>
                <w:color w:val="auto"/>
                <w:sz w:val="24"/>
                <w:highlight w:val="none"/>
              </w:rPr>
            </w:pPr>
          </w:p>
        </w:tc>
      </w:tr>
    </w:tbl>
    <w:p>
      <w:pPr>
        <w:spacing w:line="520" w:lineRule="exact"/>
        <w:rPr>
          <w:rFonts w:ascii="仿宋" w:hAnsi="仿宋" w:eastAsia="仿宋"/>
          <w:b/>
          <w:color w:val="auto"/>
          <w:sz w:val="24"/>
          <w:highlight w:val="none"/>
        </w:rPr>
      </w:pPr>
      <w:r>
        <w:rPr>
          <w:rFonts w:hint="eastAsia" w:ascii="仿宋" w:hAnsi="仿宋" w:eastAsia="仿宋"/>
          <w:b/>
          <w:color w:val="auto"/>
          <w:sz w:val="24"/>
          <w:highlight w:val="none"/>
        </w:rPr>
        <w:t>售后服务主要技术人员配置情况：（格式自拟）</w:t>
      </w:r>
    </w:p>
    <w:p>
      <w:pPr>
        <w:spacing w:line="520" w:lineRule="exact"/>
        <w:rPr>
          <w:rFonts w:ascii="仿宋" w:hAnsi="仿宋" w:eastAsia="仿宋"/>
          <w:b/>
          <w:color w:val="auto"/>
          <w:sz w:val="24"/>
          <w:highlight w:val="none"/>
        </w:rPr>
      </w:pPr>
    </w:p>
    <w:p>
      <w:pPr>
        <w:adjustRightInd w:val="0"/>
        <w:snapToGrid w:val="0"/>
        <w:spacing w:line="520" w:lineRule="exact"/>
        <w:ind w:firstLine="888" w:firstLineChars="370"/>
        <w:rPr>
          <w:rFonts w:ascii="仿宋" w:hAnsi="仿宋" w:eastAsia="仿宋"/>
          <w:color w:val="auto"/>
          <w:sz w:val="24"/>
          <w:highlight w:val="none"/>
        </w:rPr>
      </w:pPr>
      <w:r>
        <w:rPr>
          <w:rFonts w:hint="eastAsia" w:ascii="仿宋" w:hAnsi="仿宋" w:eastAsia="仿宋"/>
          <w:color w:val="auto"/>
          <w:sz w:val="24"/>
          <w:highlight w:val="none"/>
        </w:rPr>
        <w:t>供应商法定代表人（或授权代表）签字：</w:t>
      </w:r>
      <w:r>
        <w:rPr>
          <w:rFonts w:hint="eastAsia" w:ascii="仿宋" w:hAnsi="仿宋" w:eastAsia="仿宋"/>
          <w:color w:val="auto"/>
          <w:sz w:val="24"/>
          <w:highlight w:val="none"/>
          <w:u w:val="single"/>
        </w:rPr>
        <w:t xml:space="preserve">       </w:t>
      </w:r>
    </w:p>
    <w:p>
      <w:pPr>
        <w:adjustRightInd w:val="0"/>
        <w:snapToGrid w:val="0"/>
        <w:spacing w:line="520" w:lineRule="exact"/>
        <w:ind w:firstLine="888" w:firstLineChars="370"/>
        <w:rPr>
          <w:rFonts w:ascii="仿宋" w:hAnsi="仿宋" w:eastAsia="仿宋"/>
          <w:color w:val="auto"/>
          <w:sz w:val="24"/>
          <w:highlight w:val="none"/>
          <w:u w:val="single"/>
        </w:rPr>
      </w:pPr>
      <w:r>
        <w:rPr>
          <w:rFonts w:hint="eastAsia" w:ascii="仿宋" w:hAnsi="仿宋" w:eastAsia="仿宋"/>
          <w:color w:val="auto"/>
          <w:sz w:val="24"/>
          <w:highlight w:val="none"/>
        </w:rPr>
        <w:t>供应商名称（签章）：</w:t>
      </w:r>
      <w:r>
        <w:rPr>
          <w:rFonts w:hint="eastAsia" w:ascii="仿宋" w:hAnsi="仿宋" w:eastAsia="仿宋"/>
          <w:color w:val="auto"/>
          <w:sz w:val="24"/>
          <w:highlight w:val="none"/>
          <w:u w:val="single"/>
        </w:rPr>
        <w:t xml:space="preserve">                       </w:t>
      </w:r>
    </w:p>
    <w:p>
      <w:pPr>
        <w:adjustRightInd w:val="0"/>
        <w:snapToGrid w:val="0"/>
        <w:spacing w:line="520" w:lineRule="exact"/>
        <w:ind w:firstLine="888" w:firstLineChars="370"/>
        <w:rPr>
          <w:rFonts w:ascii="仿宋" w:hAnsi="仿宋" w:eastAsia="仿宋"/>
          <w:b/>
          <w:color w:val="auto"/>
          <w:sz w:val="24"/>
          <w:highlight w:val="none"/>
        </w:rPr>
      </w:pPr>
      <w:r>
        <w:rPr>
          <w:rFonts w:hint="eastAsia" w:ascii="仿宋" w:hAnsi="仿宋" w:eastAsia="仿宋"/>
          <w:color w:val="auto"/>
          <w:sz w:val="24"/>
          <w:highlight w:val="none"/>
        </w:rPr>
        <w:t>日            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pPr>
        <w:pStyle w:val="3"/>
        <w:numPr>
          <w:ilvl w:val="0"/>
          <w:numId w:val="11"/>
        </w:numPr>
        <w:tabs>
          <w:tab w:val="left" w:pos="900"/>
          <w:tab w:val="left" w:pos="3686"/>
          <w:tab w:val="left" w:pos="4962"/>
        </w:tabs>
        <w:ind w:hanging="1025"/>
        <w:rPr>
          <w:rFonts w:ascii="仿宋" w:hAnsi="仿宋" w:eastAsia="仿宋"/>
          <w:bCs w:val="0"/>
          <w:color w:val="auto"/>
          <w:highlight w:val="none"/>
        </w:rPr>
      </w:pPr>
      <w:bookmarkStart w:id="165" w:name="_Toc345932648"/>
      <w:r>
        <w:rPr>
          <w:rFonts w:ascii="仿宋" w:hAnsi="仿宋" w:eastAsia="仿宋"/>
          <w:color w:val="auto"/>
          <w:sz w:val="24"/>
          <w:szCs w:val="24"/>
          <w:highlight w:val="none"/>
        </w:rPr>
        <w:br w:type="page"/>
      </w:r>
      <w:bookmarkEnd w:id="165"/>
      <w:bookmarkStart w:id="166" w:name="_Toc11988"/>
      <w:bookmarkStart w:id="167" w:name="_Toc25566919"/>
      <w:bookmarkStart w:id="168" w:name="_Toc85603428"/>
      <w:bookmarkStart w:id="169" w:name="_Toc8706485"/>
      <w:r>
        <w:rPr>
          <w:rFonts w:hint="eastAsia" w:ascii="仿宋" w:hAnsi="仿宋" w:eastAsia="仿宋"/>
          <w:bCs w:val="0"/>
          <w:color w:val="auto"/>
          <w:highlight w:val="none"/>
        </w:rPr>
        <w:t>与技术、商务等评审有关的资料</w:t>
      </w:r>
      <w:bookmarkEnd w:id="166"/>
    </w:p>
    <w:p>
      <w:pPr>
        <w:rPr>
          <w:rFonts w:ascii="仿宋" w:hAnsi="仿宋" w:eastAsia="仿宋"/>
          <w:color w:val="auto"/>
          <w:highlight w:val="none"/>
        </w:rPr>
      </w:pPr>
    </w:p>
    <w:p>
      <w:pPr>
        <w:rPr>
          <w:rFonts w:ascii="仿宋" w:hAnsi="仿宋" w:eastAsia="仿宋"/>
          <w:color w:val="auto"/>
          <w:highlight w:val="none"/>
        </w:rPr>
      </w:pPr>
    </w:p>
    <w:bookmarkEnd w:id="156"/>
    <w:bookmarkEnd w:id="157"/>
    <w:bookmarkEnd w:id="158"/>
    <w:bookmarkEnd w:id="159"/>
    <w:bookmarkEnd w:id="167"/>
    <w:bookmarkEnd w:id="168"/>
    <w:bookmarkEnd w:id="169"/>
    <w:p>
      <w:pPr>
        <w:adjustRightInd w:val="0"/>
        <w:snapToGrid w:val="0"/>
        <w:spacing w:line="360" w:lineRule="auto"/>
        <w:ind w:left="2940" w:leftChars="1400" w:firstLine="2088" w:firstLineChars="870"/>
        <w:rPr>
          <w:rFonts w:ascii="仿宋" w:hAnsi="仿宋" w:eastAsia="仿宋"/>
          <w:color w:val="auto"/>
          <w:sz w:val="24"/>
          <w:highlight w:val="none"/>
        </w:rPr>
        <w:sectPr>
          <w:headerReference r:id="rId18" w:type="first"/>
          <w:headerReference r:id="rId16" w:type="default"/>
          <w:footerReference r:id="rId19" w:type="default"/>
          <w:headerReference r:id="rId17" w:type="even"/>
          <w:type w:val="continuous"/>
          <w:pgSz w:w="11910" w:h="16840"/>
          <w:pgMar w:top="1440" w:right="1080" w:bottom="1440" w:left="1080" w:header="567" w:footer="907" w:gutter="0"/>
          <w:cols w:space="720" w:num="1"/>
          <w:docGrid w:linePitch="286" w:charSpace="0"/>
        </w:sectPr>
      </w:pPr>
      <w:bookmarkStart w:id="170" w:name="_Toc85603430"/>
      <w:bookmarkStart w:id="171" w:name="_Toc8706488"/>
      <w:bookmarkStart w:id="172" w:name="_Toc25566922"/>
      <w:bookmarkStart w:id="173" w:name="_Toc25566923"/>
    </w:p>
    <w:p>
      <w:pPr>
        <w:rPr>
          <w:rFonts w:ascii="仿宋" w:hAnsi="仿宋" w:eastAsia="仿宋"/>
          <w:color w:val="auto"/>
          <w:highlight w:val="none"/>
        </w:rPr>
      </w:pPr>
    </w:p>
    <w:p>
      <w:pPr>
        <w:pStyle w:val="3"/>
        <w:numPr>
          <w:ilvl w:val="0"/>
          <w:numId w:val="11"/>
        </w:numPr>
        <w:tabs>
          <w:tab w:val="left" w:pos="900"/>
          <w:tab w:val="left" w:pos="3686"/>
          <w:tab w:val="left" w:pos="4962"/>
        </w:tabs>
        <w:ind w:hanging="1025"/>
        <w:rPr>
          <w:rFonts w:ascii="仿宋" w:hAnsi="仿宋" w:eastAsia="仿宋"/>
          <w:bCs w:val="0"/>
          <w:color w:val="auto"/>
          <w:highlight w:val="none"/>
        </w:rPr>
      </w:pPr>
      <w:bookmarkStart w:id="174" w:name="_Toc9275"/>
      <w:r>
        <w:rPr>
          <w:rFonts w:hint="eastAsia" w:ascii="仿宋" w:hAnsi="仿宋" w:eastAsia="仿宋"/>
          <w:bCs w:val="0"/>
          <w:color w:val="auto"/>
          <w:highlight w:val="none"/>
        </w:rPr>
        <w:t>供应商认为有必要提供的其他材料</w:t>
      </w:r>
      <w:bookmarkEnd w:id="170"/>
      <w:bookmarkEnd w:id="171"/>
      <w:bookmarkEnd w:id="172"/>
      <w:bookmarkEnd w:id="173"/>
      <w:bookmarkEnd w:id="174"/>
    </w:p>
    <w:p>
      <w:pPr>
        <w:ind w:firstLine="960"/>
        <w:jc w:val="center"/>
        <w:rPr>
          <w:rFonts w:ascii="仿宋" w:hAnsi="仿宋" w:eastAsia="仿宋"/>
          <w:color w:val="auto"/>
          <w:highlight w:val="none"/>
        </w:rPr>
      </w:pPr>
      <w:r>
        <w:rPr>
          <w:rFonts w:hint="eastAsia" w:ascii="仿宋" w:hAnsi="仿宋" w:eastAsia="仿宋"/>
          <w:color w:val="auto"/>
          <w:sz w:val="32"/>
          <w:highlight w:val="none"/>
        </w:rPr>
        <w:t>（由供应商自行编写）</w:t>
      </w:r>
    </w:p>
    <w:sectPr>
      <w:pgSz w:w="11906" w:h="16838"/>
      <w:pgMar w:top="1440" w:right="1080" w:bottom="1440" w:left="1080" w:header="567"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angSong_GB2312,Bold">
    <w:altName w:val="宋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TimesNewRomanPS-BoldMT">
    <w:altName w:val="宋体"/>
    <w:panose1 w:val="00000000000000000000"/>
    <w:charset w:val="86"/>
    <w:family w:val="auto"/>
    <w:pitch w:val="default"/>
    <w:sig w:usb0="00000000" w:usb1="00000000" w:usb2="00000010" w:usb3="00000000" w:csb0="00040000" w:csb1="00000000"/>
  </w:font>
  <w:font w:name="F6">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center"/>
    </w:pPr>
    <w:r>
      <w:rPr>
        <w:rFonts w:hint="eastAsia"/>
        <w:kern w:val="0"/>
      </w:rPr>
      <w:t xml:space="preserve">第 </w:t>
    </w:r>
    <w:r>
      <w:fldChar w:fldCharType="begin"/>
    </w:r>
    <w:r>
      <w:rPr>
        <w:rStyle w:val="41"/>
      </w:rPr>
      <w:instrText xml:space="preserve"> PAGE </w:instrText>
    </w:r>
    <w:r>
      <w:fldChar w:fldCharType="separate"/>
    </w:r>
    <w:r>
      <w:rPr>
        <w:rStyle w:val="41"/>
      </w:rPr>
      <w:t>5</w:t>
    </w:r>
    <w:r>
      <w:fldChar w:fldCharType="end"/>
    </w:r>
    <w:r>
      <w:rPr>
        <w:rFonts w:hint="eastAsia"/>
      </w:rPr>
      <w:t xml:space="preserve"> </w:t>
    </w:r>
    <w:r>
      <w:rPr>
        <w:rFonts w:hint="eastAsia"/>
        <w:kern w:val="0"/>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center"/>
    </w:pPr>
    <w:r>
      <w:rPr>
        <w:rFonts w:hint="eastAsia"/>
        <w:kern w:val="0"/>
      </w:rPr>
      <w:t xml:space="preserve">第 </w:t>
    </w:r>
    <w:r>
      <w:fldChar w:fldCharType="begin"/>
    </w:r>
    <w:r>
      <w:rPr>
        <w:rStyle w:val="41"/>
      </w:rPr>
      <w:instrText xml:space="preserve"> PAGE </w:instrText>
    </w:r>
    <w:r>
      <w:fldChar w:fldCharType="separate"/>
    </w:r>
    <w:r>
      <w:rPr>
        <w:rStyle w:val="41"/>
      </w:rPr>
      <w:t>49</w:t>
    </w:r>
    <w:r>
      <w:fldChar w:fldCharType="end"/>
    </w:r>
    <w:r>
      <w:rPr>
        <w:rFonts w:hint="eastAsia"/>
      </w:rPr>
      <w:t xml:space="preserve"> </w:t>
    </w:r>
    <w:r>
      <w:rPr>
        <w:rFonts w:hint="eastAsia"/>
        <w:kern w:val="0"/>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rPr>
        <w:sz w:val="21"/>
        <w:lang w:val="zh-CN" w:bidi="zh-CN"/>
      </w:rPr>
      <mc:AlternateContent>
        <mc:Choice Requires="wps">
          <w:drawing>
            <wp:anchor distT="0" distB="0" distL="114300" distR="114300" simplePos="0" relativeHeight="251668480" behindDoc="1" locked="0" layoutInCell="1" allowOverlap="1">
              <wp:simplePos x="0" y="0"/>
              <wp:positionH relativeFrom="page">
                <wp:posOffset>3534410</wp:posOffset>
              </wp:positionH>
              <wp:positionV relativeFrom="page">
                <wp:posOffset>9872345</wp:posOffset>
              </wp:positionV>
              <wp:extent cx="493395" cy="160020"/>
              <wp:effectExtent l="0" t="0" r="0" b="0"/>
              <wp:wrapNone/>
              <wp:docPr id="18" name="文本框 30"/>
              <wp:cNvGraphicFramePr/>
              <a:graphic xmlns:a="http://schemas.openxmlformats.org/drawingml/2006/main">
                <a:graphicData uri="http://schemas.microsoft.com/office/word/2010/wordprocessingShape">
                  <wps:wsp>
                    <wps:cNvSpPr txBox="1"/>
                    <wps:spPr>
                      <a:xfrm>
                        <a:off x="0" y="0"/>
                        <a:ext cx="493395" cy="160020"/>
                      </a:xfrm>
                      <a:prstGeom prst="rect">
                        <a:avLst/>
                      </a:prstGeom>
                      <a:noFill/>
                      <a:ln>
                        <a:noFill/>
                      </a:ln>
                    </wps:spPr>
                    <wps:txbx>
                      <w:txbxContent>
                        <w:p>
                          <w:pPr>
                            <w:pStyle w:val="17"/>
                            <w:spacing w:line="251" w:lineRule="exact"/>
                            <w:ind w:left="20"/>
                          </w:pPr>
                          <w:r>
                            <w:rPr>
                              <w:spacing w:val="-26"/>
                            </w:rPr>
                            <w:t xml:space="preserve">第 </w:t>
                          </w:r>
                          <w:r>
                            <w:rPr>
                              <w:rFonts w:hint="eastAsia"/>
                              <w:spacing w:val="-26"/>
                            </w:rPr>
                            <w:t xml:space="preserve">    </w:t>
                          </w:r>
                          <w:r>
                            <w:fldChar w:fldCharType="begin"/>
                          </w:r>
                          <w:r>
                            <w:instrText xml:space="preserve"> PAGE </w:instrText>
                          </w:r>
                          <w:r>
                            <w:fldChar w:fldCharType="separate"/>
                          </w:r>
                          <w:r>
                            <w:t>52</w:t>
                          </w:r>
                          <w:r>
                            <w:fldChar w:fldCharType="end"/>
                          </w:r>
                          <w:r>
                            <w:rPr>
                              <w:spacing w:val="-27"/>
                            </w:rPr>
                            <w:t xml:space="preserve"> </w:t>
                          </w:r>
                          <w:r>
                            <w:rPr>
                              <w:rFonts w:hint="eastAsia"/>
                              <w:spacing w:val="-27"/>
                            </w:rPr>
                            <w:t xml:space="preserve">  </w:t>
                          </w:r>
                          <w:r>
                            <w:rPr>
                              <w:spacing w:val="-27"/>
                            </w:rPr>
                            <w:t>页</w:t>
                          </w:r>
                        </w:p>
                      </w:txbxContent>
                    </wps:txbx>
                    <wps:bodyPr wrap="square" lIns="0" tIns="0" rIns="0" bIns="0" upright="1"/>
                  </wps:wsp>
                </a:graphicData>
              </a:graphic>
            </wp:anchor>
          </w:drawing>
        </mc:Choice>
        <mc:Fallback>
          <w:pict>
            <v:shape id="文本框 30" o:spid="_x0000_s1026" o:spt="202" type="#_x0000_t202" style="position:absolute;left:0pt;margin-left:278.3pt;margin-top:777.35pt;height:12.6pt;width:38.85pt;mso-position-horizontal-relative:page;mso-position-vertical-relative:page;z-index:-251648000;mso-width-relative:page;mso-height-relative:page;" filled="f" stroked="f" coordsize="21600,21600" o:gfxdata="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LjzW2wAAAA0BAAAPAAAAAAAAAAEAIAAAACIAAABkcnMvZG93&#10;bnJldi54bWxQSwECFAAUAAAACACHTuJAnchu+sQBAACBAwAADgAAAAAAAAABACAAAAAqAQAAZHJz&#10;L2Uyb0RvYy54bWxQSwUGAAAAAAYABgBZAQAAYAUAAAAA&#10;">
              <v:fill on="f" focussize="0,0"/>
              <v:stroke on="f"/>
              <v:imagedata o:title=""/>
              <o:lock v:ext="edit" aspectratio="f"/>
              <v:textbox inset="0mm,0mm,0mm,0mm">
                <w:txbxContent>
                  <w:p>
                    <w:pPr>
                      <w:pStyle w:val="17"/>
                      <w:spacing w:line="251" w:lineRule="exact"/>
                      <w:ind w:left="20"/>
                    </w:pPr>
                    <w:r>
                      <w:rPr>
                        <w:spacing w:val="-26"/>
                      </w:rPr>
                      <w:t xml:space="preserve">第 </w:t>
                    </w:r>
                    <w:r>
                      <w:rPr>
                        <w:rFonts w:hint="eastAsia"/>
                        <w:spacing w:val="-26"/>
                      </w:rPr>
                      <w:t xml:space="preserve">    </w:t>
                    </w:r>
                    <w:r>
                      <w:fldChar w:fldCharType="begin"/>
                    </w:r>
                    <w:r>
                      <w:instrText xml:space="preserve"> PAGE </w:instrText>
                    </w:r>
                    <w:r>
                      <w:fldChar w:fldCharType="separate"/>
                    </w:r>
                    <w:r>
                      <w:t>52</w:t>
                    </w:r>
                    <w:r>
                      <w:fldChar w:fldCharType="end"/>
                    </w:r>
                    <w:r>
                      <w:rPr>
                        <w:spacing w:val="-27"/>
                      </w:rPr>
                      <w:t xml:space="preserve"> </w:t>
                    </w:r>
                    <w:r>
                      <w:rPr>
                        <w:rFonts w:hint="eastAsia"/>
                        <w:spacing w:val="-27"/>
                      </w:rPr>
                      <w:t xml:space="preserve">  </w:t>
                    </w:r>
                    <w:r>
                      <w:rPr>
                        <w:spacing w:val="-27"/>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华文楷体"/>
      </w:rPr>
    </w:pPr>
    <w:r>
      <w:pict>
        <v:shape id="PowerPlusWaterMarkObject7063633" o:spid="_x0000_s2062" o:spt="136" type="#_x0000_t136" style="position:absolute;left:0pt;height:48.65pt;width:584.1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r>
      <w:rPr>
        <w:rFonts w:ascii="宋体" w:hAnsi="宋体" w:cs="宋体"/>
        <w:spacing w:val="2"/>
        <w:w w:val="91"/>
        <w:kern w:val="0"/>
        <w:sz w:val="24"/>
      </w:rPr>
      <w:drawing>
        <wp:inline distT="0" distB="0" distL="114300" distR="114300">
          <wp:extent cx="751205" cy="638175"/>
          <wp:effectExtent l="0" t="0" r="1270" b="0"/>
          <wp:docPr id="19" name="图片 1" descr="eda53a670fee910a95093dbde37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eda53a670fee910a95093dbde371265"/>
                  <pic:cNvPicPr>
                    <a:picLocks noChangeAspect="1"/>
                  </pic:cNvPicPr>
                </pic:nvPicPr>
                <pic:blipFill>
                  <a:blip r:embed="rId1"/>
                  <a:stretch>
                    <a:fillRect/>
                  </a:stretch>
                </pic:blipFill>
                <pic:spPr>
                  <a:xfrm>
                    <a:off x="0" y="0"/>
                    <a:ext cx="751205" cy="638175"/>
                  </a:xfrm>
                  <a:prstGeom prst="rect">
                    <a:avLst/>
                  </a:prstGeom>
                  <a:noFill/>
                  <a:ln>
                    <a:noFill/>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7063646" o:spid="_x0000_s2075" o:spt="136" type="#_x0000_t136" style="position:absolute;left:0pt;height:48.65pt;width:584.1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jc w:val="right"/>
      <w:rPr>
        <w:sz w:val="2"/>
      </w:rPr>
    </w:pPr>
    <w:r>
      <w:rPr>
        <w:rFonts w:ascii="宋体" w:hAnsi="宋体" w:cs="宋体"/>
        <w:spacing w:val="2"/>
        <w:w w:val="91"/>
        <w:kern w:val="0"/>
        <w:sz w:val="24"/>
      </w:rPr>
      <w:drawing>
        <wp:inline distT="0" distB="0" distL="114300" distR="114300">
          <wp:extent cx="751205" cy="638175"/>
          <wp:effectExtent l="0" t="0" r="1270" b="0"/>
          <wp:docPr id="23" name="图片 5" descr="eda53a670fee910a95093dbde37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descr="eda53a670fee910a95093dbde371265"/>
                  <pic:cNvPicPr>
                    <a:picLocks noChangeAspect="1"/>
                  </pic:cNvPicPr>
                </pic:nvPicPr>
                <pic:blipFill>
                  <a:blip r:embed="rId1"/>
                  <a:stretch>
                    <a:fillRect/>
                  </a:stretch>
                </pic:blipFill>
                <pic:spPr>
                  <a:xfrm>
                    <a:off x="0" y="0"/>
                    <a:ext cx="751205" cy="638175"/>
                  </a:xfrm>
                  <a:prstGeom prst="rect">
                    <a:avLst/>
                  </a:prstGeom>
                  <a:noFill/>
                  <a:ln>
                    <a:noFill/>
                  </a:ln>
                </pic:spPr>
              </pic:pic>
            </a:graphicData>
          </a:graphic>
        </wp:inline>
      </w:drawing>
    </w:r>
    <w:r>
      <w:pict>
        <v:shape id="PowerPlusWaterMarkObject14827609" o:spid="_x0000_s2081" o:spt="136" type="#_x0000_t136" style="position:absolute;left:0pt;height:48.65pt;width:584.1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4827608" o:spid="_x0000_s2080" o:spt="136" type="#_x0000_t136" style="position:absolute;left:0pt;height:48.65pt;width:584.1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4827607" o:spid="_x0000_s2079" o:spt="136" type="#_x0000_t136" style="position:absolute;left:0pt;height:48.65pt;width:584.1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7063632" o:spid="_x0000_s2061" o:spt="136" type="#_x0000_t136" style="position:absolute;left:0pt;height:48.65pt;width:584.1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7063631" o:spid="_x0000_s2060" o:spt="136" type="#_x0000_t136" style="position:absolute;left:0pt;height:48.65pt;width:584.1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44"/>
      <w:jc w:val="right"/>
    </w:pPr>
    <w:r>
      <w:rPr>
        <w:rFonts w:hint="eastAsia" w:ascii="宋体" w:hAnsi="宋体" w:cs="宋体"/>
        <w:spacing w:val="2"/>
        <w:w w:val="91"/>
        <w:kern w:val="0"/>
        <w:sz w:val="24"/>
      </w:rPr>
      <w:t xml:space="preserve">  </w:t>
    </w:r>
    <w:r>
      <w:rPr>
        <w:rFonts w:ascii="宋体" w:hAnsi="宋体" w:cs="宋体"/>
        <w:spacing w:val="2"/>
        <w:w w:val="91"/>
        <w:kern w:val="0"/>
        <w:sz w:val="24"/>
      </w:rPr>
      <w:drawing>
        <wp:inline distT="0" distB="0" distL="114300" distR="114300">
          <wp:extent cx="751205" cy="638175"/>
          <wp:effectExtent l="0" t="0" r="1270" b="0"/>
          <wp:docPr id="20" name="图片 2" descr="eda53a670fee910a95093dbde37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eda53a670fee910a95093dbde371265"/>
                  <pic:cNvPicPr>
                    <a:picLocks noChangeAspect="1"/>
                  </pic:cNvPicPr>
                </pic:nvPicPr>
                <pic:blipFill>
                  <a:blip r:embed="rId1"/>
                  <a:stretch>
                    <a:fillRect/>
                  </a:stretch>
                </pic:blipFill>
                <pic:spPr>
                  <a:xfrm>
                    <a:off x="0" y="0"/>
                    <a:ext cx="751205" cy="638175"/>
                  </a:xfrm>
                  <a:prstGeom prst="rect">
                    <a:avLst/>
                  </a:prstGeom>
                  <a:noFill/>
                  <a:ln>
                    <a:noFill/>
                  </a:ln>
                </pic:spPr>
              </pic:pic>
            </a:graphicData>
          </a:graphic>
        </wp:inline>
      </w:drawing>
    </w:r>
    <w:r>
      <w:pict>
        <v:shape id="PowerPlusWaterMarkObject14827603" o:spid="_x0000_s2087" o:spt="136" type="#_x0000_t136" style="position:absolute;left:0pt;height:48.65pt;width:584.1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pict>
        <v:shape id="PowerPlusWaterMarkObject7063639" o:spid="_x0000_s2068" o:spt="136" type="#_x0000_t136" style="position:absolute;left:0pt;height:48.65pt;width:584.1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r>
      <w:rPr>
        <w:rFonts w:ascii="宋体" w:hAnsi="宋体" w:cs="宋体"/>
        <w:spacing w:val="2"/>
        <w:w w:val="91"/>
        <w:kern w:val="0"/>
        <w:sz w:val="24"/>
      </w:rPr>
      <w:drawing>
        <wp:inline distT="0" distB="0" distL="114300" distR="114300">
          <wp:extent cx="751205" cy="638175"/>
          <wp:effectExtent l="0" t="0" r="1270" b="0"/>
          <wp:docPr id="21" name="图片 3" descr="eda53a670fee910a95093dbde37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descr="eda53a670fee910a95093dbde371265"/>
                  <pic:cNvPicPr>
                    <a:picLocks noChangeAspect="1"/>
                  </pic:cNvPicPr>
                </pic:nvPicPr>
                <pic:blipFill>
                  <a:blip r:embed="rId1"/>
                  <a:stretch>
                    <a:fillRect/>
                  </a:stretch>
                </pic:blipFill>
                <pic:spPr>
                  <a:xfrm>
                    <a:off x="0" y="0"/>
                    <a:ext cx="751205" cy="63817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7063638" o:spid="_x0000_s2067" o:spt="136" type="#_x0000_t136" style="position:absolute;left:0pt;height:48.65pt;width:584.1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7063637" o:spid="_x0000_s2066" o:spt="136" type="#_x0000_t136" style="position:absolute;left:0pt;height:48.65pt;width:584.1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240" w:lineRule="auto"/>
      <w:jc w:val="right"/>
      <w:rPr>
        <w:sz w:val="20"/>
      </w:rPr>
    </w:pPr>
    <w:r>
      <w:rPr>
        <w:rFonts w:ascii="宋体" w:hAnsi="宋体" w:cs="宋体"/>
        <w:spacing w:val="2"/>
        <w:w w:val="91"/>
        <w:kern w:val="0"/>
        <w:sz w:val="24"/>
      </w:rPr>
      <w:drawing>
        <wp:inline distT="0" distB="0" distL="114300" distR="114300">
          <wp:extent cx="751205" cy="638175"/>
          <wp:effectExtent l="0" t="0" r="1270" b="0"/>
          <wp:docPr id="22" name="图片 4" descr="eda53a670fee910a95093dbde37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descr="eda53a670fee910a95093dbde371265"/>
                  <pic:cNvPicPr>
                    <a:picLocks noChangeAspect="1"/>
                  </pic:cNvPicPr>
                </pic:nvPicPr>
                <pic:blipFill>
                  <a:blip r:embed="rId1"/>
                  <a:stretch>
                    <a:fillRect/>
                  </a:stretch>
                </pic:blipFill>
                <pic:spPr>
                  <a:xfrm>
                    <a:off x="0" y="0"/>
                    <a:ext cx="751205" cy="638175"/>
                  </a:xfrm>
                  <a:prstGeom prst="rect">
                    <a:avLst/>
                  </a:prstGeom>
                  <a:noFill/>
                  <a:ln>
                    <a:noFill/>
                  </a:ln>
                </pic:spPr>
              </pic:pic>
            </a:graphicData>
          </a:graphic>
        </wp:inline>
      </w:drawing>
    </w:r>
    <w:r>
      <w:pict>
        <v:shape id="PowerPlusWaterMarkObject7063648" o:spid="_x0000_s2077" o:spt="136" type="#_x0000_t136" style="position:absolute;left:0pt;height:48.65pt;width:584.1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7063647" o:spid="_x0000_s2076" o:spt="136" type="#_x0000_t136" style="position:absolute;left:0pt;height:48.65pt;width:584.1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江西骏宏招标咨询有限公司"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46408"/>
    <w:multiLevelType w:val="multilevel"/>
    <w:tmpl w:val="0F946408"/>
    <w:lvl w:ilvl="0" w:tentative="0">
      <w:start w:val="1"/>
      <w:numFmt w:val="decimal"/>
      <w:lvlText w:val="%1."/>
      <w:lvlJc w:val="left"/>
      <w:pPr>
        <w:ind w:left="1272" w:hanging="213"/>
      </w:pPr>
      <w:rPr>
        <w:rFonts w:hint="default" w:ascii="宋体" w:hAnsi="宋体" w:eastAsia="宋体" w:cs="宋体"/>
        <w:spacing w:val="-1"/>
        <w:w w:val="100"/>
        <w:sz w:val="24"/>
        <w:szCs w:val="24"/>
        <w:lang w:val="zh-CN" w:eastAsia="zh-CN" w:bidi="zh-CN"/>
      </w:rPr>
    </w:lvl>
    <w:lvl w:ilvl="1" w:tentative="0">
      <w:start w:val="0"/>
      <w:numFmt w:val="bullet"/>
      <w:lvlText w:val="•"/>
      <w:lvlJc w:val="left"/>
      <w:pPr>
        <w:ind w:left="2178" w:hanging="213"/>
      </w:pPr>
      <w:rPr>
        <w:rFonts w:hint="default"/>
        <w:lang w:val="zh-CN" w:eastAsia="zh-CN" w:bidi="zh-CN"/>
      </w:rPr>
    </w:lvl>
    <w:lvl w:ilvl="2" w:tentative="0">
      <w:start w:val="0"/>
      <w:numFmt w:val="bullet"/>
      <w:lvlText w:val="•"/>
      <w:lvlJc w:val="left"/>
      <w:pPr>
        <w:ind w:left="3077" w:hanging="213"/>
      </w:pPr>
      <w:rPr>
        <w:rFonts w:hint="default"/>
        <w:lang w:val="zh-CN" w:eastAsia="zh-CN" w:bidi="zh-CN"/>
      </w:rPr>
    </w:lvl>
    <w:lvl w:ilvl="3" w:tentative="0">
      <w:start w:val="0"/>
      <w:numFmt w:val="bullet"/>
      <w:lvlText w:val="•"/>
      <w:lvlJc w:val="left"/>
      <w:pPr>
        <w:ind w:left="3975" w:hanging="213"/>
      </w:pPr>
      <w:rPr>
        <w:rFonts w:hint="default"/>
        <w:lang w:val="zh-CN" w:eastAsia="zh-CN" w:bidi="zh-CN"/>
      </w:rPr>
    </w:lvl>
    <w:lvl w:ilvl="4" w:tentative="0">
      <w:start w:val="0"/>
      <w:numFmt w:val="bullet"/>
      <w:lvlText w:val="•"/>
      <w:lvlJc w:val="left"/>
      <w:pPr>
        <w:ind w:left="4874" w:hanging="213"/>
      </w:pPr>
      <w:rPr>
        <w:rFonts w:hint="default"/>
        <w:lang w:val="zh-CN" w:eastAsia="zh-CN" w:bidi="zh-CN"/>
      </w:rPr>
    </w:lvl>
    <w:lvl w:ilvl="5" w:tentative="0">
      <w:start w:val="0"/>
      <w:numFmt w:val="bullet"/>
      <w:lvlText w:val="•"/>
      <w:lvlJc w:val="left"/>
      <w:pPr>
        <w:ind w:left="5773" w:hanging="213"/>
      </w:pPr>
      <w:rPr>
        <w:rFonts w:hint="default"/>
        <w:lang w:val="zh-CN" w:eastAsia="zh-CN" w:bidi="zh-CN"/>
      </w:rPr>
    </w:lvl>
    <w:lvl w:ilvl="6" w:tentative="0">
      <w:start w:val="0"/>
      <w:numFmt w:val="bullet"/>
      <w:lvlText w:val="•"/>
      <w:lvlJc w:val="left"/>
      <w:pPr>
        <w:ind w:left="6671" w:hanging="213"/>
      </w:pPr>
      <w:rPr>
        <w:rFonts w:hint="default"/>
        <w:lang w:val="zh-CN" w:eastAsia="zh-CN" w:bidi="zh-CN"/>
      </w:rPr>
    </w:lvl>
    <w:lvl w:ilvl="7" w:tentative="0">
      <w:start w:val="0"/>
      <w:numFmt w:val="bullet"/>
      <w:lvlText w:val="•"/>
      <w:lvlJc w:val="left"/>
      <w:pPr>
        <w:ind w:left="7570" w:hanging="213"/>
      </w:pPr>
      <w:rPr>
        <w:rFonts w:hint="default"/>
        <w:lang w:val="zh-CN" w:eastAsia="zh-CN" w:bidi="zh-CN"/>
      </w:rPr>
    </w:lvl>
    <w:lvl w:ilvl="8" w:tentative="0">
      <w:start w:val="0"/>
      <w:numFmt w:val="bullet"/>
      <w:lvlText w:val="•"/>
      <w:lvlJc w:val="left"/>
      <w:pPr>
        <w:ind w:left="8469" w:hanging="213"/>
      </w:pPr>
      <w:rPr>
        <w:rFonts w:hint="default"/>
        <w:lang w:val="zh-CN" w:eastAsia="zh-CN" w:bidi="zh-CN"/>
      </w:rPr>
    </w:lvl>
  </w:abstractNum>
  <w:abstractNum w:abstractNumId="1">
    <w:nsid w:val="13A02461"/>
    <w:multiLevelType w:val="multilevel"/>
    <w:tmpl w:val="13A02461"/>
    <w:lvl w:ilvl="0" w:tentative="0">
      <w:start w:val="1"/>
      <w:numFmt w:val="decimal"/>
      <w:lvlText w:val="（%1）"/>
      <w:lvlJc w:val="left"/>
      <w:pPr>
        <w:ind w:left="2094" w:hanging="534"/>
      </w:pPr>
      <w:rPr>
        <w:rFonts w:hint="default" w:ascii="宋体" w:hAnsi="宋体" w:eastAsia="宋体" w:cs="宋体"/>
        <w:color w:val="0D0D0D"/>
        <w:spacing w:val="0"/>
        <w:w w:val="100"/>
        <w:sz w:val="24"/>
        <w:szCs w:val="24"/>
        <w:lang w:val="en-US" w:eastAsia="zh-CN" w:bidi="zh-CN"/>
      </w:rPr>
    </w:lvl>
    <w:lvl w:ilvl="1" w:tentative="0">
      <w:start w:val="0"/>
      <w:numFmt w:val="bullet"/>
      <w:lvlText w:val="•"/>
      <w:lvlJc w:val="left"/>
      <w:pPr>
        <w:ind w:left="2994" w:hanging="534"/>
      </w:pPr>
      <w:rPr>
        <w:rFonts w:hint="default"/>
        <w:lang w:val="zh-CN" w:eastAsia="zh-CN" w:bidi="zh-CN"/>
      </w:rPr>
    </w:lvl>
    <w:lvl w:ilvl="2" w:tentative="0">
      <w:start w:val="0"/>
      <w:numFmt w:val="bullet"/>
      <w:lvlText w:val="•"/>
      <w:lvlJc w:val="left"/>
      <w:pPr>
        <w:ind w:left="3901" w:hanging="534"/>
      </w:pPr>
      <w:rPr>
        <w:rFonts w:hint="default"/>
        <w:lang w:val="zh-CN" w:eastAsia="zh-CN" w:bidi="zh-CN"/>
      </w:rPr>
    </w:lvl>
    <w:lvl w:ilvl="3" w:tentative="0">
      <w:start w:val="0"/>
      <w:numFmt w:val="bullet"/>
      <w:lvlText w:val="•"/>
      <w:lvlJc w:val="left"/>
      <w:pPr>
        <w:ind w:left="4807" w:hanging="534"/>
      </w:pPr>
      <w:rPr>
        <w:rFonts w:hint="default"/>
        <w:lang w:val="zh-CN" w:eastAsia="zh-CN" w:bidi="zh-CN"/>
      </w:rPr>
    </w:lvl>
    <w:lvl w:ilvl="4" w:tentative="0">
      <w:start w:val="0"/>
      <w:numFmt w:val="bullet"/>
      <w:lvlText w:val="•"/>
      <w:lvlJc w:val="left"/>
      <w:pPr>
        <w:ind w:left="5714" w:hanging="534"/>
      </w:pPr>
      <w:rPr>
        <w:rFonts w:hint="default"/>
        <w:lang w:val="zh-CN" w:eastAsia="zh-CN" w:bidi="zh-CN"/>
      </w:rPr>
    </w:lvl>
    <w:lvl w:ilvl="5" w:tentative="0">
      <w:start w:val="0"/>
      <w:numFmt w:val="bullet"/>
      <w:lvlText w:val="•"/>
      <w:lvlJc w:val="left"/>
      <w:pPr>
        <w:ind w:left="6621" w:hanging="534"/>
      </w:pPr>
      <w:rPr>
        <w:rFonts w:hint="default"/>
        <w:lang w:val="zh-CN" w:eastAsia="zh-CN" w:bidi="zh-CN"/>
      </w:rPr>
    </w:lvl>
    <w:lvl w:ilvl="6" w:tentative="0">
      <w:start w:val="0"/>
      <w:numFmt w:val="bullet"/>
      <w:lvlText w:val="•"/>
      <w:lvlJc w:val="left"/>
      <w:pPr>
        <w:ind w:left="7527" w:hanging="534"/>
      </w:pPr>
      <w:rPr>
        <w:rFonts w:hint="default"/>
        <w:lang w:val="zh-CN" w:eastAsia="zh-CN" w:bidi="zh-CN"/>
      </w:rPr>
    </w:lvl>
    <w:lvl w:ilvl="7" w:tentative="0">
      <w:start w:val="0"/>
      <w:numFmt w:val="bullet"/>
      <w:lvlText w:val="•"/>
      <w:lvlJc w:val="left"/>
      <w:pPr>
        <w:ind w:left="8434" w:hanging="534"/>
      </w:pPr>
      <w:rPr>
        <w:rFonts w:hint="default"/>
        <w:lang w:val="zh-CN" w:eastAsia="zh-CN" w:bidi="zh-CN"/>
      </w:rPr>
    </w:lvl>
    <w:lvl w:ilvl="8" w:tentative="0">
      <w:start w:val="0"/>
      <w:numFmt w:val="bullet"/>
      <w:lvlText w:val="•"/>
      <w:lvlJc w:val="left"/>
      <w:pPr>
        <w:ind w:left="9341" w:hanging="534"/>
      </w:pPr>
      <w:rPr>
        <w:rFonts w:hint="default"/>
        <w:lang w:val="zh-CN" w:eastAsia="zh-CN" w:bidi="zh-CN"/>
      </w:rPr>
    </w:lvl>
  </w:abstractNum>
  <w:abstractNum w:abstractNumId="2">
    <w:nsid w:val="1AF679B4"/>
    <w:multiLevelType w:val="multilevel"/>
    <w:tmpl w:val="1AF679B4"/>
    <w:lvl w:ilvl="0" w:tentative="0">
      <w:start w:val="1"/>
      <w:numFmt w:val="decimal"/>
      <w:lvlText w:val="%1."/>
      <w:lvlJc w:val="left"/>
      <w:pPr>
        <w:ind w:left="879" w:hanging="241"/>
      </w:pPr>
      <w:rPr>
        <w:rFonts w:hint="default"/>
        <w:w w:val="100"/>
        <w:lang w:val="zh-CN" w:eastAsia="zh-CN" w:bidi="zh-CN"/>
      </w:rPr>
    </w:lvl>
    <w:lvl w:ilvl="1" w:tentative="0">
      <w:start w:val="0"/>
      <w:numFmt w:val="bullet"/>
      <w:lvlText w:val="•"/>
      <w:lvlJc w:val="left"/>
      <w:pPr>
        <w:ind w:left="1818" w:hanging="241"/>
      </w:pPr>
      <w:rPr>
        <w:rFonts w:hint="default"/>
        <w:lang w:val="zh-CN" w:eastAsia="zh-CN" w:bidi="zh-CN"/>
      </w:rPr>
    </w:lvl>
    <w:lvl w:ilvl="2" w:tentative="0">
      <w:start w:val="0"/>
      <w:numFmt w:val="bullet"/>
      <w:lvlText w:val="•"/>
      <w:lvlJc w:val="left"/>
      <w:pPr>
        <w:ind w:left="2757" w:hanging="241"/>
      </w:pPr>
      <w:rPr>
        <w:rFonts w:hint="default"/>
        <w:lang w:val="zh-CN" w:eastAsia="zh-CN" w:bidi="zh-CN"/>
      </w:rPr>
    </w:lvl>
    <w:lvl w:ilvl="3" w:tentative="0">
      <w:start w:val="0"/>
      <w:numFmt w:val="bullet"/>
      <w:lvlText w:val="•"/>
      <w:lvlJc w:val="left"/>
      <w:pPr>
        <w:ind w:left="3695" w:hanging="241"/>
      </w:pPr>
      <w:rPr>
        <w:rFonts w:hint="default"/>
        <w:lang w:val="zh-CN" w:eastAsia="zh-CN" w:bidi="zh-CN"/>
      </w:rPr>
    </w:lvl>
    <w:lvl w:ilvl="4" w:tentative="0">
      <w:start w:val="0"/>
      <w:numFmt w:val="bullet"/>
      <w:lvlText w:val="•"/>
      <w:lvlJc w:val="left"/>
      <w:pPr>
        <w:ind w:left="4634" w:hanging="241"/>
      </w:pPr>
      <w:rPr>
        <w:rFonts w:hint="default"/>
        <w:lang w:val="zh-CN" w:eastAsia="zh-CN" w:bidi="zh-CN"/>
      </w:rPr>
    </w:lvl>
    <w:lvl w:ilvl="5" w:tentative="0">
      <w:start w:val="0"/>
      <w:numFmt w:val="bullet"/>
      <w:lvlText w:val="•"/>
      <w:lvlJc w:val="left"/>
      <w:pPr>
        <w:ind w:left="5573" w:hanging="241"/>
      </w:pPr>
      <w:rPr>
        <w:rFonts w:hint="default"/>
        <w:lang w:val="zh-CN" w:eastAsia="zh-CN" w:bidi="zh-CN"/>
      </w:rPr>
    </w:lvl>
    <w:lvl w:ilvl="6" w:tentative="0">
      <w:start w:val="0"/>
      <w:numFmt w:val="bullet"/>
      <w:lvlText w:val="•"/>
      <w:lvlJc w:val="left"/>
      <w:pPr>
        <w:ind w:left="6511" w:hanging="241"/>
      </w:pPr>
      <w:rPr>
        <w:rFonts w:hint="default"/>
        <w:lang w:val="zh-CN" w:eastAsia="zh-CN" w:bidi="zh-CN"/>
      </w:rPr>
    </w:lvl>
    <w:lvl w:ilvl="7" w:tentative="0">
      <w:start w:val="0"/>
      <w:numFmt w:val="bullet"/>
      <w:lvlText w:val="•"/>
      <w:lvlJc w:val="left"/>
      <w:pPr>
        <w:ind w:left="7450" w:hanging="241"/>
      </w:pPr>
      <w:rPr>
        <w:rFonts w:hint="default"/>
        <w:lang w:val="zh-CN" w:eastAsia="zh-CN" w:bidi="zh-CN"/>
      </w:rPr>
    </w:lvl>
    <w:lvl w:ilvl="8" w:tentative="0">
      <w:start w:val="0"/>
      <w:numFmt w:val="bullet"/>
      <w:lvlText w:val="•"/>
      <w:lvlJc w:val="left"/>
      <w:pPr>
        <w:ind w:left="8389" w:hanging="241"/>
      </w:pPr>
      <w:rPr>
        <w:rFonts w:hint="default"/>
        <w:lang w:val="zh-CN" w:eastAsia="zh-CN" w:bidi="zh-CN"/>
      </w:rPr>
    </w:lvl>
  </w:abstractNum>
  <w:abstractNum w:abstractNumId="3">
    <w:nsid w:val="256306A8"/>
    <w:multiLevelType w:val="multilevel"/>
    <w:tmpl w:val="256306A8"/>
    <w:lvl w:ilvl="0" w:tentative="0">
      <w:start w:val="1"/>
      <w:numFmt w:val="decimal"/>
      <w:lvlText w:val="%1."/>
      <w:lvlJc w:val="left"/>
      <w:pPr>
        <w:tabs>
          <w:tab w:val="left" w:pos="425"/>
        </w:tabs>
        <w:ind w:left="0" w:firstLine="567"/>
      </w:pPr>
      <w:rPr>
        <w:rFonts w:hint="eastAsia" w:ascii="仿宋" w:hAnsi="仿宋" w:eastAsia="仿宋"/>
        <w:sz w:val="24"/>
        <w:szCs w:val="24"/>
      </w:rPr>
    </w:lvl>
    <w:lvl w:ilvl="1" w:tentative="0">
      <w:start w:val="1"/>
      <w:numFmt w:val="decimal"/>
      <w:lvlText w:val="%1.%2"/>
      <w:lvlJc w:val="left"/>
      <w:pPr>
        <w:tabs>
          <w:tab w:val="left" w:pos="567"/>
        </w:tabs>
        <w:ind w:left="0" w:firstLine="907"/>
      </w:pPr>
      <w:rPr>
        <w:rFonts w:hint="eastAsia"/>
        <w:sz w:val="24"/>
        <w:szCs w:val="24"/>
      </w:rPr>
    </w:lvl>
    <w:lvl w:ilvl="2" w:tentative="0">
      <w:start w:val="1"/>
      <w:numFmt w:val="decimal"/>
      <w:lvlText w:val="%1.%2.%3."/>
      <w:lvlJc w:val="left"/>
      <w:pPr>
        <w:tabs>
          <w:tab w:val="left" w:pos="1843"/>
        </w:tabs>
        <w:ind w:left="1843"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479437CB"/>
    <w:multiLevelType w:val="multilevel"/>
    <w:tmpl w:val="479437CB"/>
    <w:lvl w:ilvl="0" w:tentative="0">
      <w:start w:val="1"/>
      <w:numFmt w:val="decimal"/>
      <w:lvlText w:val="（%1）"/>
      <w:lvlJc w:val="left"/>
      <w:pPr>
        <w:ind w:left="636" w:hanging="529"/>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1451" w:hanging="529"/>
      </w:pPr>
      <w:rPr>
        <w:rFonts w:hint="default"/>
        <w:lang w:val="zh-CN" w:eastAsia="zh-CN" w:bidi="zh-CN"/>
      </w:rPr>
    </w:lvl>
    <w:lvl w:ilvl="2" w:tentative="0">
      <w:start w:val="0"/>
      <w:numFmt w:val="bullet"/>
      <w:lvlText w:val="•"/>
      <w:lvlJc w:val="left"/>
      <w:pPr>
        <w:ind w:left="2263" w:hanging="529"/>
      </w:pPr>
      <w:rPr>
        <w:rFonts w:hint="default"/>
        <w:lang w:val="zh-CN" w:eastAsia="zh-CN" w:bidi="zh-CN"/>
      </w:rPr>
    </w:lvl>
    <w:lvl w:ilvl="3" w:tentative="0">
      <w:start w:val="0"/>
      <w:numFmt w:val="bullet"/>
      <w:lvlText w:val="•"/>
      <w:lvlJc w:val="left"/>
      <w:pPr>
        <w:ind w:left="3075" w:hanging="529"/>
      </w:pPr>
      <w:rPr>
        <w:rFonts w:hint="default"/>
        <w:lang w:val="zh-CN" w:eastAsia="zh-CN" w:bidi="zh-CN"/>
      </w:rPr>
    </w:lvl>
    <w:lvl w:ilvl="4" w:tentative="0">
      <w:start w:val="0"/>
      <w:numFmt w:val="bullet"/>
      <w:lvlText w:val="•"/>
      <w:lvlJc w:val="left"/>
      <w:pPr>
        <w:ind w:left="3886" w:hanging="529"/>
      </w:pPr>
      <w:rPr>
        <w:rFonts w:hint="default"/>
        <w:lang w:val="zh-CN" w:eastAsia="zh-CN" w:bidi="zh-CN"/>
      </w:rPr>
    </w:lvl>
    <w:lvl w:ilvl="5" w:tentative="0">
      <w:start w:val="0"/>
      <w:numFmt w:val="bullet"/>
      <w:lvlText w:val="•"/>
      <w:lvlJc w:val="left"/>
      <w:pPr>
        <w:ind w:left="4698" w:hanging="529"/>
      </w:pPr>
      <w:rPr>
        <w:rFonts w:hint="default"/>
        <w:lang w:val="zh-CN" w:eastAsia="zh-CN" w:bidi="zh-CN"/>
      </w:rPr>
    </w:lvl>
    <w:lvl w:ilvl="6" w:tentative="0">
      <w:start w:val="0"/>
      <w:numFmt w:val="bullet"/>
      <w:lvlText w:val="•"/>
      <w:lvlJc w:val="left"/>
      <w:pPr>
        <w:ind w:left="5510" w:hanging="529"/>
      </w:pPr>
      <w:rPr>
        <w:rFonts w:hint="default"/>
        <w:lang w:val="zh-CN" w:eastAsia="zh-CN" w:bidi="zh-CN"/>
      </w:rPr>
    </w:lvl>
    <w:lvl w:ilvl="7" w:tentative="0">
      <w:start w:val="0"/>
      <w:numFmt w:val="bullet"/>
      <w:lvlText w:val="•"/>
      <w:lvlJc w:val="left"/>
      <w:pPr>
        <w:ind w:left="6321" w:hanging="529"/>
      </w:pPr>
      <w:rPr>
        <w:rFonts w:hint="default"/>
        <w:lang w:val="zh-CN" w:eastAsia="zh-CN" w:bidi="zh-CN"/>
      </w:rPr>
    </w:lvl>
    <w:lvl w:ilvl="8" w:tentative="0">
      <w:start w:val="0"/>
      <w:numFmt w:val="bullet"/>
      <w:lvlText w:val="•"/>
      <w:lvlJc w:val="left"/>
      <w:pPr>
        <w:ind w:left="7133" w:hanging="529"/>
      </w:pPr>
      <w:rPr>
        <w:rFonts w:hint="default"/>
        <w:lang w:val="zh-CN" w:eastAsia="zh-CN" w:bidi="zh-CN"/>
      </w:rPr>
    </w:lvl>
  </w:abstractNum>
  <w:abstractNum w:abstractNumId="5">
    <w:nsid w:val="4D207A14"/>
    <w:multiLevelType w:val="multilevel"/>
    <w:tmpl w:val="4D207A14"/>
    <w:lvl w:ilvl="0" w:tentative="0">
      <w:start w:val="1"/>
      <w:numFmt w:val="decimal"/>
      <w:lvlText w:val="%1."/>
      <w:lvlJc w:val="left"/>
      <w:pPr>
        <w:tabs>
          <w:tab w:val="left" w:pos="425"/>
        </w:tabs>
        <w:ind w:left="0" w:firstLine="567"/>
      </w:pPr>
      <w:rPr>
        <w:rFonts w:hint="eastAsia"/>
      </w:rPr>
    </w:lvl>
    <w:lvl w:ilvl="1" w:tentative="0">
      <w:start w:val="1"/>
      <w:numFmt w:val="decimal"/>
      <w:lvlText w:val="%1.%2"/>
      <w:lvlJc w:val="left"/>
      <w:pPr>
        <w:tabs>
          <w:tab w:val="left" w:pos="567"/>
        </w:tabs>
        <w:ind w:left="0" w:firstLine="907"/>
      </w:pPr>
      <w:rPr>
        <w:rFonts w:hint="eastAsia"/>
      </w:rPr>
    </w:lvl>
    <w:lvl w:ilvl="2" w:tentative="0">
      <w:start w:val="1"/>
      <w:numFmt w:val="decimal"/>
      <w:lvlText w:val="%1.%2.%3."/>
      <w:lvlJc w:val="left"/>
      <w:pPr>
        <w:tabs>
          <w:tab w:val="left" w:pos="1843"/>
        </w:tabs>
        <w:ind w:left="1843"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4D2C4762"/>
    <w:multiLevelType w:val="multilevel"/>
    <w:tmpl w:val="4D2C4762"/>
    <w:lvl w:ilvl="0" w:tentative="0">
      <w:start w:val="1"/>
      <w:numFmt w:val="decimal"/>
      <w:lvlText w:val="（%1）"/>
      <w:lvlJc w:val="left"/>
      <w:pPr>
        <w:ind w:left="1113" w:hanging="534"/>
      </w:pPr>
      <w:rPr>
        <w:rFonts w:hint="default" w:ascii="宋体" w:hAnsi="宋体" w:eastAsia="宋体" w:cs="宋体"/>
        <w:color w:val="0D0D0D"/>
        <w:spacing w:val="0"/>
        <w:w w:val="100"/>
        <w:sz w:val="24"/>
        <w:szCs w:val="24"/>
        <w:lang w:val="zh-CN" w:eastAsia="zh-CN" w:bidi="zh-CN"/>
      </w:rPr>
    </w:lvl>
    <w:lvl w:ilvl="1" w:tentative="0">
      <w:start w:val="0"/>
      <w:numFmt w:val="bullet"/>
      <w:lvlText w:val="•"/>
      <w:lvlJc w:val="left"/>
      <w:pPr>
        <w:ind w:left="2034" w:hanging="534"/>
      </w:pPr>
      <w:rPr>
        <w:rFonts w:hint="default"/>
        <w:lang w:val="zh-CN" w:eastAsia="zh-CN" w:bidi="zh-CN"/>
      </w:rPr>
    </w:lvl>
    <w:lvl w:ilvl="2" w:tentative="0">
      <w:start w:val="0"/>
      <w:numFmt w:val="bullet"/>
      <w:lvlText w:val="•"/>
      <w:lvlJc w:val="left"/>
      <w:pPr>
        <w:ind w:left="2949" w:hanging="534"/>
      </w:pPr>
      <w:rPr>
        <w:rFonts w:hint="default"/>
        <w:lang w:val="zh-CN" w:eastAsia="zh-CN" w:bidi="zh-CN"/>
      </w:rPr>
    </w:lvl>
    <w:lvl w:ilvl="3" w:tentative="0">
      <w:start w:val="0"/>
      <w:numFmt w:val="bullet"/>
      <w:lvlText w:val="•"/>
      <w:lvlJc w:val="left"/>
      <w:pPr>
        <w:ind w:left="3863" w:hanging="534"/>
      </w:pPr>
      <w:rPr>
        <w:rFonts w:hint="default"/>
        <w:lang w:val="zh-CN" w:eastAsia="zh-CN" w:bidi="zh-CN"/>
      </w:rPr>
    </w:lvl>
    <w:lvl w:ilvl="4" w:tentative="0">
      <w:start w:val="0"/>
      <w:numFmt w:val="bullet"/>
      <w:lvlText w:val="•"/>
      <w:lvlJc w:val="left"/>
      <w:pPr>
        <w:ind w:left="4778" w:hanging="534"/>
      </w:pPr>
      <w:rPr>
        <w:rFonts w:hint="default"/>
        <w:lang w:val="zh-CN" w:eastAsia="zh-CN" w:bidi="zh-CN"/>
      </w:rPr>
    </w:lvl>
    <w:lvl w:ilvl="5" w:tentative="0">
      <w:start w:val="0"/>
      <w:numFmt w:val="bullet"/>
      <w:lvlText w:val="•"/>
      <w:lvlJc w:val="left"/>
      <w:pPr>
        <w:ind w:left="5693" w:hanging="534"/>
      </w:pPr>
      <w:rPr>
        <w:rFonts w:hint="default"/>
        <w:lang w:val="zh-CN" w:eastAsia="zh-CN" w:bidi="zh-CN"/>
      </w:rPr>
    </w:lvl>
    <w:lvl w:ilvl="6" w:tentative="0">
      <w:start w:val="0"/>
      <w:numFmt w:val="bullet"/>
      <w:lvlText w:val="•"/>
      <w:lvlJc w:val="left"/>
      <w:pPr>
        <w:ind w:left="6607" w:hanging="534"/>
      </w:pPr>
      <w:rPr>
        <w:rFonts w:hint="default"/>
        <w:lang w:val="zh-CN" w:eastAsia="zh-CN" w:bidi="zh-CN"/>
      </w:rPr>
    </w:lvl>
    <w:lvl w:ilvl="7" w:tentative="0">
      <w:start w:val="0"/>
      <w:numFmt w:val="bullet"/>
      <w:lvlText w:val="•"/>
      <w:lvlJc w:val="left"/>
      <w:pPr>
        <w:ind w:left="7522" w:hanging="534"/>
      </w:pPr>
      <w:rPr>
        <w:rFonts w:hint="default"/>
        <w:lang w:val="zh-CN" w:eastAsia="zh-CN" w:bidi="zh-CN"/>
      </w:rPr>
    </w:lvl>
    <w:lvl w:ilvl="8" w:tentative="0">
      <w:start w:val="0"/>
      <w:numFmt w:val="bullet"/>
      <w:lvlText w:val="•"/>
      <w:lvlJc w:val="left"/>
      <w:pPr>
        <w:ind w:left="8437" w:hanging="534"/>
      </w:pPr>
      <w:rPr>
        <w:rFonts w:hint="default"/>
        <w:lang w:val="zh-CN" w:eastAsia="zh-CN" w:bidi="zh-CN"/>
      </w:rPr>
    </w:lvl>
  </w:abstractNum>
  <w:abstractNum w:abstractNumId="7">
    <w:nsid w:val="699E1B6E"/>
    <w:multiLevelType w:val="multilevel"/>
    <w:tmpl w:val="699E1B6E"/>
    <w:lvl w:ilvl="0" w:tentative="0">
      <w:start w:val="1"/>
      <w:numFmt w:val="decimal"/>
      <w:lvlText w:val="%1."/>
      <w:lvlJc w:val="left"/>
      <w:pPr>
        <w:ind w:left="1000"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4620" w:hanging="360"/>
      </w:pPr>
      <w:rPr>
        <w:rFonts w:hint="default"/>
        <w:lang w:val="zh-CN" w:eastAsia="zh-CN" w:bidi="zh-CN"/>
      </w:rPr>
    </w:lvl>
    <w:lvl w:ilvl="2" w:tentative="0">
      <w:start w:val="0"/>
      <w:numFmt w:val="bullet"/>
      <w:lvlText w:val="•"/>
      <w:lvlJc w:val="left"/>
      <w:pPr>
        <w:ind w:left="5247" w:hanging="360"/>
      </w:pPr>
      <w:rPr>
        <w:rFonts w:hint="default"/>
        <w:lang w:val="zh-CN" w:eastAsia="zh-CN" w:bidi="zh-CN"/>
      </w:rPr>
    </w:lvl>
    <w:lvl w:ilvl="3" w:tentative="0">
      <w:start w:val="0"/>
      <w:numFmt w:val="bullet"/>
      <w:lvlText w:val="•"/>
      <w:lvlJc w:val="left"/>
      <w:pPr>
        <w:ind w:left="5874" w:hanging="360"/>
      </w:pPr>
      <w:rPr>
        <w:rFonts w:hint="default"/>
        <w:lang w:val="zh-CN" w:eastAsia="zh-CN" w:bidi="zh-CN"/>
      </w:rPr>
    </w:lvl>
    <w:lvl w:ilvl="4" w:tentative="0">
      <w:start w:val="0"/>
      <w:numFmt w:val="bullet"/>
      <w:lvlText w:val="•"/>
      <w:lvlJc w:val="left"/>
      <w:pPr>
        <w:ind w:left="6502" w:hanging="360"/>
      </w:pPr>
      <w:rPr>
        <w:rFonts w:hint="default"/>
        <w:lang w:val="zh-CN" w:eastAsia="zh-CN" w:bidi="zh-CN"/>
      </w:rPr>
    </w:lvl>
    <w:lvl w:ilvl="5" w:tentative="0">
      <w:start w:val="0"/>
      <w:numFmt w:val="bullet"/>
      <w:lvlText w:val="•"/>
      <w:lvlJc w:val="left"/>
      <w:pPr>
        <w:ind w:left="7129" w:hanging="360"/>
      </w:pPr>
      <w:rPr>
        <w:rFonts w:hint="default"/>
        <w:lang w:val="zh-CN" w:eastAsia="zh-CN" w:bidi="zh-CN"/>
      </w:rPr>
    </w:lvl>
    <w:lvl w:ilvl="6" w:tentative="0">
      <w:start w:val="0"/>
      <w:numFmt w:val="bullet"/>
      <w:lvlText w:val="•"/>
      <w:lvlJc w:val="left"/>
      <w:pPr>
        <w:ind w:left="7756" w:hanging="360"/>
      </w:pPr>
      <w:rPr>
        <w:rFonts w:hint="default"/>
        <w:lang w:val="zh-CN" w:eastAsia="zh-CN" w:bidi="zh-CN"/>
      </w:rPr>
    </w:lvl>
    <w:lvl w:ilvl="7" w:tentative="0">
      <w:start w:val="0"/>
      <w:numFmt w:val="bullet"/>
      <w:lvlText w:val="•"/>
      <w:lvlJc w:val="left"/>
      <w:pPr>
        <w:ind w:left="8384" w:hanging="360"/>
      </w:pPr>
      <w:rPr>
        <w:rFonts w:hint="default"/>
        <w:lang w:val="zh-CN" w:eastAsia="zh-CN" w:bidi="zh-CN"/>
      </w:rPr>
    </w:lvl>
    <w:lvl w:ilvl="8" w:tentative="0">
      <w:start w:val="0"/>
      <w:numFmt w:val="bullet"/>
      <w:lvlText w:val="•"/>
      <w:lvlJc w:val="left"/>
      <w:pPr>
        <w:ind w:left="9011" w:hanging="360"/>
      </w:pPr>
      <w:rPr>
        <w:rFonts w:hint="default"/>
        <w:lang w:val="zh-CN" w:eastAsia="zh-CN" w:bidi="zh-CN"/>
      </w:rPr>
    </w:lvl>
  </w:abstractNum>
  <w:abstractNum w:abstractNumId="8">
    <w:nsid w:val="6DA3561B"/>
    <w:multiLevelType w:val="multilevel"/>
    <w:tmpl w:val="6DA3561B"/>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E451AC8"/>
    <w:multiLevelType w:val="multilevel"/>
    <w:tmpl w:val="6E451AC8"/>
    <w:lvl w:ilvl="0" w:tentative="0">
      <w:start w:val="1"/>
      <w:numFmt w:val="decimal"/>
      <w:lvlText w:val="%1."/>
      <w:lvlJc w:val="left"/>
      <w:pPr>
        <w:ind w:left="881"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818" w:hanging="241"/>
      </w:pPr>
      <w:rPr>
        <w:rFonts w:hint="default"/>
        <w:lang w:val="zh-CN" w:eastAsia="zh-CN" w:bidi="zh-CN"/>
      </w:rPr>
    </w:lvl>
    <w:lvl w:ilvl="2" w:tentative="0">
      <w:start w:val="0"/>
      <w:numFmt w:val="bullet"/>
      <w:lvlText w:val="•"/>
      <w:lvlJc w:val="left"/>
      <w:pPr>
        <w:ind w:left="2757" w:hanging="241"/>
      </w:pPr>
      <w:rPr>
        <w:rFonts w:hint="default"/>
        <w:lang w:val="zh-CN" w:eastAsia="zh-CN" w:bidi="zh-CN"/>
      </w:rPr>
    </w:lvl>
    <w:lvl w:ilvl="3" w:tentative="0">
      <w:start w:val="0"/>
      <w:numFmt w:val="bullet"/>
      <w:lvlText w:val="•"/>
      <w:lvlJc w:val="left"/>
      <w:pPr>
        <w:ind w:left="3695" w:hanging="241"/>
      </w:pPr>
      <w:rPr>
        <w:rFonts w:hint="default"/>
        <w:lang w:val="zh-CN" w:eastAsia="zh-CN" w:bidi="zh-CN"/>
      </w:rPr>
    </w:lvl>
    <w:lvl w:ilvl="4" w:tentative="0">
      <w:start w:val="0"/>
      <w:numFmt w:val="bullet"/>
      <w:lvlText w:val="•"/>
      <w:lvlJc w:val="left"/>
      <w:pPr>
        <w:ind w:left="4634" w:hanging="241"/>
      </w:pPr>
      <w:rPr>
        <w:rFonts w:hint="default"/>
        <w:lang w:val="zh-CN" w:eastAsia="zh-CN" w:bidi="zh-CN"/>
      </w:rPr>
    </w:lvl>
    <w:lvl w:ilvl="5" w:tentative="0">
      <w:start w:val="0"/>
      <w:numFmt w:val="bullet"/>
      <w:lvlText w:val="•"/>
      <w:lvlJc w:val="left"/>
      <w:pPr>
        <w:ind w:left="5573" w:hanging="241"/>
      </w:pPr>
      <w:rPr>
        <w:rFonts w:hint="default"/>
        <w:lang w:val="zh-CN" w:eastAsia="zh-CN" w:bidi="zh-CN"/>
      </w:rPr>
    </w:lvl>
    <w:lvl w:ilvl="6" w:tentative="0">
      <w:start w:val="0"/>
      <w:numFmt w:val="bullet"/>
      <w:lvlText w:val="•"/>
      <w:lvlJc w:val="left"/>
      <w:pPr>
        <w:ind w:left="6511" w:hanging="241"/>
      </w:pPr>
      <w:rPr>
        <w:rFonts w:hint="default"/>
        <w:lang w:val="zh-CN" w:eastAsia="zh-CN" w:bidi="zh-CN"/>
      </w:rPr>
    </w:lvl>
    <w:lvl w:ilvl="7" w:tentative="0">
      <w:start w:val="0"/>
      <w:numFmt w:val="bullet"/>
      <w:lvlText w:val="•"/>
      <w:lvlJc w:val="left"/>
      <w:pPr>
        <w:ind w:left="7450" w:hanging="241"/>
      </w:pPr>
      <w:rPr>
        <w:rFonts w:hint="default"/>
        <w:lang w:val="zh-CN" w:eastAsia="zh-CN" w:bidi="zh-CN"/>
      </w:rPr>
    </w:lvl>
    <w:lvl w:ilvl="8" w:tentative="0">
      <w:start w:val="0"/>
      <w:numFmt w:val="bullet"/>
      <w:lvlText w:val="•"/>
      <w:lvlJc w:val="left"/>
      <w:pPr>
        <w:ind w:left="8389" w:hanging="241"/>
      </w:pPr>
      <w:rPr>
        <w:rFonts w:hint="default"/>
        <w:lang w:val="zh-CN" w:eastAsia="zh-CN" w:bidi="zh-CN"/>
      </w:rPr>
    </w:lvl>
  </w:abstractNum>
  <w:abstractNum w:abstractNumId="10">
    <w:nsid w:val="6FDD3840"/>
    <w:multiLevelType w:val="multilevel"/>
    <w:tmpl w:val="6FDD3840"/>
    <w:lvl w:ilvl="0" w:tentative="0">
      <w:start w:val="1"/>
      <w:numFmt w:val="decimalEnclosedCircle"/>
      <w:lvlText w:val="%1"/>
      <w:lvlJc w:val="left"/>
      <w:pPr>
        <w:tabs>
          <w:tab w:val="left" w:pos="3092"/>
        </w:tabs>
        <w:ind w:left="3092" w:hanging="360"/>
      </w:pPr>
      <w:rPr>
        <w:rFonts w:hint="default" w:ascii="宋体"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07B6B74"/>
    <w:multiLevelType w:val="multilevel"/>
    <w:tmpl w:val="707B6B74"/>
    <w:lvl w:ilvl="0" w:tentative="0">
      <w:start w:val="1"/>
      <w:numFmt w:val="decimal"/>
      <w:lvlText w:val="（%1）"/>
      <w:lvlJc w:val="left"/>
      <w:pPr>
        <w:ind w:left="1500" w:hanging="529"/>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2376" w:hanging="529"/>
      </w:pPr>
      <w:rPr>
        <w:rFonts w:hint="default"/>
        <w:lang w:val="zh-CN" w:eastAsia="zh-CN" w:bidi="zh-CN"/>
      </w:rPr>
    </w:lvl>
    <w:lvl w:ilvl="2" w:tentative="0">
      <w:start w:val="0"/>
      <w:numFmt w:val="bullet"/>
      <w:lvlText w:val="•"/>
      <w:lvlJc w:val="left"/>
      <w:pPr>
        <w:ind w:left="3253" w:hanging="529"/>
      </w:pPr>
      <w:rPr>
        <w:rFonts w:hint="default"/>
        <w:lang w:val="zh-CN" w:eastAsia="zh-CN" w:bidi="zh-CN"/>
      </w:rPr>
    </w:lvl>
    <w:lvl w:ilvl="3" w:tentative="0">
      <w:start w:val="0"/>
      <w:numFmt w:val="bullet"/>
      <w:lvlText w:val="•"/>
      <w:lvlJc w:val="left"/>
      <w:pPr>
        <w:ind w:left="4129" w:hanging="529"/>
      </w:pPr>
      <w:rPr>
        <w:rFonts w:hint="default"/>
        <w:lang w:val="zh-CN" w:eastAsia="zh-CN" w:bidi="zh-CN"/>
      </w:rPr>
    </w:lvl>
    <w:lvl w:ilvl="4" w:tentative="0">
      <w:start w:val="0"/>
      <w:numFmt w:val="bullet"/>
      <w:lvlText w:val="•"/>
      <w:lvlJc w:val="left"/>
      <w:pPr>
        <w:ind w:left="5006" w:hanging="529"/>
      </w:pPr>
      <w:rPr>
        <w:rFonts w:hint="default"/>
        <w:lang w:val="zh-CN" w:eastAsia="zh-CN" w:bidi="zh-CN"/>
      </w:rPr>
    </w:lvl>
    <w:lvl w:ilvl="5" w:tentative="0">
      <w:start w:val="0"/>
      <w:numFmt w:val="bullet"/>
      <w:lvlText w:val="•"/>
      <w:lvlJc w:val="left"/>
      <w:pPr>
        <w:ind w:left="5883" w:hanging="529"/>
      </w:pPr>
      <w:rPr>
        <w:rFonts w:hint="default"/>
        <w:lang w:val="zh-CN" w:eastAsia="zh-CN" w:bidi="zh-CN"/>
      </w:rPr>
    </w:lvl>
    <w:lvl w:ilvl="6" w:tentative="0">
      <w:start w:val="0"/>
      <w:numFmt w:val="bullet"/>
      <w:lvlText w:val="•"/>
      <w:lvlJc w:val="left"/>
      <w:pPr>
        <w:ind w:left="6759" w:hanging="529"/>
      </w:pPr>
      <w:rPr>
        <w:rFonts w:hint="default"/>
        <w:lang w:val="zh-CN" w:eastAsia="zh-CN" w:bidi="zh-CN"/>
      </w:rPr>
    </w:lvl>
    <w:lvl w:ilvl="7" w:tentative="0">
      <w:start w:val="0"/>
      <w:numFmt w:val="bullet"/>
      <w:lvlText w:val="•"/>
      <w:lvlJc w:val="left"/>
      <w:pPr>
        <w:ind w:left="7636" w:hanging="529"/>
      </w:pPr>
      <w:rPr>
        <w:rFonts w:hint="default"/>
        <w:lang w:val="zh-CN" w:eastAsia="zh-CN" w:bidi="zh-CN"/>
      </w:rPr>
    </w:lvl>
    <w:lvl w:ilvl="8" w:tentative="0">
      <w:start w:val="0"/>
      <w:numFmt w:val="bullet"/>
      <w:lvlText w:val="•"/>
      <w:lvlJc w:val="left"/>
      <w:pPr>
        <w:ind w:left="8513" w:hanging="529"/>
      </w:pPr>
      <w:rPr>
        <w:rFonts w:hint="default"/>
        <w:lang w:val="zh-CN" w:eastAsia="zh-CN" w:bidi="zh-CN"/>
      </w:rPr>
    </w:lvl>
  </w:abstractNum>
  <w:abstractNum w:abstractNumId="12">
    <w:nsid w:val="73CA4AE1"/>
    <w:multiLevelType w:val="multilevel"/>
    <w:tmpl w:val="73CA4AE1"/>
    <w:lvl w:ilvl="0" w:tentative="0">
      <w:start w:val="1"/>
      <w:numFmt w:val="decimal"/>
      <w:lvlText w:val="7.%1"/>
      <w:lvlJc w:val="left"/>
      <w:pPr>
        <w:ind w:left="420" w:hanging="420"/>
      </w:pPr>
      <w:rPr>
        <w:rFonts w:hint="eastAsia"/>
      </w:rPr>
    </w:lvl>
    <w:lvl w:ilvl="1" w:tentative="0">
      <w:start w:val="1"/>
      <w:numFmt w:val="decimal"/>
      <w:lvlText w:val="%2、"/>
      <w:lvlJc w:val="left"/>
      <w:pPr>
        <w:ind w:left="795" w:hanging="375"/>
      </w:pPr>
      <w:rPr>
        <w:rFonts w:hint="default" w:ascii="Times New Roman" w:hAnsi="Times New Roman" w:eastAsia="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91574CE"/>
    <w:multiLevelType w:val="multilevel"/>
    <w:tmpl w:val="791574CE"/>
    <w:lvl w:ilvl="0" w:tentative="0">
      <w:start w:val="1"/>
      <w:numFmt w:val="decimal"/>
      <w:lvlText w:val="（%1）"/>
      <w:lvlJc w:val="left"/>
      <w:pPr>
        <w:ind w:left="636" w:hanging="529"/>
      </w:pPr>
      <w:rPr>
        <w:rFonts w:hint="default" w:ascii="宋体" w:hAnsi="宋体" w:eastAsia="宋体" w:cs="宋体"/>
        <w:spacing w:val="-3"/>
        <w:w w:val="100"/>
        <w:sz w:val="24"/>
        <w:szCs w:val="24"/>
        <w:lang w:val="zh-CN" w:eastAsia="zh-CN" w:bidi="zh-CN"/>
      </w:rPr>
    </w:lvl>
    <w:lvl w:ilvl="1" w:tentative="0">
      <w:start w:val="0"/>
      <w:numFmt w:val="bullet"/>
      <w:lvlText w:val="•"/>
      <w:lvlJc w:val="left"/>
      <w:pPr>
        <w:ind w:left="1451" w:hanging="529"/>
      </w:pPr>
      <w:rPr>
        <w:rFonts w:hint="default"/>
        <w:lang w:val="zh-CN" w:eastAsia="zh-CN" w:bidi="zh-CN"/>
      </w:rPr>
    </w:lvl>
    <w:lvl w:ilvl="2" w:tentative="0">
      <w:start w:val="0"/>
      <w:numFmt w:val="bullet"/>
      <w:lvlText w:val="•"/>
      <w:lvlJc w:val="left"/>
      <w:pPr>
        <w:ind w:left="2263" w:hanging="529"/>
      </w:pPr>
      <w:rPr>
        <w:rFonts w:hint="default"/>
        <w:lang w:val="zh-CN" w:eastAsia="zh-CN" w:bidi="zh-CN"/>
      </w:rPr>
    </w:lvl>
    <w:lvl w:ilvl="3" w:tentative="0">
      <w:start w:val="0"/>
      <w:numFmt w:val="bullet"/>
      <w:lvlText w:val="•"/>
      <w:lvlJc w:val="left"/>
      <w:pPr>
        <w:ind w:left="3075" w:hanging="529"/>
      </w:pPr>
      <w:rPr>
        <w:rFonts w:hint="default"/>
        <w:lang w:val="zh-CN" w:eastAsia="zh-CN" w:bidi="zh-CN"/>
      </w:rPr>
    </w:lvl>
    <w:lvl w:ilvl="4" w:tentative="0">
      <w:start w:val="0"/>
      <w:numFmt w:val="bullet"/>
      <w:lvlText w:val="•"/>
      <w:lvlJc w:val="left"/>
      <w:pPr>
        <w:ind w:left="3886" w:hanging="529"/>
      </w:pPr>
      <w:rPr>
        <w:rFonts w:hint="default"/>
        <w:lang w:val="zh-CN" w:eastAsia="zh-CN" w:bidi="zh-CN"/>
      </w:rPr>
    </w:lvl>
    <w:lvl w:ilvl="5" w:tentative="0">
      <w:start w:val="0"/>
      <w:numFmt w:val="bullet"/>
      <w:lvlText w:val="•"/>
      <w:lvlJc w:val="left"/>
      <w:pPr>
        <w:ind w:left="4698" w:hanging="529"/>
      </w:pPr>
      <w:rPr>
        <w:rFonts w:hint="default"/>
        <w:lang w:val="zh-CN" w:eastAsia="zh-CN" w:bidi="zh-CN"/>
      </w:rPr>
    </w:lvl>
    <w:lvl w:ilvl="6" w:tentative="0">
      <w:start w:val="0"/>
      <w:numFmt w:val="bullet"/>
      <w:lvlText w:val="•"/>
      <w:lvlJc w:val="left"/>
      <w:pPr>
        <w:ind w:left="5510" w:hanging="529"/>
      </w:pPr>
      <w:rPr>
        <w:rFonts w:hint="default"/>
        <w:lang w:val="zh-CN" w:eastAsia="zh-CN" w:bidi="zh-CN"/>
      </w:rPr>
    </w:lvl>
    <w:lvl w:ilvl="7" w:tentative="0">
      <w:start w:val="0"/>
      <w:numFmt w:val="bullet"/>
      <w:lvlText w:val="•"/>
      <w:lvlJc w:val="left"/>
      <w:pPr>
        <w:ind w:left="6321" w:hanging="529"/>
      </w:pPr>
      <w:rPr>
        <w:rFonts w:hint="default"/>
        <w:lang w:val="zh-CN" w:eastAsia="zh-CN" w:bidi="zh-CN"/>
      </w:rPr>
    </w:lvl>
    <w:lvl w:ilvl="8" w:tentative="0">
      <w:start w:val="0"/>
      <w:numFmt w:val="bullet"/>
      <w:lvlText w:val="•"/>
      <w:lvlJc w:val="left"/>
      <w:pPr>
        <w:ind w:left="7133" w:hanging="529"/>
      </w:pPr>
      <w:rPr>
        <w:rFonts w:hint="default"/>
        <w:lang w:val="zh-CN" w:eastAsia="zh-CN" w:bidi="zh-CN"/>
      </w:rPr>
    </w:lvl>
  </w:abstractNum>
  <w:abstractNum w:abstractNumId="14">
    <w:nsid w:val="79B7274F"/>
    <w:multiLevelType w:val="multilevel"/>
    <w:tmpl w:val="79B7274F"/>
    <w:lvl w:ilvl="0" w:tentative="0">
      <w:start w:val="1"/>
      <w:numFmt w:val="japaneseCounting"/>
      <w:lvlText w:val="%1、"/>
      <w:lvlJc w:val="left"/>
      <w:pPr>
        <w:tabs>
          <w:tab w:val="left" w:pos="2159"/>
        </w:tabs>
        <w:ind w:left="2159" w:hanging="720"/>
      </w:pPr>
      <w:rPr>
        <w:rFonts w:hint="eastAsia"/>
        <w:sz w:val="32"/>
        <w:szCs w:val="32"/>
      </w:rPr>
    </w:lvl>
    <w:lvl w:ilvl="1" w:tentative="0">
      <w:start w:val="1"/>
      <w:numFmt w:val="lowerLetter"/>
      <w:lvlText w:val="%2)"/>
      <w:lvlJc w:val="left"/>
      <w:pPr>
        <w:tabs>
          <w:tab w:val="left" w:pos="610"/>
        </w:tabs>
        <w:ind w:left="610" w:hanging="420"/>
      </w:pPr>
    </w:lvl>
    <w:lvl w:ilvl="2" w:tentative="0">
      <w:start w:val="1"/>
      <w:numFmt w:val="lowerRoman"/>
      <w:lvlText w:val="%3."/>
      <w:lvlJc w:val="right"/>
      <w:pPr>
        <w:tabs>
          <w:tab w:val="left" w:pos="1030"/>
        </w:tabs>
        <w:ind w:left="1030" w:hanging="420"/>
      </w:pPr>
    </w:lvl>
    <w:lvl w:ilvl="3" w:tentative="0">
      <w:start w:val="1"/>
      <w:numFmt w:val="decimal"/>
      <w:lvlText w:val="%4."/>
      <w:lvlJc w:val="left"/>
      <w:pPr>
        <w:tabs>
          <w:tab w:val="left" w:pos="1450"/>
        </w:tabs>
        <w:ind w:left="1450" w:hanging="420"/>
      </w:pPr>
    </w:lvl>
    <w:lvl w:ilvl="4" w:tentative="0">
      <w:start w:val="1"/>
      <w:numFmt w:val="lowerLetter"/>
      <w:lvlText w:val="%5)"/>
      <w:lvlJc w:val="left"/>
      <w:pPr>
        <w:tabs>
          <w:tab w:val="left" w:pos="1870"/>
        </w:tabs>
        <w:ind w:left="1870" w:hanging="420"/>
      </w:pPr>
    </w:lvl>
    <w:lvl w:ilvl="5" w:tentative="0">
      <w:start w:val="1"/>
      <w:numFmt w:val="lowerRoman"/>
      <w:lvlText w:val="%6."/>
      <w:lvlJc w:val="right"/>
      <w:pPr>
        <w:tabs>
          <w:tab w:val="left" w:pos="2290"/>
        </w:tabs>
        <w:ind w:left="2290" w:hanging="420"/>
      </w:pPr>
    </w:lvl>
    <w:lvl w:ilvl="6" w:tentative="0">
      <w:start w:val="1"/>
      <w:numFmt w:val="decimal"/>
      <w:lvlText w:val="%7."/>
      <w:lvlJc w:val="left"/>
      <w:pPr>
        <w:tabs>
          <w:tab w:val="left" w:pos="2710"/>
        </w:tabs>
        <w:ind w:left="2710" w:hanging="420"/>
      </w:pPr>
    </w:lvl>
    <w:lvl w:ilvl="7" w:tentative="0">
      <w:start w:val="1"/>
      <w:numFmt w:val="lowerLetter"/>
      <w:lvlText w:val="%8)"/>
      <w:lvlJc w:val="left"/>
      <w:pPr>
        <w:tabs>
          <w:tab w:val="left" w:pos="3130"/>
        </w:tabs>
        <w:ind w:left="3130" w:hanging="420"/>
      </w:pPr>
    </w:lvl>
    <w:lvl w:ilvl="8" w:tentative="0">
      <w:start w:val="1"/>
      <w:numFmt w:val="lowerRoman"/>
      <w:lvlText w:val="%9."/>
      <w:lvlJc w:val="right"/>
      <w:pPr>
        <w:tabs>
          <w:tab w:val="left" w:pos="3550"/>
        </w:tabs>
        <w:ind w:left="3550" w:hanging="420"/>
      </w:pPr>
    </w:lvl>
  </w:abstractNum>
  <w:num w:numId="1">
    <w:abstractNumId w:val="5"/>
  </w:num>
  <w:num w:numId="2">
    <w:abstractNumId w:val="8"/>
  </w:num>
  <w:num w:numId="3">
    <w:abstractNumId w:val="10"/>
  </w:num>
  <w:num w:numId="4">
    <w:abstractNumId w:val="13"/>
  </w:num>
  <w:num w:numId="5">
    <w:abstractNumId w:val="4"/>
  </w:num>
  <w:num w:numId="6">
    <w:abstractNumId w:val="3"/>
  </w:num>
  <w:num w:numId="7">
    <w:abstractNumId w:val="1"/>
  </w:num>
  <w:num w:numId="8">
    <w:abstractNumId w:val="6"/>
  </w:num>
  <w:num w:numId="9">
    <w:abstractNumId w:val="11"/>
  </w:num>
  <w:num w:numId="10">
    <w:abstractNumId w:val="0"/>
  </w:num>
  <w:num w:numId="11">
    <w:abstractNumId w:val="14"/>
  </w:num>
  <w:num w:numId="12">
    <w:abstractNumId w:val="12"/>
  </w:num>
  <w:num w:numId="13">
    <w:abstractNumId w:val="2"/>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OTE1YzY4NDQ4M2MzYWI5YmI1MTYxM2ExY2FlNGQifQ=="/>
  </w:docVars>
  <w:rsids>
    <w:rsidRoot w:val="00172A27"/>
    <w:rsid w:val="000004DD"/>
    <w:rsid w:val="000007A4"/>
    <w:rsid w:val="00003174"/>
    <w:rsid w:val="00004868"/>
    <w:rsid w:val="00005269"/>
    <w:rsid w:val="00010E23"/>
    <w:rsid w:val="000112B1"/>
    <w:rsid w:val="000121C9"/>
    <w:rsid w:val="000153C3"/>
    <w:rsid w:val="00016AAC"/>
    <w:rsid w:val="00017044"/>
    <w:rsid w:val="00020A90"/>
    <w:rsid w:val="0002126F"/>
    <w:rsid w:val="0002150B"/>
    <w:rsid w:val="00021BB3"/>
    <w:rsid w:val="000222C9"/>
    <w:rsid w:val="00022B39"/>
    <w:rsid w:val="00022C18"/>
    <w:rsid w:val="00022F35"/>
    <w:rsid w:val="000252AE"/>
    <w:rsid w:val="000255AE"/>
    <w:rsid w:val="000269E3"/>
    <w:rsid w:val="0003100A"/>
    <w:rsid w:val="00031EC3"/>
    <w:rsid w:val="000331B5"/>
    <w:rsid w:val="0003379B"/>
    <w:rsid w:val="00034AB9"/>
    <w:rsid w:val="00037318"/>
    <w:rsid w:val="00040D7D"/>
    <w:rsid w:val="000413C8"/>
    <w:rsid w:val="00042D2D"/>
    <w:rsid w:val="00042DFB"/>
    <w:rsid w:val="00044E30"/>
    <w:rsid w:val="0004642C"/>
    <w:rsid w:val="0004759A"/>
    <w:rsid w:val="00053A7A"/>
    <w:rsid w:val="00056604"/>
    <w:rsid w:val="000578D8"/>
    <w:rsid w:val="00060420"/>
    <w:rsid w:val="000610FF"/>
    <w:rsid w:val="0006388B"/>
    <w:rsid w:val="000703BF"/>
    <w:rsid w:val="00071793"/>
    <w:rsid w:val="0007575A"/>
    <w:rsid w:val="00076F62"/>
    <w:rsid w:val="00077A40"/>
    <w:rsid w:val="000812E9"/>
    <w:rsid w:val="00081923"/>
    <w:rsid w:val="00083457"/>
    <w:rsid w:val="000837B0"/>
    <w:rsid w:val="00083CE4"/>
    <w:rsid w:val="000840CD"/>
    <w:rsid w:val="00090C5C"/>
    <w:rsid w:val="00091D15"/>
    <w:rsid w:val="00091FDC"/>
    <w:rsid w:val="00094898"/>
    <w:rsid w:val="00097560"/>
    <w:rsid w:val="00097B17"/>
    <w:rsid w:val="000A1EA1"/>
    <w:rsid w:val="000A31C9"/>
    <w:rsid w:val="000A3EFE"/>
    <w:rsid w:val="000A471C"/>
    <w:rsid w:val="000B2FE3"/>
    <w:rsid w:val="000C045F"/>
    <w:rsid w:val="000C2366"/>
    <w:rsid w:val="000C3D78"/>
    <w:rsid w:val="000C40C0"/>
    <w:rsid w:val="000C41D4"/>
    <w:rsid w:val="000D1E31"/>
    <w:rsid w:val="000D2256"/>
    <w:rsid w:val="000D451A"/>
    <w:rsid w:val="000D5110"/>
    <w:rsid w:val="000D5954"/>
    <w:rsid w:val="000D7576"/>
    <w:rsid w:val="000D7D84"/>
    <w:rsid w:val="000E0229"/>
    <w:rsid w:val="000E02EF"/>
    <w:rsid w:val="000E156E"/>
    <w:rsid w:val="000E363A"/>
    <w:rsid w:val="000E4107"/>
    <w:rsid w:val="000E4671"/>
    <w:rsid w:val="000E5FBA"/>
    <w:rsid w:val="000E6D55"/>
    <w:rsid w:val="000E7539"/>
    <w:rsid w:val="000F0932"/>
    <w:rsid w:val="000F14C0"/>
    <w:rsid w:val="000F1779"/>
    <w:rsid w:val="000F2EE6"/>
    <w:rsid w:val="000F4A05"/>
    <w:rsid w:val="00104D72"/>
    <w:rsid w:val="0010525D"/>
    <w:rsid w:val="00106983"/>
    <w:rsid w:val="001074D8"/>
    <w:rsid w:val="00112041"/>
    <w:rsid w:val="0011221F"/>
    <w:rsid w:val="00112B87"/>
    <w:rsid w:val="001130D4"/>
    <w:rsid w:val="001131F3"/>
    <w:rsid w:val="00113808"/>
    <w:rsid w:val="00113B37"/>
    <w:rsid w:val="00113C49"/>
    <w:rsid w:val="00114F1D"/>
    <w:rsid w:val="001158F8"/>
    <w:rsid w:val="00117EE2"/>
    <w:rsid w:val="00120085"/>
    <w:rsid w:val="00121976"/>
    <w:rsid w:val="001235DD"/>
    <w:rsid w:val="001250FC"/>
    <w:rsid w:val="00125113"/>
    <w:rsid w:val="00130120"/>
    <w:rsid w:val="0013496C"/>
    <w:rsid w:val="001370AC"/>
    <w:rsid w:val="00140FCC"/>
    <w:rsid w:val="00141A3D"/>
    <w:rsid w:val="00143AF1"/>
    <w:rsid w:val="0014409B"/>
    <w:rsid w:val="001457C7"/>
    <w:rsid w:val="001457D7"/>
    <w:rsid w:val="00145CDD"/>
    <w:rsid w:val="00146403"/>
    <w:rsid w:val="001466BC"/>
    <w:rsid w:val="00146903"/>
    <w:rsid w:val="00146E58"/>
    <w:rsid w:val="00147241"/>
    <w:rsid w:val="001475D5"/>
    <w:rsid w:val="00147B69"/>
    <w:rsid w:val="001517E8"/>
    <w:rsid w:val="00152651"/>
    <w:rsid w:val="0015333A"/>
    <w:rsid w:val="0015377A"/>
    <w:rsid w:val="0015418D"/>
    <w:rsid w:val="0015421F"/>
    <w:rsid w:val="00156625"/>
    <w:rsid w:val="001603D1"/>
    <w:rsid w:val="00162454"/>
    <w:rsid w:val="00162482"/>
    <w:rsid w:val="0016265F"/>
    <w:rsid w:val="00163146"/>
    <w:rsid w:val="001644F8"/>
    <w:rsid w:val="00164FF1"/>
    <w:rsid w:val="0016541C"/>
    <w:rsid w:val="00165A34"/>
    <w:rsid w:val="0017275B"/>
    <w:rsid w:val="00172A27"/>
    <w:rsid w:val="00172B3B"/>
    <w:rsid w:val="00174AF5"/>
    <w:rsid w:val="001769BF"/>
    <w:rsid w:val="001770B6"/>
    <w:rsid w:val="001776C8"/>
    <w:rsid w:val="00180B9C"/>
    <w:rsid w:val="001817B6"/>
    <w:rsid w:val="001818BE"/>
    <w:rsid w:val="00183826"/>
    <w:rsid w:val="00184349"/>
    <w:rsid w:val="00184395"/>
    <w:rsid w:val="00184F83"/>
    <w:rsid w:val="001911B9"/>
    <w:rsid w:val="001913C1"/>
    <w:rsid w:val="001920FE"/>
    <w:rsid w:val="00196E92"/>
    <w:rsid w:val="00197FE8"/>
    <w:rsid w:val="001A04D0"/>
    <w:rsid w:val="001A061E"/>
    <w:rsid w:val="001A107E"/>
    <w:rsid w:val="001A4078"/>
    <w:rsid w:val="001B074F"/>
    <w:rsid w:val="001B3258"/>
    <w:rsid w:val="001B4246"/>
    <w:rsid w:val="001B4D8A"/>
    <w:rsid w:val="001B5DFE"/>
    <w:rsid w:val="001B7E47"/>
    <w:rsid w:val="001C091B"/>
    <w:rsid w:val="001C0A63"/>
    <w:rsid w:val="001C21A1"/>
    <w:rsid w:val="001C30D0"/>
    <w:rsid w:val="001C3A75"/>
    <w:rsid w:val="001C4A5B"/>
    <w:rsid w:val="001D05AA"/>
    <w:rsid w:val="001D17A2"/>
    <w:rsid w:val="001D18F5"/>
    <w:rsid w:val="001E0C63"/>
    <w:rsid w:val="001E7106"/>
    <w:rsid w:val="001E72F2"/>
    <w:rsid w:val="001E7B9A"/>
    <w:rsid w:val="001F0645"/>
    <w:rsid w:val="001F30C2"/>
    <w:rsid w:val="001F3FDC"/>
    <w:rsid w:val="001F4E29"/>
    <w:rsid w:val="001F7BB0"/>
    <w:rsid w:val="00200D06"/>
    <w:rsid w:val="002038CD"/>
    <w:rsid w:val="002067A8"/>
    <w:rsid w:val="00206D96"/>
    <w:rsid w:val="0021280D"/>
    <w:rsid w:val="00212E0B"/>
    <w:rsid w:val="0021480B"/>
    <w:rsid w:val="00216307"/>
    <w:rsid w:val="0022220D"/>
    <w:rsid w:val="002225B7"/>
    <w:rsid w:val="002242F7"/>
    <w:rsid w:val="0023181A"/>
    <w:rsid w:val="00232D4D"/>
    <w:rsid w:val="00233294"/>
    <w:rsid w:val="00233890"/>
    <w:rsid w:val="0023532C"/>
    <w:rsid w:val="00240F6C"/>
    <w:rsid w:val="00241B55"/>
    <w:rsid w:val="00243EF9"/>
    <w:rsid w:val="00246246"/>
    <w:rsid w:val="0024660D"/>
    <w:rsid w:val="00246DF6"/>
    <w:rsid w:val="00250E08"/>
    <w:rsid w:val="002523FD"/>
    <w:rsid w:val="00252B87"/>
    <w:rsid w:val="00257975"/>
    <w:rsid w:val="00260584"/>
    <w:rsid w:val="00261694"/>
    <w:rsid w:val="00262CE3"/>
    <w:rsid w:val="00264A55"/>
    <w:rsid w:val="00264D88"/>
    <w:rsid w:val="002666C7"/>
    <w:rsid w:val="00273B72"/>
    <w:rsid w:val="00273F04"/>
    <w:rsid w:val="0027599E"/>
    <w:rsid w:val="00275D7E"/>
    <w:rsid w:val="002766B6"/>
    <w:rsid w:val="00283E56"/>
    <w:rsid w:val="002847B3"/>
    <w:rsid w:val="00291052"/>
    <w:rsid w:val="002910AD"/>
    <w:rsid w:val="0029127F"/>
    <w:rsid w:val="00291E6A"/>
    <w:rsid w:val="00292C36"/>
    <w:rsid w:val="00295119"/>
    <w:rsid w:val="002A2C0E"/>
    <w:rsid w:val="002A3F2D"/>
    <w:rsid w:val="002A4B8F"/>
    <w:rsid w:val="002A5417"/>
    <w:rsid w:val="002A574C"/>
    <w:rsid w:val="002A7DD0"/>
    <w:rsid w:val="002B04A8"/>
    <w:rsid w:val="002B2DCD"/>
    <w:rsid w:val="002B42F4"/>
    <w:rsid w:val="002B4934"/>
    <w:rsid w:val="002B4E5B"/>
    <w:rsid w:val="002B4FC4"/>
    <w:rsid w:val="002C084D"/>
    <w:rsid w:val="002C2511"/>
    <w:rsid w:val="002C4B1F"/>
    <w:rsid w:val="002D104A"/>
    <w:rsid w:val="002D4164"/>
    <w:rsid w:val="002D4704"/>
    <w:rsid w:val="002D4AE8"/>
    <w:rsid w:val="002D687F"/>
    <w:rsid w:val="002D6A2C"/>
    <w:rsid w:val="002D750C"/>
    <w:rsid w:val="002E05B9"/>
    <w:rsid w:val="002E22E4"/>
    <w:rsid w:val="002E390B"/>
    <w:rsid w:val="002E4169"/>
    <w:rsid w:val="002E5E8D"/>
    <w:rsid w:val="002E5F92"/>
    <w:rsid w:val="002F1313"/>
    <w:rsid w:val="002F2D5F"/>
    <w:rsid w:val="002F2F7E"/>
    <w:rsid w:val="002F39D3"/>
    <w:rsid w:val="002F4961"/>
    <w:rsid w:val="002F4B1C"/>
    <w:rsid w:val="002F5AB2"/>
    <w:rsid w:val="002F6D4E"/>
    <w:rsid w:val="00303A1D"/>
    <w:rsid w:val="00304059"/>
    <w:rsid w:val="00305470"/>
    <w:rsid w:val="00305900"/>
    <w:rsid w:val="0030599A"/>
    <w:rsid w:val="00310FD9"/>
    <w:rsid w:val="00315728"/>
    <w:rsid w:val="00315C72"/>
    <w:rsid w:val="00317030"/>
    <w:rsid w:val="0032069A"/>
    <w:rsid w:val="00321187"/>
    <w:rsid w:val="003216A4"/>
    <w:rsid w:val="00321A3E"/>
    <w:rsid w:val="0032399F"/>
    <w:rsid w:val="003242DD"/>
    <w:rsid w:val="003262DA"/>
    <w:rsid w:val="00327B31"/>
    <w:rsid w:val="00327C1D"/>
    <w:rsid w:val="00330626"/>
    <w:rsid w:val="00331D80"/>
    <w:rsid w:val="00333831"/>
    <w:rsid w:val="00336EDD"/>
    <w:rsid w:val="003422B1"/>
    <w:rsid w:val="003439ED"/>
    <w:rsid w:val="00344B9D"/>
    <w:rsid w:val="00344E22"/>
    <w:rsid w:val="00346EBC"/>
    <w:rsid w:val="0035023F"/>
    <w:rsid w:val="003519B2"/>
    <w:rsid w:val="003539DF"/>
    <w:rsid w:val="00353B8F"/>
    <w:rsid w:val="00354CEE"/>
    <w:rsid w:val="0036142E"/>
    <w:rsid w:val="0036199B"/>
    <w:rsid w:val="003619F2"/>
    <w:rsid w:val="00363222"/>
    <w:rsid w:val="00364D7B"/>
    <w:rsid w:val="00364EB3"/>
    <w:rsid w:val="00370629"/>
    <w:rsid w:val="00370C4D"/>
    <w:rsid w:val="0037399B"/>
    <w:rsid w:val="003748FC"/>
    <w:rsid w:val="00375E83"/>
    <w:rsid w:val="003811E9"/>
    <w:rsid w:val="00381C51"/>
    <w:rsid w:val="00382840"/>
    <w:rsid w:val="00382B82"/>
    <w:rsid w:val="003831FF"/>
    <w:rsid w:val="003837AD"/>
    <w:rsid w:val="00384D24"/>
    <w:rsid w:val="00386EF9"/>
    <w:rsid w:val="003874C4"/>
    <w:rsid w:val="00392233"/>
    <w:rsid w:val="00392D7B"/>
    <w:rsid w:val="00392EC4"/>
    <w:rsid w:val="00396ED6"/>
    <w:rsid w:val="00397D21"/>
    <w:rsid w:val="00397FB6"/>
    <w:rsid w:val="003A2226"/>
    <w:rsid w:val="003A250D"/>
    <w:rsid w:val="003A3DD3"/>
    <w:rsid w:val="003A4AF1"/>
    <w:rsid w:val="003A76A4"/>
    <w:rsid w:val="003B0DF2"/>
    <w:rsid w:val="003B36D8"/>
    <w:rsid w:val="003B386F"/>
    <w:rsid w:val="003B7F2E"/>
    <w:rsid w:val="003C0BDC"/>
    <w:rsid w:val="003C5C82"/>
    <w:rsid w:val="003D10BE"/>
    <w:rsid w:val="003D1DD3"/>
    <w:rsid w:val="003D463E"/>
    <w:rsid w:val="003D5B73"/>
    <w:rsid w:val="003E0409"/>
    <w:rsid w:val="003E0BAE"/>
    <w:rsid w:val="003E1164"/>
    <w:rsid w:val="003E1549"/>
    <w:rsid w:val="003E29F4"/>
    <w:rsid w:val="003E2BC2"/>
    <w:rsid w:val="003E51EB"/>
    <w:rsid w:val="003F154C"/>
    <w:rsid w:val="00400AB0"/>
    <w:rsid w:val="00401062"/>
    <w:rsid w:val="0040114F"/>
    <w:rsid w:val="0040160B"/>
    <w:rsid w:val="004020B7"/>
    <w:rsid w:val="004026FF"/>
    <w:rsid w:val="00402979"/>
    <w:rsid w:val="00402ECC"/>
    <w:rsid w:val="00403541"/>
    <w:rsid w:val="00403AA3"/>
    <w:rsid w:val="004066FB"/>
    <w:rsid w:val="00406883"/>
    <w:rsid w:val="0041618E"/>
    <w:rsid w:val="00421FFF"/>
    <w:rsid w:val="004241A8"/>
    <w:rsid w:val="0042432E"/>
    <w:rsid w:val="00431AAB"/>
    <w:rsid w:val="00433377"/>
    <w:rsid w:val="00435D98"/>
    <w:rsid w:val="0043702F"/>
    <w:rsid w:val="00441F9A"/>
    <w:rsid w:val="00442CFB"/>
    <w:rsid w:val="00445CC7"/>
    <w:rsid w:val="0045079E"/>
    <w:rsid w:val="00451A4E"/>
    <w:rsid w:val="0045340A"/>
    <w:rsid w:val="00456D5D"/>
    <w:rsid w:val="004571EF"/>
    <w:rsid w:val="004607E0"/>
    <w:rsid w:val="004617E5"/>
    <w:rsid w:val="00462268"/>
    <w:rsid w:val="00471193"/>
    <w:rsid w:val="00473E5B"/>
    <w:rsid w:val="0047522E"/>
    <w:rsid w:val="00481BF4"/>
    <w:rsid w:val="00486F52"/>
    <w:rsid w:val="00490221"/>
    <w:rsid w:val="00491614"/>
    <w:rsid w:val="00492472"/>
    <w:rsid w:val="00496A35"/>
    <w:rsid w:val="004974CB"/>
    <w:rsid w:val="004A089F"/>
    <w:rsid w:val="004A0A4C"/>
    <w:rsid w:val="004A41A4"/>
    <w:rsid w:val="004A4301"/>
    <w:rsid w:val="004A5859"/>
    <w:rsid w:val="004A5A70"/>
    <w:rsid w:val="004B1065"/>
    <w:rsid w:val="004B411A"/>
    <w:rsid w:val="004B428E"/>
    <w:rsid w:val="004B47CD"/>
    <w:rsid w:val="004B51B8"/>
    <w:rsid w:val="004B61B9"/>
    <w:rsid w:val="004B78D6"/>
    <w:rsid w:val="004C2348"/>
    <w:rsid w:val="004C2D3A"/>
    <w:rsid w:val="004C553D"/>
    <w:rsid w:val="004C5552"/>
    <w:rsid w:val="004C65F8"/>
    <w:rsid w:val="004D2E42"/>
    <w:rsid w:val="004D32F1"/>
    <w:rsid w:val="004D3BBE"/>
    <w:rsid w:val="004D4006"/>
    <w:rsid w:val="004D7C4F"/>
    <w:rsid w:val="004E1E28"/>
    <w:rsid w:val="004E23CD"/>
    <w:rsid w:val="004E2C99"/>
    <w:rsid w:val="004E366E"/>
    <w:rsid w:val="004E4005"/>
    <w:rsid w:val="004E46DE"/>
    <w:rsid w:val="004E5AB9"/>
    <w:rsid w:val="004E7189"/>
    <w:rsid w:val="004F0E87"/>
    <w:rsid w:val="004F186D"/>
    <w:rsid w:val="004F3445"/>
    <w:rsid w:val="004F595C"/>
    <w:rsid w:val="004F7321"/>
    <w:rsid w:val="00501E18"/>
    <w:rsid w:val="005023C4"/>
    <w:rsid w:val="00503B0E"/>
    <w:rsid w:val="00504EF7"/>
    <w:rsid w:val="00506575"/>
    <w:rsid w:val="00507D47"/>
    <w:rsid w:val="00510659"/>
    <w:rsid w:val="00512426"/>
    <w:rsid w:val="00514BA9"/>
    <w:rsid w:val="00515627"/>
    <w:rsid w:val="00516ACC"/>
    <w:rsid w:val="00520563"/>
    <w:rsid w:val="005259A2"/>
    <w:rsid w:val="00526EBA"/>
    <w:rsid w:val="00530C70"/>
    <w:rsid w:val="0053257C"/>
    <w:rsid w:val="00533CA8"/>
    <w:rsid w:val="005357F8"/>
    <w:rsid w:val="005371F6"/>
    <w:rsid w:val="00537296"/>
    <w:rsid w:val="00543D97"/>
    <w:rsid w:val="00544B94"/>
    <w:rsid w:val="00545213"/>
    <w:rsid w:val="005465F7"/>
    <w:rsid w:val="00553CE7"/>
    <w:rsid w:val="00560B0B"/>
    <w:rsid w:val="00562BE8"/>
    <w:rsid w:val="005633EF"/>
    <w:rsid w:val="00564F50"/>
    <w:rsid w:val="00570521"/>
    <w:rsid w:val="005717DB"/>
    <w:rsid w:val="00572F93"/>
    <w:rsid w:val="00573818"/>
    <w:rsid w:val="00573CED"/>
    <w:rsid w:val="00574057"/>
    <w:rsid w:val="00574496"/>
    <w:rsid w:val="005746B2"/>
    <w:rsid w:val="00574807"/>
    <w:rsid w:val="005765BA"/>
    <w:rsid w:val="005767EA"/>
    <w:rsid w:val="00576997"/>
    <w:rsid w:val="00577249"/>
    <w:rsid w:val="005772EE"/>
    <w:rsid w:val="005779EC"/>
    <w:rsid w:val="00577D30"/>
    <w:rsid w:val="005811C9"/>
    <w:rsid w:val="00582C36"/>
    <w:rsid w:val="00584057"/>
    <w:rsid w:val="0058572E"/>
    <w:rsid w:val="005904C5"/>
    <w:rsid w:val="00591508"/>
    <w:rsid w:val="005928B0"/>
    <w:rsid w:val="00595812"/>
    <w:rsid w:val="005A2884"/>
    <w:rsid w:val="005B1687"/>
    <w:rsid w:val="005B347B"/>
    <w:rsid w:val="005B7C55"/>
    <w:rsid w:val="005C0882"/>
    <w:rsid w:val="005C0883"/>
    <w:rsid w:val="005C0C32"/>
    <w:rsid w:val="005C1FB7"/>
    <w:rsid w:val="005C24F8"/>
    <w:rsid w:val="005C2684"/>
    <w:rsid w:val="005C38DA"/>
    <w:rsid w:val="005C5D99"/>
    <w:rsid w:val="005C691C"/>
    <w:rsid w:val="005D025D"/>
    <w:rsid w:val="005D0EBB"/>
    <w:rsid w:val="005D158D"/>
    <w:rsid w:val="005D4E6C"/>
    <w:rsid w:val="005D7134"/>
    <w:rsid w:val="005E09A5"/>
    <w:rsid w:val="005E1087"/>
    <w:rsid w:val="005E3DC1"/>
    <w:rsid w:val="005E3E47"/>
    <w:rsid w:val="005E554F"/>
    <w:rsid w:val="005E5B52"/>
    <w:rsid w:val="005F02F0"/>
    <w:rsid w:val="005F0B8D"/>
    <w:rsid w:val="005F49AC"/>
    <w:rsid w:val="005F5CB6"/>
    <w:rsid w:val="0060066F"/>
    <w:rsid w:val="006009B9"/>
    <w:rsid w:val="00600CE1"/>
    <w:rsid w:val="00602103"/>
    <w:rsid w:val="0060242E"/>
    <w:rsid w:val="00602880"/>
    <w:rsid w:val="00603AD8"/>
    <w:rsid w:val="00604ABE"/>
    <w:rsid w:val="00604B0C"/>
    <w:rsid w:val="00610393"/>
    <w:rsid w:val="006104D4"/>
    <w:rsid w:val="00610F6A"/>
    <w:rsid w:val="00611E1D"/>
    <w:rsid w:val="0061206A"/>
    <w:rsid w:val="006132B1"/>
    <w:rsid w:val="0061357A"/>
    <w:rsid w:val="00613E04"/>
    <w:rsid w:val="00616009"/>
    <w:rsid w:val="00620418"/>
    <w:rsid w:val="00621044"/>
    <w:rsid w:val="00621B36"/>
    <w:rsid w:val="0062209C"/>
    <w:rsid w:val="00623619"/>
    <w:rsid w:val="00624373"/>
    <w:rsid w:val="00624603"/>
    <w:rsid w:val="00630287"/>
    <w:rsid w:val="00631CB7"/>
    <w:rsid w:val="006345FA"/>
    <w:rsid w:val="00635CDB"/>
    <w:rsid w:val="00640667"/>
    <w:rsid w:val="006415F8"/>
    <w:rsid w:val="00641A15"/>
    <w:rsid w:val="006428A1"/>
    <w:rsid w:val="00644210"/>
    <w:rsid w:val="00644B90"/>
    <w:rsid w:val="006473E9"/>
    <w:rsid w:val="00650C66"/>
    <w:rsid w:val="006510DF"/>
    <w:rsid w:val="006519BE"/>
    <w:rsid w:val="0065302C"/>
    <w:rsid w:val="0065397D"/>
    <w:rsid w:val="00655768"/>
    <w:rsid w:val="0065798B"/>
    <w:rsid w:val="0066017D"/>
    <w:rsid w:val="00660247"/>
    <w:rsid w:val="00660C02"/>
    <w:rsid w:val="00665347"/>
    <w:rsid w:val="00670330"/>
    <w:rsid w:val="00670797"/>
    <w:rsid w:val="006718F8"/>
    <w:rsid w:val="0067758F"/>
    <w:rsid w:val="00680C38"/>
    <w:rsid w:val="00680C3D"/>
    <w:rsid w:val="00680E40"/>
    <w:rsid w:val="006827CC"/>
    <w:rsid w:val="0068317A"/>
    <w:rsid w:val="006858EA"/>
    <w:rsid w:val="00685FB6"/>
    <w:rsid w:val="00685FC9"/>
    <w:rsid w:val="00686225"/>
    <w:rsid w:val="00692CB6"/>
    <w:rsid w:val="006932E5"/>
    <w:rsid w:val="00693B3D"/>
    <w:rsid w:val="00693C0D"/>
    <w:rsid w:val="00696CE4"/>
    <w:rsid w:val="006A14D1"/>
    <w:rsid w:val="006A4EEA"/>
    <w:rsid w:val="006A61BE"/>
    <w:rsid w:val="006B0DB0"/>
    <w:rsid w:val="006B13B9"/>
    <w:rsid w:val="006B1FC2"/>
    <w:rsid w:val="006B54D7"/>
    <w:rsid w:val="006B5709"/>
    <w:rsid w:val="006B6AEF"/>
    <w:rsid w:val="006C0929"/>
    <w:rsid w:val="006D0FE9"/>
    <w:rsid w:val="006D2A58"/>
    <w:rsid w:val="006D60A8"/>
    <w:rsid w:val="006D76AD"/>
    <w:rsid w:val="006E12F6"/>
    <w:rsid w:val="006E1AAD"/>
    <w:rsid w:val="006E2C1B"/>
    <w:rsid w:val="006F089F"/>
    <w:rsid w:val="006F3275"/>
    <w:rsid w:val="006F40C5"/>
    <w:rsid w:val="006F44B8"/>
    <w:rsid w:val="006F4F36"/>
    <w:rsid w:val="006F6CCD"/>
    <w:rsid w:val="006F7137"/>
    <w:rsid w:val="007008EF"/>
    <w:rsid w:val="00702163"/>
    <w:rsid w:val="00710328"/>
    <w:rsid w:val="007108F5"/>
    <w:rsid w:val="007112FA"/>
    <w:rsid w:val="00712723"/>
    <w:rsid w:val="00713CC1"/>
    <w:rsid w:val="00714BD2"/>
    <w:rsid w:val="00714C33"/>
    <w:rsid w:val="007160A1"/>
    <w:rsid w:val="00717DDD"/>
    <w:rsid w:val="00720A12"/>
    <w:rsid w:val="00720AF8"/>
    <w:rsid w:val="00726FF4"/>
    <w:rsid w:val="00727914"/>
    <w:rsid w:val="0073087B"/>
    <w:rsid w:val="00730906"/>
    <w:rsid w:val="0073106A"/>
    <w:rsid w:val="0074058D"/>
    <w:rsid w:val="007434CA"/>
    <w:rsid w:val="00743A3D"/>
    <w:rsid w:val="0074595A"/>
    <w:rsid w:val="007459F4"/>
    <w:rsid w:val="00745F83"/>
    <w:rsid w:val="00750D38"/>
    <w:rsid w:val="0075289E"/>
    <w:rsid w:val="00752B60"/>
    <w:rsid w:val="00753792"/>
    <w:rsid w:val="00754351"/>
    <w:rsid w:val="0075501D"/>
    <w:rsid w:val="00755928"/>
    <w:rsid w:val="00756126"/>
    <w:rsid w:val="007563C4"/>
    <w:rsid w:val="00756E46"/>
    <w:rsid w:val="0076155B"/>
    <w:rsid w:val="007620F1"/>
    <w:rsid w:val="00762569"/>
    <w:rsid w:val="0076372D"/>
    <w:rsid w:val="00764D55"/>
    <w:rsid w:val="00765579"/>
    <w:rsid w:val="007657AE"/>
    <w:rsid w:val="0076586E"/>
    <w:rsid w:val="007668D1"/>
    <w:rsid w:val="00767AA7"/>
    <w:rsid w:val="00770AB4"/>
    <w:rsid w:val="007710F4"/>
    <w:rsid w:val="00772A25"/>
    <w:rsid w:val="00772B2B"/>
    <w:rsid w:val="00774447"/>
    <w:rsid w:val="00775DA0"/>
    <w:rsid w:val="00775F94"/>
    <w:rsid w:val="007808FA"/>
    <w:rsid w:val="007812AB"/>
    <w:rsid w:val="00782D99"/>
    <w:rsid w:val="0078330F"/>
    <w:rsid w:val="00785715"/>
    <w:rsid w:val="00792565"/>
    <w:rsid w:val="0079572B"/>
    <w:rsid w:val="007966AB"/>
    <w:rsid w:val="00796FEF"/>
    <w:rsid w:val="007A005C"/>
    <w:rsid w:val="007A0936"/>
    <w:rsid w:val="007A3359"/>
    <w:rsid w:val="007A3496"/>
    <w:rsid w:val="007A48EB"/>
    <w:rsid w:val="007A51BF"/>
    <w:rsid w:val="007B4489"/>
    <w:rsid w:val="007B4931"/>
    <w:rsid w:val="007B541F"/>
    <w:rsid w:val="007B6DDE"/>
    <w:rsid w:val="007B6EE7"/>
    <w:rsid w:val="007B7016"/>
    <w:rsid w:val="007B734A"/>
    <w:rsid w:val="007B7FCB"/>
    <w:rsid w:val="007B7FE8"/>
    <w:rsid w:val="007C10A3"/>
    <w:rsid w:val="007C15C0"/>
    <w:rsid w:val="007C23D0"/>
    <w:rsid w:val="007C3B7E"/>
    <w:rsid w:val="007C3F51"/>
    <w:rsid w:val="007C7D52"/>
    <w:rsid w:val="007D1099"/>
    <w:rsid w:val="007D25E1"/>
    <w:rsid w:val="007D4C6D"/>
    <w:rsid w:val="007D553E"/>
    <w:rsid w:val="007D74A0"/>
    <w:rsid w:val="007E01D3"/>
    <w:rsid w:val="007E1EF5"/>
    <w:rsid w:val="007E41EA"/>
    <w:rsid w:val="007E6033"/>
    <w:rsid w:val="007E799B"/>
    <w:rsid w:val="007F0EDA"/>
    <w:rsid w:val="007F3DA7"/>
    <w:rsid w:val="007F4A44"/>
    <w:rsid w:val="007F51AA"/>
    <w:rsid w:val="007F5679"/>
    <w:rsid w:val="007F70FF"/>
    <w:rsid w:val="0080092C"/>
    <w:rsid w:val="008024B4"/>
    <w:rsid w:val="0080287B"/>
    <w:rsid w:val="00803C29"/>
    <w:rsid w:val="00805B8E"/>
    <w:rsid w:val="00806B2B"/>
    <w:rsid w:val="00807447"/>
    <w:rsid w:val="0080759A"/>
    <w:rsid w:val="00812187"/>
    <w:rsid w:val="00812DE8"/>
    <w:rsid w:val="00813B92"/>
    <w:rsid w:val="008153CD"/>
    <w:rsid w:val="0081625C"/>
    <w:rsid w:val="00816641"/>
    <w:rsid w:val="008176FE"/>
    <w:rsid w:val="00820750"/>
    <w:rsid w:val="00820F9C"/>
    <w:rsid w:val="00823C4F"/>
    <w:rsid w:val="00823FB1"/>
    <w:rsid w:val="0082466D"/>
    <w:rsid w:val="008246C1"/>
    <w:rsid w:val="00826BF0"/>
    <w:rsid w:val="0082767F"/>
    <w:rsid w:val="008308FE"/>
    <w:rsid w:val="0083140E"/>
    <w:rsid w:val="00831812"/>
    <w:rsid w:val="00831F28"/>
    <w:rsid w:val="0083276B"/>
    <w:rsid w:val="00835A53"/>
    <w:rsid w:val="008372D3"/>
    <w:rsid w:val="0084033F"/>
    <w:rsid w:val="008428C5"/>
    <w:rsid w:val="0084729D"/>
    <w:rsid w:val="0085133A"/>
    <w:rsid w:val="00851E94"/>
    <w:rsid w:val="008520AD"/>
    <w:rsid w:val="008529C4"/>
    <w:rsid w:val="00854523"/>
    <w:rsid w:val="00854D0F"/>
    <w:rsid w:val="0085666E"/>
    <w:rsid w:val="00861018"/>
    <w:rsid w:val="008618A0"/>
    <w:rsid w:val="00862746"/>
    <w:rsid w:val="00862997"/>
    <w:rsid w:val="00863E60"/>
    <w:rsid w:val="0086534B"/>
    <w:rsid w:val="008705B8"/>
    <w:rsid w:val="00872EEB"/>
    <w:rsid w:val="00875844"/>
    <w:rsid w:val="008758C4"/>
    <w:rsid w:val="00875C82"/>
    <w:rsid w:val="00876770"/>
    <w:rsid w:val="00876D77"/>
    <w:rsid w:val="008813AD"/>
    <w:rsid w:val="008817A6"/>
    <w:rsid w:val="008853AD"/>
    <w:rsid w:val="008935EC"/>
    <w:rsid w:val="00894499"/>
    <w:rsid w:val="00894C38"/>
    <w:rsid w:val="00894F4F"/>
    <w:rsid w:val="008A1FB4"/>
    <w:rsid w:val="008A2307"/>
    <w:rsid w:val="008A239B"/>
    <w:rsid w:val="008A2E64"/>
    <w:rsid w:val="008A44EC"/>
    <w:rsid w:val="008A4E10"/>
    <w:rsid w:val="008A72E7"/>
    <w:rsid w:val="008B344E"/>
    <w:rsid w:val="008B3806"/>
    <w:rsid w:val="008B4859"/>
    <w:rsid w:val="008B6762"/>
    <w:rsid w:val="008B7755"/>
    <w:rsid w:val="008B7AA3"/>
    <w:rsid w:val="008C43E7"/>
    <w:rsid w:val="008C50A9"/>
    <w:rsid w:val="008C50FF"/>
    <w:rsid w:val="008C68FC"/>
    <w:rsid w:val="008D0DA8"/>
    <w:rsid w:val="008D2A28"/>
    <w:rsid w:val="008E128B"/>
    <w:rsid w:val="008E1BB3"/>
    <w:rsid w:val="008E21B3"/>
    <w:rsid w:val="008E4344"/>
    <w:rsid w:val="008E4746"/>
    <w:rsid w:val="008E4D69"/>
    <w:rsid w:val="008E58BD"/>
    <w:rsid w:val="008E58CB"/>
    <w:rsid w:val="008E7740"/>
    <w:rsid w:val="008F0FC6"/>
    <w:rsid w:val="008F28D9"/>
    <w:rsid w:val="008F392E"/>
    <w:rsid w:val="008F4D5B"/>
    <w:rsid w:val="008F6D5B"/>
    <w:rsid w:val="00900D15"/>
    <w:rsid w:val="009027BB"/>
    <w:rsid w:val="009038B3"/>
    <w:rsid w:val="00911130"/>
    <w:rsid w:val="0091113E"/>
    <w:rsid w:val="009111D2"/>
    <w:rsid w:val="009112A4"/>
    <w:rsid w:val="0091162C"/>
    <w:rsid w:val="00912A72"/>
    <w:rsid w:val="00913870"/>
    <w:rsid w:val="0091452D"/>
    <w:rsid w:val="00916388"/>
    <w:rsid w:val="00916784"/>
    <w:rsid w:val="00917039"/>
    <w:rsid w:val="00921E5A"/>
    <w:rsid w:val="009257CE"/>
    <w:rsid w:val="009262E1"/>
    <w:rsid w:val="00926478"/>
    <w:rsid w:val="00926B90"/>
    <w:rsid w:val="00927D4F"/>
    <w:rsid w:val="00930123"/>
    <w:rsid w:val="0093077D"/>
    <w:rsid w:val="00930CB1"/>
    <w:rsid w:val="00931E02"/>
    <w:rsid w:val="00934107"/>
    <w:rsid w:val="00935846"/>
    <w:rsid w:val="00936515"/>
    <w:rsid w:val="00937857"/>
    <w:rsid w:val="0094438D"/>
    <w:rsid w:val="00945B15"/>
    <w:rsid w:val="0094604B"/>
    <w:rsid w:val="00950878"/>
    <w:rsid w:val="009511A7"/>
    <w:rsid w:val="0095269F"/>
    <w:rsid w:val="0095317C"/>
    <w:rsid w:val="009549B4"/>
    <w:rsid w:val="009558F9"/>
    <w:rsid w:val="009579BF"/>
    <w:rsid w:val="009630D8"/>
    <w:rsid w:val="00964E75"/>
    <w:rsid w:val="009659CD"/>
    <w:rsid w:val="00965A7E"/>
    <w:rsid w:val="00966A94"/>
    <w:rsid w:val="009677C2"/>
    <w:rsid w:val="00970AD7"/>
    <w:rsid w:val="009723F2"/>
    <w:rsid w:val="0097435B"/>
    <w:rsid w:val="00974735"/>
    <w:rsid w:val="009756E1"/>
    <w:rsid w:val="00975E8D"/>
    <w:rsid w:val="00975ECF"/>
    <w:rsid w:val="0097690C"/>
    <w:rsid w:val="00980651"/>
    <w:rsid w:val="00981D0E"/>
    <w:rsid w:val="009822AA"/>
    <w:rsid w:val="00982744"/>
    <w:rsid w:val="0098630E"/>
    <w:rsid w:val="0098728E"/>
    <w:rsid w:val="00996860"/>
    <w:rsid w:val="009A24C4"/>
    <w:rsid w:val="009A46A1"/>
    <w:rsid w:val="009A5919"/>
    <w:rsid w:val="009B13DC"/>
    <w:rsid w:val="009B48B0"/>
    <w:rsid w:val="009B4A34"/>
    <w:rsid w:val="009B5C84"/>
    <w:rsid w:val="009B5D4A"/>
    <w:rsid w:val="009C063E"/>
    <w:rsid w:val="009C0E80"/>
    <w:rsid w:val="009C2670"/>
    <w:rsid w:val="009C2C77"/>
    <w:rsid w:val="009C3850"/>
    <w:rsid w:val="009C4A3D"/>
    <w:rsid w:val="009C4D76"/>
    <w:rsid w:val="009C5A1D"/>
    <w:rsid w:val="009D0921"/>
    <w:rsid w:val="009D0EC7"/>
    <w:rsid w:val="009E2604"/>
    <w:rsid w:val="009E2C97"/>
    <w:rsid w:val="009E5E2E"/>
    <w:rsid w:val="009F04E7"/>
    <w:rsid w:val="009F4792"/>
    <w:rsid w:val="009F5156"/>
    <w:rsid w:val="009F6FC3"/>
    <w:rsid w:val="00A045B0"/>
    <w:rsid w:val="00A05CDD"/>
    <w:rsid w:val="00A07169"/>
    <w:rsid w:val="00A071D7"/>
    <w:rsid w:val="00A100FE"/>
    <w:rsid w:val="00A10F31"/>
    <w:rsid w:val="00A11854"/>
    <w:rsid w:val="00A13323"/>
    <w:rsid w:val="00A137C5"/>
    <w:rsid w:val="00A16A57"/>
    <w:rsid w:val="00A16A6F"/>
    <w:rsid w:val="00A21184"/>
    <w:rsid w:val="00A2189F"/>
    <w:rsid w:val="00A22605"/>
    <w:rsid w:val="00A22E61"/>
    <w:rsid w:val="00A24E3A"/>
    <w:rsid w:val="00A251B5"/>
    <w:rsid w:val="00A2549D"/>
    <w:rsid w:val="00A31341"/>
    <w:rsid w:val="00A338F7"/>
    <w:rsid w:val="00A37A51"/>
    <w:rsid w:val="00A41AE6"/>
    <w:rsid w:val="00A42862"/>
    <w:rsid w:val="00A474D9"/>
    <w:rsid w:val="00A478FA"/>
    <w:rsid w:val="00A52F15"/>
    <w:rsid w:val="00A5516A"/>
    <w:rsid w:val="00A55FB3"/>
    <w:rsid w:val="00A57D4A"/>
    <w:rsid w:val="00A60A9F"/>
    <w:rsid w:val="00A61C4E"/>
    <w:rsid w:val="00A6285C"/>
    <w:rsid w:val="00A63B44"/>
    <w:rsid w:val="00A65B67"/>
    <w:rsid w:val="00A72F13"/>
    <w:rsid w:val="00A72F66"/>
    <w:rsid w:val="00A730D1"/>
    <w:rsid w:val="00A736C7"/>
    <w:rsid w:val="00A73CA7"/>
    <w:rsid w:val="00A76D58"/>
    <w:rsid w:val="00A77B2A"/>
    <w:rsid w:val="00A81573"/>
    <w:rsid w:val="00A8161D"/>
    <w:rsid w:val="00A81886"/>
    <w:rsid w:val="00A825EA"/>
    <w:rsid w:val="00A830D7"/>
    <w:rsid w:val="00A87B5F"/>
    <w:rsid w:val="00A87E52"/>
    <w:rsid w:val="00A9077B"/>
    <w:rsid w:val="00A92974"/>
    <w:rsid w:val="00A94956"/>
    <w:rsid w:val="00A95329"/>
    <w:rsid w:val="00A956C4"/>
    <w:rsid w:val="00A971A2"/>
    <w:rsid w:val="00AA2D64"/>
    <w:rsid w:val="00AA508F"/>
    <w:rsid w:val="00AB01E1"/>
    <w:rsid w:val="00AB2BB0"/>
    <w:rsid w:val="00AB2ED0"/>
    <w:rsid w:val="00AB462E"/>
    <w:rsid w:val="00AB62A2"/>
    <w:rsid w:val="00AB7A98"/>
    <w:rsid w:val="00AC218B"/>
    <w:rsid w:val="00AC2AC8"/>
    <w:rsid w:val="00AC3B85"/>
    <w:rsid w:val="00AD07FC"/>
    <w:rsid w:val="00AD171D"/>
    <w:rsid w:val="00AD1734"/>
    <w:rsid w:val="00AD2905"/>
    <w:rsid w:val="00AD3877"/>
    <w:rsid w:val="00AD3B98"/>
    <w:rsid w:val="00AD6E69"/>
    <w:rsid w:val="00AE088F"/>
    <w:rsid w:val="00AE1369"/>
    <w:rsid w:val="00AE184F"/>
    <w:rsid w:val="00AE4F82"/>
    <w:rsid w:val="00AE5B15"/>
    <w:rsid w:val="00AF0503"/>
    <w:rsid w:val="00AF2445"/>
    <w:rsid w:val="00AF44C1"/>
    <w:rsid w:val="00AF4636"/>
    <w:rsid w:val="00AF5F33"/>
    <w:rsid w:val="00B014FE"/>
    <w:rsid w:val="00B06805"/>
    <w:rsid w:val="00B0783A"/>
    <w:rsid w:val="00B07959"/>
    <w:rsid w:val="00B0798F"/>
    <w:rsid w:val="00B10950"/>
    <w:rsid w:val="00B10DD2"/>
    <w:rsid w:val="00B1106E"/>
    <w:rsid w:val="00B128C2"/>
    <w:rsid w:val="00B12C91"/>
    <w:rsid w:val="00B1559D"/>
    <w:rsid w:val="00B16709"/>
    <w:rsid w:val="00B17557"/>
    <w:rsid w:val="00B20CD2"/>
    <w:rsid w:val="00B212EB"/>
    <w:rsid w:val="00B22589"/>
    <w:rsid w:val="00B23361"/>
    <w:rsid w:val="00B2753F"/>
    <w:rsid w:val="00B2785D"/>
    <w:rsid w:val="00B27E17"/>
    <w:rsid w:val="00B3376D"/>
    <w:rsid w:val="00B34B87"/>
    <w:rsid w:val="00B357CF"/>
    <w:rsid w:val="00B36369"/>
    <w:rsid w:val="00B3706B"/>
    <w:rsid w:val="00B37150"/>
    <w:rsid w:val="00B37C87"/>
    <w:rsid w:val="00B40A0D"/>
    <w:rsid w:val="00B42B0B"/>
    <w:rsid w:val="00B44AB3"/>
    <w:rsid w:val="00B47CB0"/>
    <w:rsid w:val="00B5204F"/>
    <w:rsid w:val="00B552A2"/>
    <w:rsid w:val="00B60E48"/>
    <w:rsid w:val="00B66ACA"/>
    <w:rsid w:val="00B67681"/>
    <w:rsid w:val="00B72DC0"/>
    <w:rsid w:val="00B73D23"/>
    <w:rsid w:val="00B7471F"/>
    <w:rsid w:val="00B751DF"/>
    <w:rsid w:val="00B81533"/>
    <w:rsid w:val="00B82FC5"/>
    <w:rsid w:val="00B835A6"/>
    <w:rsid w:val="00B83A71"/>
    <w:rsid w:val="00B83FFD"/>
    <w:rsid w:val="00B8424A"/>
    <w:rsid w:val="00B865F8"/>
    <w:rsid w:val="00B90681"/>
    <w:rsid w:val="00B92238"/>
    <w:rsid w:val="00B96CEB"/>
    <w:rsid w:val="00B97532"/>
    <w:rsid w:val="00BA093B"/>
    <w:rsid w:val="00BA192F"/>
    <w:rsid w:val="00BA2755"/>
    <w:rsid w:val="00BA48F5"/>
    <w:rsid w:val="00BB04D8"/>
    <w:rsid w:val="00BC04A4"/>
    <w:rsid w:val="00BC229A"/>
    <w:rsid w:val="00BC4263"/>
    <w:rsid w:val="00BD1B77"/>
    <w:rsid w:val="00BD64B8"/>
    <w:rsid w:val="00BD67C4"/>
    <w:rsid w:val="00BD6BA0"/>
    <w:rsid w:val="00BD7CA9"/>
    <w:rsid w:val="00BE0164"/>
    <w:rsid w:val="00BE2D9D"/>
    <w:rsid w:val="00BE464D"/>
    <w:rsid w:val="00BE4726"/>
    <w:rsid w:val="00BE551B"/>
    <w:rsid w:val="00BE590D"/>
    <w:rsid w:val="00BE5BCA"/>
    <w:rsid w:val="00BE643C"/>
    <w:rsid w:val="00BE6C7C"/>
    <w:rsid w:val="00BF05EA"/>
    <w:rsid w:val="00BF12C5"/>
    <w:rsid w:val="00BF2544"/>
    <w:rsid w:val="00BF27B5"/>
    <w:rsid w:val="00BF54A1"/>
    <w:rsid w:val="00C0088A"/>
    <w:rsid w:val="00C01336"/>
    <w:rsid w:val="00C04532"/>
    <w:rsid w:val="00C0497A"/>
    <w:rsid w:val="00C05304"/>
    <w:rsid w:val="00C05CC8"/>
    <w:rsid w:val="00C07511"/>
    <w:rsid w:val="00C146E2"/>
    <w:rsid w:val="00C17A3C"/>
    <w:rsid w:val="00C20861"/>
    <w:rsid w:val="00C21032"/>
    <w:rsid w:val="00C213B3"/>
    <w:rsid w:val="00C21D16"/>
    <w:rsid w:val="00C30A3E"/>
    <w:rsid w:val="00C32691"/>
    <w:rsid w:val="00C33847"/>
    <w:rsid w:val="00C352FC"/>
    <w:rsid w:val="00C35A7D"/>
    <w:rsid w:val="00C3653D"/>
    <w:rsid w:val="00C36CC5"/>
    <w:rsid w:val="00C431A8"/>
    <w:rsid w:val="00C433BF"/>
    <w:rsid w:val="00C45CF2"/>
    <w:rsid w:val="00C45E76"/>
    <w:rsid w:val="00C477BE"/>
    <w:rsid w:val="00C5024C"/>
    <w:rsid w:val="00C52B53"/>
    <w:rsid w:val="00C53B35"/>
    <w:rsid w:val="00C53D8E"/>
    <w:rsid w:val="00C548F0"/>
    <w:rsid w:val="00C5566A"/>
    <w:rsid w:val="00C55CD2"/>
    <w:rsid w:val="00C5736B"/>
    <w:rsid w:val="00C5794E"/>
    <w:rsid w:val="00C60B42"/>
    <w:rsid w:val="00C61626"/>
    <w:rsid w:val="00C61B8C"/>
    <w:rsid w:val="00C63128"/>
    <w:rsid w:val="00C6491A"/>
    <w:rsid w:val="00C66579"/>
    <w:rsid w:val="00C73399"/>
    <w:rsid w:val="00C73C30"/>
    <w:rsid w:val="00C747BF"/>
    <w:rsid w:val="00C7565D"/>
    <w:rsid w:val="00C7613A"/>
    <w:rsid w:val="00C77A69"/>
    <w:rsid w:val="00C803E6"/>
    <w:rsid w:val="00C81314"/>
    <w:rsid w:val="00C82BA7"/>
    <w:rsid w:val="00C8398E"/>
    <w:rsid w:val="00C8430B"/>
    <w:rsid w:val="00C856EF"/>
    <w:rsid w:val="00C869C0"/>
    <w:rsid w:val="00C90B74"/>
    <w:rsid w:val="00C9103B"/>
    <w:rsid w:val="00C93EC6"/>
    <w:rsid w:val="00C945A9"/>
    <w:rsid w:val="00CA1395"/>
    <w:rsid w:val="00CA17CE"/>
    <w:rsid w:val="00CA1DC2"/>
    <w:rsid w:val="00CA29F2"/>
    <w:rsid w:val="00CA2D9F"/>
    <w:rsid w:val="00CA4308"/>
    <w:rsid w:val="00CB3214"/>
    <w:rsid w:val="00CB362F"/>
    <w:rsid w:val="00CB47D1"/>
    <w:rsid w:val="00CB4F24"/>
    <w:rsid w:val="00CB70C0"/>
    <w:rsid w:val="00CC0FBF"/>
    <w:rsid w:val="00CC1817"/>
    <w:rsid w:val="00CC53FF"/>
    <w:rsid w:val="00CC575A"/>
    <w:rsid w:val="00CC625D"/>
    <w:rsid w:val="00CC720D"/>
    <w:rsid w:val="00CC7AC9"/>
    <w:rsid w:val="00CD05FD"/>
    <w:rsid w:val="00CD06F7"/>
    <w:rsid w:val="00CD3715"/>
    <w:rsid w:val="00CD5D48"/>
    <w:rsid w:val="00CD717B"/>
    <w:rsid w:val="00CE0197"/>
    <w:rsid w:val="00CE33C6"/>
    <w:rsid w:val="00CE6E8D"/>
    <w:rsid w:val="00CE7193"/>
    <w:rsid w:val="00CE7B69"/>
    <w:rsid w:val="00CE7EED"/>
    <w:rsid w:val="00CF14C7"/>
    <w:rsid w:val="00CF2E4C"/>
    <w:rsid w:val="00CF3007"/>
    <w:rsid w:val="00CF3BC8"/>
    <w:rsid w:val="00CF3E26"/>
    <w:rsid w:val="00CF3F3A"/>
    <w:rsid w:val="00D01B8D"/>
    <w:rsid w:val="00D031F3"/>
    <w:rsid w:val="00D05283"/>
    <w:rsid w:val="00D065DC"/>
    <w:rsid w:val="00D127CF"/>
    <w:rsid w:val="00D13E4D"/>
    <w:rsid w:val="00D14D13"/>
    <w:rsid w:val="00D15444"/>
    <w:rsid w:val="00D173C6"/>
    <w:rsid w:val="00D2177F"/>
    <w:rsid w:val="00D219D5"/>
    <w:rsid w:val="00D22885"/>
    <w:rsid w:val="00D228CF"/>
    <w:rsid w:val="00D24185"/>
    <w:rsid w:val="00D27E63"/>
    <w:rsid w:val="00D33268"/>
    <w:rsid w:val="00D37849"/>
    <w:rsid w:val="00D40518"/>
    <w:rsid w:val="00D4151D"/>
    <w:rsid w:val="00D416C7"/>
    <w:rsid w:val="00D47582"/>
    <w:rsid w:val="00D4781B"/>
    <w:rsid w:val="00D5060F"/>
    <w:rsid w:val="00D50EF9"/>
    <w:rsid w:val="00D54752"/>
    <w:rsid w:val="00D549C1"/>
    <w:rsid w:val="00D54BD5"/>
    <w:rsid w:val="00D557AE"/>
    <w:rsid w:val="00D60BB6"/>
    <w:rsid w:val="00D624F4"/>
    <w:rsid w:val="00D63545"/>
    <w:rsid w:val="00D63565"/>
    <w:rsid w:val="00D65211"/>
    <w:rsid w:val="00D65733"/>
    <w:rsid w:val="00D72E56"/>
    <w:rsid w:val="00D76A06"/>
    <w:rsid w:val="00D76BCF"/>
    <w:rsid w:val="00D80690"/>
    <w:rsid w:val="00D827A6"/>
    <w:rsid w:val="00D8308C"/>
    <w:rsid w:val="00D841C2"/>
    <w:rsid w:val="00D842E0"/>
    <w:rsid w:val="00D848FC"/>
    <w:rsid w:val="00D91CDD"/>
    <w:rsid w:val="00D91DAC"/>
    <w:rsid w:val="00D930B3"/>
    <w:rsid w:val="00D93DB6"/>
    <w:rsid w:val="00D94566"/>
    <w:rsid w:val="00D96A22"/>
    <w:rsid w:val="00D96D53"/>
    <w:rsid w:val="00D96EA7"/>
    <w:rsid w:val="00D97E3C"/>
    <w:rsid w:val="00DA0823"/>
    <w:rsid w:val="00DA12F5"/>
    <w:rsid w:val="00DA3FC7"/>
    <w:rsid w:val="00DA45EC"/>
    <w:rsid w:val="00DA61E9"/>
    <w:rsid w:val="00DA6A68"/>
    <w:rsid w:val="00DA6B65"/>
    <w:rsid w:val="00DB0945"/>
    <w:rsid w:val="00DB0A08"/>
    <w:rsid w:val="00DB3AC6"/>
    <w:rsid w:val="00DB5928"/>
    <w:rsid w:val="00DB6B9A"/>
    <w:rsid w:val="00DC1083"/>
    <w:rsid w:val="00DC2926"/>
    <w:rsid w:val="00DC43B6"/>
    <w:rsid w:val="00DC4885"/>
    <w:rsid w:val="00DC6177"/>
    <w:rsid w:val="00DC7B4B"/>
    <w:rsid w:val="00DD07A0"/>
    <w:rsid w:val="00DD0DBA"/>
    <w:rsid w:val="00DD1560"/>
    <w:rsid w:val="00DD1EED"/>
    <w:rsid w:val="00DD41A7"/>
    <w:rsid w:val="00DD436B"/>
    <w:rsid w:val="00DD49FD"/>
    <w:rsid w:val="00DD52A7"/>
    <w:rsid w:val="00DD5A9E"/>
    <w:rsid w:val="00DD5C42"/>
    <w:rsid w:val="00DD5F5F"/>
    <w:rsid w:val="00DE2E0C"/>
    <w:rsid w:val="00DE3B6B"/>
    <w:rsid w:val="00DE6F1D"/>
    <w:rsid w:val="00DF7F79"/>
    <w:rsid w:val="00E00368"/>
    <w:rsid w:val="00E00648"/>
    <w:rsid w:val="00E01B06"/>
    <w:rsid w:val="00E01FD6"/>
    <w:rsid w:val="00E05038"/>
    <w:rsid w:val="00E05108"/>
    <w:rsid w:val="00E10946"/>
    <w:rsid w:val="00E111B1"/>
    <w:rsid w:val="00E11293"/>
    <w:rsid w:val="00E11870"/>
    <w:rsid w:val="00E11E88"/>
    <w:rsid w:val="00E160EF"/>
    <w:rsid w:val="00E16D71"/>
    <w:rsid w:val="00E173B1"/>
    <w:rsid w:val="00E201EC"/>
    <w:rsid w:val="00E20B33"/>
    <w:rsid w:val="00E20C00"/>
    <w:rsid w:val="00E20DC4"/>
    <w:rsid w:val="00E21111"/>
    <w:rsid w:val="00E24705"/>
    <w:rsid w:val="00E24EC4"/>
    <w:rsid w:val="00E30D61"/>
    <w:rsid w:val="00E32FAB"/>
    <w:rsid w:val="00E359AD"/>
    <w:rsid w:val="00E35EE4"/>
    <w:rsid w:val="00E37B58"/>
    <w:rsid w:val="00E40BFD"/>
    <w:rsid w:val="00E421A5"/>
    <w:rsid w:val="00E43A32"/>
    <w:rsid w:val="00E470DC"/>
    <w:rsid w:val="00E47600"/>
    <w:rsid w:val="00E5152D"/>
    <w:rsid w:val="00E52157"/>
    <w:rsid w:val="00E54587"/>
    <w:rsid w:val="00E5505E"/>
    <w:rsid w:val="00E5508E"/>
    <w:rsid w:val="00E55417"/>
    <w:rsid w:val="00E55F83"/>
    <w:rsid w:val="00E562FE"/>
    <w:rsid w:val="00E57986"/>
    <w:rsid w:val="00E627A9"/>
    <w:rsid w:val="00E67CBA"/>
    <w:rsid w:val="00E7014A"/>
    <w:rsid w:val="00E7067C"/>
    <w:rsid w:val="00E707D5"/>
    <w:rsid w:val="00E710A2"/>
    <w:rsid w:val="00E75676"/>
    <w:rsid w:val="00E77DEE"/>
    <w:rsid w:val="00E80F7F"/>
    <w:rsid w:val="00E81FCB"/>
    <w:rsid w:val="00E81FF3"/>
    <w:rsid w:val="00E837D8"/>
    <w:rsid w:val="00E85488"/>
    <w:rsid w:val="00E85A6F"/>
    <w:rsid w:val="00E862FD"/>
    <w:rsid w:val="00E86B48"/>
    <w:rsid w:val="00E86F01"/>
    <w:rsid w:val="00E9316A"/>
    <w:rsid w:val="00E94632"/>
    <w:rsid w:val="00E94BAB"/>
    <w:rsid w:val="00E94E19"/>
    <w:rsid w:val="00E94ED1"/>
    <w:rsid w:val="00E95673"/>
    <w:rsid w:val="00E95A88"/>
    <w:rsid w:val="00E95BA5"/>
    <w:rsid w:val="00EA1D7A"/>
    <w:rsid w:val="00EA289A"/>
    <w:rsid w:val="00EA3F85"/>
    <w:rsid w:val="00EA541B"/>
    <w:rsid w:val="00EB77A6"/>
    <w:rsid w:val="00EC096C"/>
    <w:rsid w:val="00EC40A0"/>
    <w:rsid w:val="00EC4526"/>
    <w:rsid w:val="00EC4E7E"/>
    <w:rsid w:val="00EC51E4"/>
    <w:rsid w:val="00EC53FA"/>
    <w:rsid w:val="00ED484C"/>
    <w:rsid w:val="00ED7845"/>
    <w:rsid w:val="00EE10DE"/>
    <w:rsid w:val="00EE30D1"/>
    <w:rsid w:val="00EE32CF"/>
    <w:rsid w:val="00EE34AF"/>
    <w:rsid w:val="00EE44BD"/>
    <w:rsid w:val="00EE60E4"/>
    <w:rsid w:val="00EE62DA"/>
    <w:rsid w:val="00EF11F7"/>
    <w:rsid w:val="00EF3EC8"/>
    <w:rsid w:val="00EF43C6"/>
    <w:rsid w:val="00EF4616"/>
    <w:rsid w:val="00F01538"/>
    <w:rsid w:val="00F02F5A"/>
    <w:rsid w:val="00F039CA"/>
    <w:rsid w:val="00F0438C"/>
    <w:rsid w:val="00F07A6E"/>
    <w:rsid w:val="00F102E5"/>
    <w:rsid w:val="00F10D27"/>
    <w:rsid w:val="00F126C3"/>
    <w:rsid w:val="00F139E5"/>
    <w:rsid w:val="00F14201"/>
    <w:rsid w:val="00F149A7"/>
    <w:rsid w:val="00F20F7C"/>
    <w:rsid w:val="00F229E8"/>
    <w:rsid w:val="00F230B9"/>
    <w:rsid w:val="00F24B80"/>
    <w:rsid w:val="00F25CEF"/>
    <w:rsid w:val="00F2726C"/>
    <w:rsid w:val="00F27A88"/>
    <w:rsid w:val="00F304BF"/>
    <w:rsid w:val="00F30DC3"/>
    <w:rsid w:val="00F358F0"/>
    <w:rsid w:val="00F40983"/>
    <w:rsid w:val="00F41C8A"/>
    <w:rsid w:val="00F421BB"/>
    <w:rsid w:val="00F42604"/>
    <w:rsid w:val="00F470F4"/>
    <w:rsid w:val="00F50653"/>
    <w:rsid w:val="00F513B5"/>
    <w:rsid w:val="00F531E6"/>
    <w:rsid w:val="00F55209"/>
    <w:rsid w:val="00F557DB"/>
    <w:rsid w:val="00F62B7C"/>
    <w:rsid w:val="00F62C71"/>
    <w:rsid w:val="00F6509B"/>
    <w:rsid w:val="00F66F6B"/>
    <w:rsid w:val="00F6720B"/>
    <w:rsid w:val="00F70C68"/>
    <w:rsid w:val="00F74E8D"/>
    <w:rsid w:val="00F76A8E"/>
    <w:rsid w:val="00F779A6"/>
    <w:rsid w:val="00F81AE6"/>
    <w:rsid w:val="00F904B1"/>
    <w:rsid w:val="00F9223E"/>
    <w:rsid w:val="00F92A40"/>
    <w:rsid w:val="00F9328A"/>
    <w:rsid w:val="00F93AE7"/>
    <w:rsid w:val="00F9686C"/>
    <w:rsid w:val="00F97C8D"/>
    <w:rsid w:val="00FA00E0"/>
    <w:rsid w:val="00FA1E88"/>
    <w:rsid w:val="00FA200E"/>
    <w:rsid w:val="00FA4CA6"/>
    <w:rsid w:val="00FB114F"/>
    <w:rsid w:val="00FB40F4"/>
    <w:rsid w:val="00FB42A4"/>
    <w:rsid w:val="00FB561C"/>
    <w:rsid w:val="00FB72E9"/>
    <w:rsid w:val="00FB7AA0"/>
    <w:rsid w:val="00FC0437"/>
    <w:rsid w:val="00FC317A"/>
    <w:rsid w:val="00FC4655"/>
    <w:rsid w:val="00FD33F0"/>
    <w:rsid w:val="00FD4C61"/>
    <w:rsid w:val="00FD4CEF"/>
    <w:rsid w:val="00FD50D0"/>
    <w:rsid w:val="00FD6154"/>
    <w:rsid w:val="00FD7893"/>
    <w:rsid w:val="00FE0F6C"/>
    <w:rsid w:val="00FE2C2E"/>
    <w:rsid w:val="00FE4029"/>
    <w:rsid w:val="00FE6340"/>
    <w:rsid w:val="00FE6782"/>
    <w:rsid w:val="00FE6D52"/>
    <w:rsid w:val="00FE764C"/>
    <w:rsid w:val="00FE77D7"/>
    <w:rsid w:val="00FE7B2A"/>
    <w:rsid w:val="00FF08C2"/>
    <w:rsid w:val="00FF3BA1"/>
    <w:rsid w:val="049275F2"/>
    <w:rsid w:val="08781760"/>
    <w:rsid w:val="092206B8"/>
    <w:rsid w:val="16A45623"/>
    <w:rsid w:val="1AB404BE"/>
    <w:rsid w:val="21A716DB"/>
    <w:rsid w:val="37582618"/>
    <w:rsid w:val="380B1B31"/>
    <w:rsid w:val="3A20155E"/>
    <w:rsid w:val="416B252C"/>
    <w:rsid w:val="4E597784"/>
    <w:rsid w:val="523A74D6"/>
    <w:rsid w:val="59570B31"/>
    <w:rsid w:val="5C3814D0"/>
    <w:rsid w:val="5CA9011E"/>
    <w:rsid w:val="5DEB0595"/>
    <w:rsid w:val="64E853DA"/>
    <w:rsid w:val="6D9B096D"/>
    <w:rsid w:val="717E2BB6"/>
    <w:rsid w:val="7247773D"/>
    <w:rsid w:val="76FA210D"/>
    <w:rsid w:val="7A4635E4"/>
    <w:rsid w:val="7D6E2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jc w:val="center"/>
      <w:outlineLvl w:val="0"/>
    </w:pPr>
    <w:rPr>
      <w:rFonts w:eastAsia="黑体"/>
      <w:b/>
      <w:bCs/>
      <w:kern w:val="44"/>
      <w:sz w:val="36"/>
      <w:szCs w:val="44"/>
    </w:rPr>
  </w:style>
  <w:style w:type="paragraph" w:styleId="3">
    <w:name w:val="heading 2"/>
    <w:basedOn w:val="1"/>
    <w:next w:val="1"/>
    <w:link w:val="46"/>
    <w:qFormat/>
    <w:uiPriority w:val="0"/>
    <w:pPr>
      <w:keepNext/>
      <w:keepLines/>
      <w:spacing w:before="260" w:after="260" w:line="416" w:lineRule="auto"/>
      <w:jc w:val="center"/>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5" w:lineRule="auto"/>
      <w:ind w:firstLine="643" w:firstLineChars="200"/>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0"/>
    <w:pPr>
      <w:keepNext/>
      <w:tabs>
        <w:tab w:val="left" w:pos="360"/>
        <w:tab w:val="left" w:pos="540"/>
        <w:tab w:val="left" w:pos="2052"/>
      </w:tabs>
      <w:autoSpaceDE w:val="0"/>
      <w:autoSpaceDN w:val="0"/>
      <w:adjustRightInd w:val="0"/>
      <w:spacing w:line="311" w:lineRule="atLeast"/>
      <w:outlineLvl w:val="8"/>
    </w:pPr>
    <w:rPr>
      <w:rFonts w:ascii="宋体"/>
      <w:color w:val="000000"/>
      <w:kern w:val="0"/>
      <w:sz w:val="28"/>
      <w:szCs w:val="28"/>
      <w:lang w:val="zh-CN"/>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ind w:left="2520" w:leftChars="1200"/>
    </w:pPr>
  </w:style>
  <w:style w:type="paragraph" w:styleId="12">
    <w:name w:val="Normal Indent"/>
    <w:basedOn w:val="1"/>
    <w:qFormat/>
    <w:uiPriority w:val="0"/>
    <w:pPr>
      <w:ind w:firstLine="420"/>
    </w:pPr>
    <w:rPr>
      <w:rFonts w:ascii="宋体"/>
      <w:sz w:val="32"/>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48"/>
    <w:qFormat/>
    <w:uiPriority w:val="0"/>
    <w:rPr>
      <w:rFonts w:ascii="宋体"/>
      <w:sz w:val="18"/>
      <w:szCs w:val="18"/>
    </w:rPr>
  </w:style>
  <w:style w:type="paragraph" w:styleId="15">
    <w:name w:val="annotation text"/>
    <w:basedOn w:val="1"/>
    <w:unhideWhenUsed/>
    <w:qFormat/>
    <w:uiPriority w:val="99"/>
    <w:pPr>
      <w:jc w:val="left"/>
    </w:pPr>
  </w:style>
  <w:style w:type="paragraph" w:styleId="16">
    <w:name w:val="Body Text 3"/>
    <w:basedOn w:val="1"/>
    <w:qFormat/>
    <w:uiPriority w:val="0"/>
    <w:pPr>
      <w:spacing w:after="120"/>
    </w:pPr>
    <w:rPr>
      <w:sz w:val="16"/>
      <w:szCs w:val="16"/>
    </w:rPr>
  </w:style>
  <w:style w:type="paragraph" w:styleId="17">
    <w:name w:val="Body Text"/>
    <w:basedOn w:val="1"/>
    <w:link w:val="49"/>
    <w:qFormat/>
    <w:uiPriority w:val="0"/>
    <w:pPr>
      <w:spacing w:line="240" w:lineRule="atLeast"/>
    </w:pPr>
    <w:rPr>
      <w:sz w:val="18"/>
      <w:szCs w:val="20"/>
    </w:rPr>
  </w:style>
  <w:style w:type="paragraph" w:styleId="18">
    <w:name w:val="Body Text Indent"/>
    <w:basedOn w:val="1"/>
    <w:qFormat/>
    <w:uiPriority w:val="0"/>
    <w:pPr>
      <w:spacing w:line="402" w:lineRule="exact"/>
      <w:ind w:firstLine="899" w:firstLineChars="321"/>
    </w:pPr>
    <w:rPr>
      <w:sz w:val="28"/>
    </w:rPr>
  </w:style>
  <w:style w:type="paragraph" w:styleId="19">
    <w:name w:val="toc 5"/>
    <w:basedOn w:val="1"/>
    <w:next w:val="1"/>
    <w:semiHidden/>
    <w:qFormat/>
    <w:uiPriority w:val="0"/>
    <w:pPr>
      <w:ind w:left="1680" w:leftChars="800"/>
    </w:pPr>
  </w:style>
  <w:style w:type="paragraph" w:styleId="20">
    <w:name w:val="toc 3"/>
    <w:basedOn w:val="1"/>
    <w:next w:val="1"/>
    <w:qFormat/>
    <w:uiPriority w:val="39"/>
    <w:pPr>
      <w:ind w:left="840" w:leftChars="400"/>
    </w:pPr>
  </w:style>
  <w:style w:type="paragraph" w:styleId="21">
    <w:name w:val="Plain Text"/>
    <w:basedOn w:val="1"/>
    <w:link w:val="50"/>
    <w:qFormat/>
    <w:uiPriority w:val="0"/>
    <w:rPr>
      <w:rFonts w:ascii="宋体" w:hAnsi="Courier New"/>
    </w:rPr>
  </w:style>
  <w:style w:type="paragraph" w:styleId="22">
    <w:name w:val="toc 8"/>
    <w:basedOn w:val="1"/>
    <w:next w:val="1"/>
    <w:semiHidden/>
    <w:qFormat/>
    <w:uiPriority w:val="0"/>
    <w:pPr>
      <w:ind w:left="2940" w:leftChars="1400"/>
    </w:pPr>
  </w:style>
  <w:style w:type="paragraph" w:styleId="23">
    <w:name w:val="Date"/>
    <w:basedOn w:val="1"/>
    <w:next w:val="1"/>
    <w:qFormat/>
    <w:uiPriority w:val="0"/>
    <w:rPr>
      <w:rFonts w:ascii="宋体"/>
      <w:sz w:val="32"/>
    </w:rPr>
  </w:style>
  <w:style w:type="paragraph" w:styleId="24">
    <w:name w:val="Body Text Indent 2"/>
    <w:basedOn w:val="1"/>
    <w:qFormat/>
    <w:uiPriority w:val="0"/>
    <w:pPr>
      <w:spacing w:after="120" w:line="480" w:lineRule="auto"/>
      <w:ind w:left="420" w:leftChars="200"/>
    </w:p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296"/>
      </w:tabs>
      <w:jc w:val="left"/>
    </w:pPr>
    <w:rPr>
      <w:sz w:val="32"/>
    </w:rPr>
  </w:style>
  <w:style w:type="paragraph" w:styleId="29">
    <w:name w:val="toc 4"/>
    <w:basedOn w:val="1"/>
    <w:next w:val="1"/>
    <w:semiHidden/>
    <w:qFormat/>
    <w:uiPriority w:val="0"/>
    <w:pPr>
      <w:ind w:left="1260" w:leftChars="600"/>
    </w:pPr>
  </w:style>
  <w:style w:type="paragraph" w:styleId="30">
    <w:name w:val="toc 6"/>
    <w:basedOn w:val="1"/>
    <w:next w:val="1"/>
    <w:semiHidden/>
    <w:qFormat/>
    <w:uiPriority w:val="0"/>
    <w:pPr>
      <w:ind w:left="2100" w:leftChars="1000"/>
    </w:pPr>
  </w:style>
  <w:style w:type="paragraph" w:styleId="31">
    <w:name w:val="Body Text Indent 3"/>
    <w:basedOn w:val="1"/>
    <w:qFormat/>
    <w:uiPriority w:val="0"/>
    <w:pPr>
      <w:spacing w:line="480" w:lineRule="exact"/>
      <w:ind w:firstLine="540"/>
    </w:pPr>
    <w:rPr>
      <w:sz w:val="28"/>
    </w:rPr>
  </w:style>
  <w:style w:type="paragraph" w:styleId="32">
    <w:name w:val="toc 2"/>
    <w:basedOn w:val="1"/>
    <w:next w:val="1"/>
    <w:qFormat/>
    <w:uiPriority w:val="39"/>
    <w:pPr>
      <w:tabs>
        <w:tab w:val="left" w:pos="1080"/>
        <w:tab w:val="right" w:leader="dot" w:pos="8296"/>
      </w:tabs>
      <w:spacing w:line="300" w:lineRule="exact"/>
      <w:ind w:left="420" w:leftChars="200"/>
    </w:pPr>
  </w:style>
  <w:style w:type="paragraph" w:styleId="33">
    <w:name w:val="toc 9"/>
    <w:basedOn w:val="1"/>
    <w:next w:val="1"/>
    <w:semiHidden/>
    <w:qFormat/>
    <w:uiPriority w:val="0"/>
    <w:pPr>
      <w:ind w:left="3360" w:leftChars="1600"/>
    </w:pPr>
  </w:style>
  <w:style w:type="paragraph" w:styleId="34">
    <w:name w:val="Body Text 2"/>
    <w:basedOn w:val="1"/>
    <w:qFormat/>
    <w:uiPriority w:val="0"/>
    <w:rPr>
      <w:sz w:val="28"/>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52"/>
    <w:qFormat/>
    <w:uiPriority w:val="0"/>
    <w:pPr>
      <w:spacing w:before="240" w:after="60"/>
      <w:jc w:val="center"/>
      <w:outlineLvl w:val="0"/>
    </w:pPr>
    <w:rPr>
      <w:rFonts w:ascii="Cambria" w:hAnsi="Cambria"/>
      <w:b/>
      <w:bCs/>
      <w:sz w:val="32"/>
      <w:szCs w:val="32"/>
    </w:rPr>
  </w:style>
  <w:style w:type="paragraph" w:styleId="37">
    <w:name w:val="Body Text First Indent 2"/>
    <w:basedOn w:val="18"/>
    <w:qFormat/>
    <w:uiPriority w:val="0"/>
    <w:pPr>
      <w:ind w:firstLine="420" w:firstLineChars="200"/>
    </w:pPr>
  </w:style>
  <w:style w:type="table" w:styleId="39">
    <w:name w:val="Table Grid"/>
    <w:basedOn w:val="38"/>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basedOn w:val="40"/>
    <w:unhideWhenUsed/>
    <w:qFormat/>
    <w:uiPriority w:val="99"/>
    <w:rPr>
      <w:sz w:val="21"/>
      <w:szCs w:val="21"/>
    </w:rPr>
  </w:style>
  <w:style w:type="character" w:customStyle="1" w:styleId="45">
    <w:name w:val="标题 1 字符"/>
    <w:link w:val="2"/>
    <w:qFormat/>
    <w:uiPriority w:val="0"/>
    <w:rPr>
      <w:rFonts w:eastAsia="黑体"/>
      <w:b/>
      <w:bCs/>
      <w:kern w:val="44"/>
      <w:sz w:val="36"/>
      <w:szCs w:val="44"/>
    </w:rPr>
  </w:style>
  <w:style w:type="character" w:customStyle="1" w:styleId="46">
    <w:name w:val="标题 2 字符"/>
    <w:link w:val="3"/>
    <w:qFormat/>
    <w:uiPriority w:val="0"/>
    <w:rPr>
      <w:rFonts w:ascii="Arial" w:hAnsi="Arial" w:eastAsia="黑体"/>
      <w:b/>
      <w:bCs/>
      <w:kern w:val="2"/>
      <w:sz w:val="32"/>
      <w:szCs w:val="32"/>
    </w:rPr>
  </w:style>
  <w:style w:type="character" w:customStyle="1" w:styleId="47">
    <w:name w:val="标题 3 字符"/>
    <w:link w:val="4"/>
    <w:qFormat/>
    <w:uiPriority w:val="0"/>
    <w:rPr>
      <w:b/>
      <w:bCs/>
      <w:kern w:val="2"/>
      <w:sz w:val="32"/>
      <w:szCs w:val="32"/>
    </w:rPr>
  </w:style>
  <w:style w:type="character" w:customStyle="1" w:styleId="48">
    <w:name w:val="文档结构图 字符"/>
    <w:link w:val="14"/>
    <w:qFormat/>
    <w:uiPriority w:val="0"/>
    <w:rPr>
      <w:rFonts w:ascii="宋体"/>
      <w:kern w:val="2"/>
      <w:sz w:val="18"/>
      <w:szCs w:val="18"/>
    </w:rPr>
  </w:style>
  <w:style w:type="character" w:customStyle="1" w:styleId="49">
    <w:name w:val="正文文本 字符"/>
    <w:link w:val="17"/>
    <w:qFormat/>
    <w:uiPriority w:val="0"/>
    <w:rPr>
      <w:kern w:val="2"/>
      <w:sz w:val="18"/>
    </w:rPr>
  </w:style>
  <w:style w:type="character" w:customStyle="1" w:styleId="50">
    <w:name w:val="纯文本 字符"/>
    <w:link w:val="21"/>
    <w:qFormat/>
    <w:uiPriority w:val="0"/>
    <w:rPr>
      <w:rFonts w:ascii="宋体" w:hAnsi="Courier New" w:eastAsia="宋体"/>
      <w:kern w:val="2"/>
      <w:sz w:val="21"/>
      <w:szCs w:val="24"/>
      <w:lang w:val="en-US" w:eastAsia="zh-CN" w:bidi="ar-SA"/>
    </w:rPr>
  </w:style>
  <w:style w:type="character" w:customStyle="1" w:styleId="51">
    <w:name w:val="页眉 字符"/>
    <w:link w:val="27"/>
    <w:qFormat/>
    <w:uiPriority w:val="99"/>
    <w:rPr>
      <w:kern w:val="2"/>
      <w:sz w:val="18"/>
      <w:szCs w:val="18"/>
    </w:rPr>
  </w:style>
  <w:style w:type="character" w:customStyle="1" w:styleId="52">
    <w:name w:val="标题 字符"/>
    <w:link w:val="36"/>
    <w:qFormat/>
    <w:uiPriority w:val="0"/>
    <w:rPr>
      <w:rFonts w:ascii="Cambria" w:hAnsi="Cambria" w:cs="Times New Roman"/>
      <w:b/>
      <w:bCs/>
      <w:kern w:val="2"/>
      <w:sz w:val="32"/>
      <w:szCs w:val="32"/>
    </w:rPr>
  </w:style>
  <w:style w:type="character" w:customStyle="1" w:styleId="53">
    <w:name w:val="强调文字 Char Char"/>
    <w:qFormat/>
    <w:uiPriority w:val="0"/>
    <w:rPr>
      <w:rFonts w:eastAsia="宋体" w:cs="Arial"/>
      <w:b/>
      <w:bCs/>
      <w:color w:val="FF0000"/>
      <w:kern w:val="28"/>
      <w:sz w:val="24"/>
      <w:szCs w:val="24"/>
      <w:lang w:val="en-US" w:eastAsia="zh-CN" w:bidi="ar-SA"/>
    </w:rPr>
  </w:style>
  <w:style w:type="paragraph" w:customStyle="1" w:styleId="54">
    <w:name w:val="题注5"/>
    <w:basedOn w:val="1"/>
    <w:next w:val="13"/>
    <w:qFormat/>
    <w:uiPriority w:val="0"/>
    <w:pPr>
      <w:spacing w:line="360" w:lineRule="auto"/>
      <w:ind w:left="566" w:leftChars="1" w:hanging="564" w:hangingChars="235"/>
    </w:pPr>
    <w:rPr>
      <w:rFonts w:ascii="宋体" w:hAnsi="宋体"/>
      <w:color w:val="000000"/>
      <w:sz w:val="24"/>
      <w:lang w:val="en-GB"/>
    </w:rPr>
  </w:style>
  <w:style w:type="paragraph" w:customStyle="1" w:styleId="5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6">
    <w:name w:val="标题 31"/>
    <w:basedOn w:val="1"/>
    <w:qFormat/>
    <w:uiPriority w:val="1"/>
    <w:pPr>
      <w:autoSpaceDE w:val="0"/>
      <w:autoSpaceDN w:val="0"/>
      <w:ind w:left="958" w:hanging="318"/>
      <w:jc w:val="left"/>
      <w:outlineLvl w:val="3"/>
    </w:pPr>
    <w:rPr>
      <w:rFonts w:ascii="宋体" w:hAnsi="宋体" w:cs="宋体"/>
      <w:b/>
      <w:bCs/>
      <w:kern w:val="0"/>
      <w:szCs w:val="21"/>
      <w:lang w:val="zh-CN" w:bidi="zh-CN"/>
    </w:rPr>
  </w:style>
  <w:style w:type="paragraph" w:customStyle="1" w:styleId="57">
    <w:name w:val="标题 21"/>
    <w:basedOn w:val="1"/>
    <w:qFormat/>
    <w:uiPriority w:val="1"/>
    <w:pPr>
      <w:autoSpaceDE w:val="0"/>
      <w:autoSpaceDN w:val="0"/>
      <w:ind w:left="41"/>
      <w:jc w:val="center"/>
      <w:outlineLvl w:val="2"/>
    </w:pPr>
    <w:rPr>
      <w:rFonts w:ascii="宋体" w:hAnsi="宋体" w:cs="宋体"/>
      <w:b/>
      <w:bCs/>
      <w:kern w:val="0"/>
      <w:sz w:val="28"/>
      <w:szCs w:val="28"/>
      <w:lang w:val="zh-CN" w:bidi="zh-CN"/>
    </w:rPr>
  </w:style>
  <w:style w:type="paragraph" w:customStyle="1" w:styleId="58">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59">
    <w:name w:val="标题 71"/>
    <w:basedOn w:val="1"/>
    <w:qFormat/>
    <w:uiPriority w:val="1"/>
    <w:pPr>
      <w:autoSpaceDE w:val="0"/>
      <w:autoSpaceDN w:val="0"/>
      <w:ind w:left="218"/>
      <w:jc w:val="left"/>
      <w:outlineLvl w:val="7"/>
    </w:pPr>
    <w:rPr>
      <w:rFonts w:ascii="宋体" w:hAnsi="宋体" w:cs="宋体"/>
      <w:b/>
      <w:bCs/>
      <w:kern w:val="0"/>
      <w:sz w:val="24"/>
      <w:lang w:val="zh-CN" w:bidi="zh-CN"/>
    </w:rPr>
  </w:style>
  <w:style w:type="paragraph" w:customStyle="1" w:styleId="60">
    <w:name w:val="标题 61"/>
    <w:basedOn w:val="1"/>
    <w:qFormat/>
    <w:uiPriority w:val="1"/>
    <w:pPr>
      <w:autoSpaceDE w:val="0"/>
      <w:autoSpaceDN w:val="0"/>
      <w:ind w:left="1018"/>
      <w:jc w:val="left"/>
      <w:outlineLvl w:val="6"/>
    </w:pPr>
    <w:rPr>
      <w:rFonts w:ascii="宋体" w:hAnsi="宋体" w:cs="宋体"/>
      <w:b/>
      <w:bCs/>
      <w:kern w:val="0"/>
      <w:sz w:val="24"/>
      <w:lang w:val="zh-CN" w:bidi="zh-CN"/>
    </w:rPr>
  </w:style>
  <w:style w:type="paragraph" w:customStyle="1" w:styleId="6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2">
    <w:name w:val="标题 11"/>
    <w:basedOn w:val="1"/>
    <w:qFormat/>
    <w:uiPriority w:val="1"/>
    <w:pPr>
      <w:autoSpaceDE w:val="0"/>
      <w:autoSpaceDN w:val="0"/>
      <w:spacing w:before="58"/>
      <w:ind w:left="38"/>
      <w:jc w:val="center"/>
      <w:outlineLvl w:val="1"/>
    </w:pPr>
    <w:rPr>
      <w:rFonts w:ascii="宋体" w:hAnsi="宋体" w:cs="宋体"/>
      <w:b/>
      <w:bCs/>
      <w:kern w:val="0"/>
      <w:sz w:val="30"/>
      <w:szCs w:val="30"/>
      <w:lang w:val="zh-CN" w:bidi="zh-CN"/>
    </w:rPr>
  </w:style>
  <w:style w:type="paragraph" w:customStyle="1" w:styleId="63">
    <w:name w:val="1"/>
    <w:basedOn w:val="1"/>
    <w:next w:val="12"/>
    <w:qFormat/>
    <w:uiPriority w:val="0"/>
    <w:pPr>
      <w:ind w:firstLine="420"/>
    </w:pPr>
    <w:rPr>
      <w:rFonts w:ascii="宋体"/>
      <w:sz w:val="32"/>
      <w:szCs w:val="20"/>
    </w:rPr>
  </w:style>
  <w:style w:type="paragraph" w:customStyle="1" w:styleId="64">
    <w:name w:val="标题 41"/>
    <w:basedOn w:val="1"/>
    <w:qFormat/>
    <w:uiPriority w:val="1"/>
    <w:pPr>
      <w:autoSpaceDE w:val="0"/>
      <w:autoSpaceDN w:val="0"/>
      <w:ind w:left="218"/>
      <w:jc w:val="left"/>
      <w:outlineLvl w:val="4"/>
    </w:pPr>
    <w:rPr>
      <w:rFonts w:ascii="黑体" w:hAnsi="黑体" w:eastAsia="黑体" w:cs="黑体"/>
      <w:b/>
      <w:bCs/>
      <w:kern w:val="0"/>
      <w:sz w:val="28"/>
      <w:szCs w:val="28"/>
      <w:lang w:val="zh-CN" w:bidi="zh-CN"/>
    </w:rPr>
  </w:style>
  <w:style w:type="paragraph" w:customStyle="1" w:styleId="65">
    <w:name w:val="元正正文标题2"/>
    <w:basedOn w:val="5"/>
    <w:qFormat/>
    <w:uiPriority w:val="0"/>
    <w:pPr>
      <w:keepNext w:val="0"/>
      <w:keepLines w:val="0"/>
      <w:adjustRightInd w:val="0"/>
      <w:snapToGrid w:val="0"/>
      <w:spacing w:before="0" w:after="0" w:line="300" w:lineRule="auto"/>
      <w:jc w:val="center"/>
      <w:outlineLvl w:val="9"/>
    </w:pPr>
    <w:rPr>
      <w:rFonts w:ascii="宋体" w:hAnsi="宋体" w:eastAsia="宋体"/>
      <w:bCs w:val="0"/>
    </w:rPr>
  </w:style>
  <w:style w:type="paragraph" w:customStyle="1" w:styleId="6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7">
    <w:name w:val="List Paragraph"/>
    <w:basedOn w:val="1"/>
    <w:qFormat/>
    <w:uiPriority w:val="1"/>
    <w:pPr>
      <w:ind w:firstLine="420" w:firstLineChars="200"/>
    </w:pPr>
  </w:style>
  <w:style w:type="paragraph" w:customStyle="1" w:styleId="68">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69">
    <w:name w:val="xl29"/>
    <w:basedOn w:val="1"/>
    <w:qFormat/>
    <w:uiPriority w:val="0"/>
    <w:pPr>
      <w:widowControl/>
      <w:spacing w:before="100" w:beforeAutospacing="1" w:after="100" w:afterAutospacing="1"/>
      <w:jc w:val="center"/>
    </w:pPr>
    <w:rPr>
      <w:rFonts w:ascii="宋体" w:hAnsi="宋体"/>
      <w:kern w:val="0"/>
      <w:sz w:val="28"/>
      <w:szCs w:val="28"/>
    </w:rPr>
  </w:style>
  <w:style w:type="table" w:customStyle="1" w:styleId="70">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styleId="71">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72">
    <w:name w:val="font01"/>
    <w:basedOn w:val="40"/>
    <w:qFormat/>
    <w:uiPriority w:val="0"/>
    <w:rPr>
      <w:rFonts w:hint="eastAsia" w:ascii="宋体" w:hAnsi="宋体" w:eastAsia="宋体" w:cs="宋体"/>
      <w:color w:val="000000"/>
      <w:sz w:val="24"/>
      <w:szCs w:val="24"/>
      <w:u w:val="none"/>
    </w:rPr>
  </w:style>
  <w:style w:type="character" w:customStyle="1" w:styleId="73">
    <w:name w:val="font31"/>
    <w:basedOn w:val="40"/>
    <w:qFormat/>
    <w:uiPriority w:val="0"/>
    <w:rPr>
      <w:rFonts w:hint="eastAsia" w:ascii="宋体" w:hAnsi="宋体" w:eastAsia="宋体" w:cs="宋体"/>
      <w:color w:val="000000"/>
      <w:sz w:val="22"/>
      <w:szCs w:val="22"/>
      <w:u w:val="none"/>
    </w:rPr>
  </w:style>
  <w:style w:type="character" w:customStyle="1" w:styleId="74">
    <w:name w:val="font81"/>
    <w:basedOn w:val="40"/>
    <w:qFormat/>
    <w:uiPriority w:val="0"/>
    <w:rPr>
      <w:rFonts w:hint="default" w:ascii="PingFang SC" w:hAnsi="PingFang SC" w:eastAsia="PingFang SC" w:cs="PingFang SC"/>
      <w:color w:val="000000"/>
      <w:sz w:val="20"/>
      <w:szCs w:val="20"/>
      <w:u w:val="none"/>
    </w:rPr>
  </w:style>
  <w:style w:type="character" w:customStyle="1" w:styleId="75">
    <w:name w:val="font51"/>
    <w:basedOn w:val="40"/>
    <w:qFormat/>
    <w:uiPriority w:val="0"/>
    <w:rPr>
      <w:rFonts w:hint="eastAsia" w:ascii="宋体" w:hAnsi="宋体" w:eastAsia="宋体" w:cs="宋体"/>
      <w:color w:val="000000"/>
      <w:sz w:val="20"/>
      <w:szCs w:val="20"/>
      <w:u w:val="none"/>
    </w:rPr>
  </w:style>
  <w:style w:type="character" w:customStyle="1" w:styleId="76">
    <w:name w:val="font41"/>
    <w:basedOn w:val="40"/>
    <w:qFormat/>
    <w:uiPriority w:val="0"/>
    <w:rPr>
      <w:rFonts w:hint="eastAsia" w:ascii="仿宋" w:hAnsi="仿宋" w:eastAsia="仿宋" w:cs="仿宋"/>
      <w:color w:val="000000"/>
      <w:sz w:val="20"/>
      <w:szCs w:val="20"/>
      <w:u w:val="none"/>
    </w:rPr>
  </w:style>
  <w:style w:type="character" w:customStyle="1" w:styleId="77">
    <w:name w:val="font101"/>
    <w:basedOn w:val="40"/>
    <w:qFormat/>
    <w:uiPriority w:val="0"/>
    <w:rPr>
      <w:rFonts w:hint="eastAsia" w:ascii="仿宋" w:hAnsi="仿宋" w:eastAsia="仿宋" w:cs="仿宋"/>
      <w:color w:val="ED7D31"/>
      <w:sz w:val="20"/>
      <w:szCs w:val="20"/>
      <w:u w:val="none"/>
    </w:rPr>
  </w:style>
  <w:style w:type="character" w:customStyle="1" w:styleId="78">
    <w:name w:val="font91"/>
    <w:basedOn w:val="40"/>
    <w:qFormat/>
    <w:uiPriority w:val="0"/>
    <w:rPr>
      <w:rFonts w:hint="eastAsia" w:ascii="宋体" w:hAnsi="宋体" w:eastAsia="宋体" w:cs="宋体"/>
      <w:color w:val="4E4E4E"/>
      <w:sz w:val="20"/>
      <w:szCs w:val="20"/>
      <w:u w:val="none"/>
    </w:rPr>
  </w:style>
  <w:style w:type="character" w:customStyle="1" w:styleId="79">
    <w:name w:val="font112"/>
    <w:basedOn w:val="40"/>
    <w:qFormat/>
    <w:uiPriority w:val="0"/>
    <w:rPr>
      <w:rFonts w:hint="default" w:ascii="PingFang SC" w:hAnsi="PingFang SC" w:eastAsia="PingFang SC" w:cs="PingFang SC"/>
      <w:color w:val="4E4E4E"/>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4.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62"/>
    <customShpInfo spid="_x0000_s2061"/>
    <customShpInfo spid="_x0000_s2060"/>
    <customShpInfo spid="_x0000_s2087"/>
    <customShpInfo spid="_x0000_s2068"/>
    <customShpInfo spid="_x0000_s2067"/>
    <customShpInfo spid="_x0000_s2066"/>
    <customShpInfo spid="_x0000_s2077"/>
    <customShpInfo spid="_x0000_s2076"/>
    <customShpInfo spid="_x0000_s2075"/>
    <customShpInfo spid="_x0000_s2081"/>
    <customShpInfo spid="_x0000_s2080"/>
    <customShpInfo spid="_x0000_s207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bb</Company>
  <Pages>57</Pages>
  <Words>22816</Words>
  <Characters>23564</Characters>
  <Lines>243</Lines>
  <Paragraphs>68</Paragraphs>
  <TotalTime>3</TotalTime>
  <ScaleCrop>false</ScaleCrop>
  <LinksUpToDate>false</LinksUpToDate>
  <CharactersWithSpaces>25644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2021-01-26T09:30:00Z</dcterms:created>
  <dc:creator>aa</dc:creator>
  <cp:lastModifiedBy>Administrator</cp:lastModifiedBy>
  <cp:lastPrinted>2019-08-14T12:12:00Z</cp:lastPrinted>
  <dcterms:modified xsi:type="dcterms:W3CDTF">2023-10-31T01:39:06Z</dcterms:modified>
  <dc:title>招标编号：NCZFCG2001-004</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76908CFF9B5B46F7A1064F22C96F8DC1_13</vt:lpwstr>
  </property>
</Properties>
</file>