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rPr>
          <w:rFonts w:hint="eastAsia" w:ascii="宋体" w:hAnsi="宋体"/>
          <w:color w:val="auto"/>
          <w:sz w:val="28"/>
          <w:szCs w:val="28"/>
        </w:rPr>
      </w:pPr>
      <w:bookmarkStart w:id="0" w:name="_Toc2905"/>
      <w:bookmarkStart w:id="1" w:name="_Toc11408"/>
      <w:r>
        <w:rPr>
          <w:rFonts w:hint="eastAsia" w:ascii="宋体" w:hAnsi="宋体"/>
          <w:color w:val="auto"/>
          <w:sz w:val="28"/>
          <w:szCs w:val="28"/>
        </w:rPr>
        <w:t>一、标的清单</w:t>
      </w:r>
      <w:bookmarkEnd w:id="0"/>
      <w:bookmarkEnd w:id="1"/>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4396"/>
        <w:gridCol w:w="156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85" w:type="pct"/>
            <w:noWrap w:val="0"/>
            <w:vAlign w:val="center"/>
          </w:tcPr>
          <w:p>
            <w:pPr>
              <w:spacing w:line="44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序号</w:t>
            </w:r>
          </w:p>
        </w:tc>
        <w:tc>
          <w:tcPr>
            <w:tcW w:w="2579" w:type="pct"/>
            <w:noWrap w:val="0"/>
            <w:vAlign w:val="center"/>
          </w:tcPr>
          <w:p>
            <w:pPr>
              <w:spacing w:line="44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设备名称</w:t>
            </w:r>
          </w:p>
        </w:tc>
        <w:tc>
          <w:tcPr>
            <w:tcW w:w="917" w:type="pct"/>
            <w:noWrap w:val="0"/>
            <w:vAlign w:val="center"/>
          </w:tcPr>
          <w:p>
            <w:pPr>
              <w:spacing w:line="440" w:lineRule="exact"/>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eastAsia="zh-CN"/>
              </w:rPr>
              <w:t>数量</w:t>
            </w:r>
          </w:p>
        </w:tc>
        <w:tc>
          <w:tcPr>
            <w:tcW w:w="917" w:type="pct"/>
            <w:noWrap w:val="0"/>
            <w:vAlign w:val="center"/>
          </w:tcPr>
          <w:p>
            <w:pPr>
              <w:spacing w:line="440" w:lineRule="exact"/>
              <w:jc w:val="center"/>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智慧生产物流管控系统</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智慧物流规划仿真系统</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highlight w:val="none"/>
                <w:u w:val="none"/>
                <w:lang w:val="en-US" w:eastAsia="zh-CN" w:bidi="ar"/>
              </w:rPr>
              <w:t>分体式图文工作终端</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RF手持终端</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搬运机器人1</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搬运机器人2</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自动充电桩</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存储货架</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highlight w:val="none"/>
                <w:u w:val="none"/>
                <w:lang w:val="en-US" w:eastAsia="zh-CN" w:bidi="ar"/>
              </w:rPr>
              <w:t>智能拣选机器人调度软件</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物料箱</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396</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模拟物料</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拣选台</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高性能数据处理终端</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流利货架</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电子标签</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自动化立体仓库</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57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屏幕交互数据综合处理工作站</w:t>
            </w:r>
          </w:p>
        </w:tc>
        <w:tc>
          <w:tcPr>
            <w:tcW w:w="91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917" w:type="pct"/>
            <w:noWrap w:val="0"/>
            <w:vAlign w:val="center"/>
          </w:tcPr>
          <w:p>
            <w:pPr>
              <w:spacing w:line="440" w:lineRule="exact"/>
              <w:jc w:val="center"/>
              <w:rPr>
                <w:rFonts w:hint="eastAsia" w:ascii="宋体" w:hAnsi="宋体"/>
                <w:color w:val="auto"/>
                <w:sz w:val="24"/>
                <w:szCs w:val="24"/>
              </w:rPr>
            </w:pPr>
            <w:r>
              <w:rPr>
                <w:rStyle w:val="7"/>
                <w:rFonts w:hint="eastAsia" w:ascii="宋体" w:hAnsi="宋体" w:eastAsia="宋体" w:cs="宋体"/>
                <w:color w:val="auto"/>
                <w:sz w:val="24"/>
                <w:szCs w:val="24"/>
                <w:lang w:val="en-US" w:eastAsia="zh-CN" w:bidi="ar"/>
              </w:rPr>
              <w:t>套</w:t>
            </w:r>
          </w:p>
        </w:tc>
      </w:tr>
    </w:tbl>
    <w:p>
      <w:pPr>
        <w:rPr>
          <w:rFonts w:hint="eastAsia"/>
          <w:color w:val="auto"/>
        </w:rPr>
      </w:pPr>
    </w:p>
    <w:p>
      <w:pPr>
        <w:pStyle w:val="4"/>
        <w:spacing w:before="0" w:after="0"/>
        <w:rPr>
          <w:rFonts w:hint="eastAsia" w:ascii="宋体" w:hAnsi="宋体"/>
          <w:color w:val="auto"/>
          <w:sz w:val="28"/>
          <w:szCs w:val="28"/>
        </w:rPr>
      </w:pPr>
      <w:bookmarkStart w:id="2" w:name="_Toc8883"/>
      <w:bookmarkStart w:id="3" w:name="_Toc118471811"/>
      <w:bookmarkStart w:id="4" w:name="_Toc121066123"/>
      <w:bookmarkStart w:id="5" w:name="_Toc7439"/>
      <w:r>
        <w:rPr>
          <w:rFonts w:hint="eastAsia" w:ascii="宋体" w:hAnsi="宋体"/>
          <w:color w:val="auto"/>
          <w:sz w:val="28"/>
          <w:szCs w:val="28"/>
        </w:rPr>
        <w:t>二、技术要求</w:t>
      </w:r>
      <w:bookmarkEnd w:id="2"/>
      <w:bookmarkEnd w:id="3"/>
      <w:bookmarkEnd w:id="4"/>
      <w:bookmarkEnd w:id="5"/>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611"/>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91" w:type="pct"/>
            <w:noWrap w:val="0"/>
            <w:vAlign w:val="center"/>
          </w:tcPr>
          <w:p>
            <w:pP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945" w:type="pct"/>
            <w:noWrap w:val="0"/>
            <w:vAlign w:val="center"/>
          </w:tcPr>
          <w:p>
            <w:pP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lang w:eastAsia="zh-CN"/>
              </w:rPr>
              <w:t>设备</w:t>
            </w:r>
            <w:r>
              <w:rPr>
                <w:rFonts w:hint="eastAsia" w:ascii="宋体" w:hAnsi="宋体" w:cs="宋体"/>
                <w:b/>
                <w:color w:val="auto"/>
                <w:kern w:val="0"/>
                <w:sz w:val="24"/>
                <w:highlight w:val="none"/>
              </w:rPr>
              <w:t>名称</w:t>
            </w:r>
          </w:p>
        </w:tc>
        <w:tc>
          <w:tcPr>
            <w:tcW w:w="3663" w:type="pct"/>
            <w:noWrap w:val="0"/>
            <w:vAlign w:val="center"/>
          </w:tcPr>
          <w:p>
            <w:pPr>
              <w:jc w:val="center"/>
              <w:rPr>
                <w:rFonts w:hint="eastAsia" w:ascii="宋体" w:hAnsi="宋体" w:cs="宋体"/>
                <w:b/>
                <w:color w:val="auto"/>
                <w:kern w:val="0"/>
                <w:sz w:val="24"/>
                <w:highlight w:val="none"/>
              </w:rPr>
            </w:pPr>
            <w:r>
              <w:rPr>
                <w:rFonts w:hint="eastAsia" w:ascii="宋体" w:hAnsi="宋体" w:cs="宋体"/>
                <w:b/>
                <w:color w:val="auto"/>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0"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eastAsia="宋体" w:cs="宋体"/>
                <w:color w:val="auto"/>
                <w:sz w:val="24"/>
                <w:szCs w:val="24"/>
              </w:rPr>
              <w:t>1</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i w:val="0"/>
                <w:iCs w:val="0"/>
                <w:color w:val="auto"/>
                <w:kern w:val="0"/>
                <w:sz w:val="24"/>
                <w:szCs w:val="24"/>
                <w:u w:val="none"/>
                <w:lang w:val="en-US" w:eastAsia="zh-CN" w:bidi="ar"/>
              </w:rPr>
              <w:t>智慧生产物流管控系统</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一、技术要求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1.系统采用B/S架构，易于升级和维护，便于数据的管理并能充分保证数据的安全；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2.系统采用稳定的J2EE体系三层架构，可靠的业务模块和组装等技术手段，充分保证系统的运行稳定、可靠、高效性；</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3.在界面展示、网络传输、业务逻辑处理等多个层面保证系统的效率；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4.简单易用，界面统一、整洁、操作灵活方便；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5.系统支持SAAS化部署，减少服务器等硬件基础设备采购成本，同时能够同步使用最新升级版软件。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二、功能要求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智慧生产物流管控系统包括生产管理和仓储管理两大模块。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1.生产管理模块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生产管理模块需包含BOM数据、工艺流程、生产工序、排产计划和生产模拟等功能。可对BOM信息、生产工艺、工序等信息进行配置，通过排产计划下达，实现智能生产运行。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（1）系统需包含产品管理功能，可对产品的基本信息进行配置。配置内容包括：产品类型、产品名称、产品代码、产品尺寸、体积、重量，可支持产品图片上传功能。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（2）系统包含BOM数据功能，系统可对产成品配置所需原料清单及数量，可支持多级清单配置。配置内容包括：父级物料、子级物料及数量。</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（3）系统需包含工厂管理功能，可对工厂的基本信息进行配置。配置内容包括：工厂名称、工厂代码、所在省/市、详细地址、经纬度坐标等内容。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（4）系统需包含车间管理功能，可以工厂里面的生产车间信息进行配置。配置内容包括：选择工厂、车间名称、车间代码、产能、周工作天数等。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（5）系统包含工序管理功能，可针对产品的工序代码、工序名称、处理时间等内容进行设置。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系统包含工艺管理功能，可对生产工艺信息进行配置。配置内容包括：工厂、车间、工艺名称、工艺编号、工艺说明、工序、规则设定。选择规则为并行时，可针对该生产工艺的生产工序进行处理优先级排序，生产过程中可按照规则进行资源调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Times New Roman" w:hAnsi="Times New Roman" w:cs="Times New Roman"/>
                <w:b/>
                <w:bCs/>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（7）系统包含排产计划功能，在系统中下达生产任务，录入生产产品、数量、生产工艺、计划开始时间，可实现生产任务单的下达。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（8）系统需包含物流计划功能，通过该功能可自动同步智慧物流管理系统中的入库、出库、补货订单。点击数据同步按钮可根据案例对智慧物流管理系统实现一键数据初始化。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系统需包含生产模拟功能，自动化监控生产任务，根据生产产品、工艺、工序的配置，进行生产过程模拟；能够显示排产单号、产品名称、计划产量、当前产量信息；能够根据待加工的产品信息、生产工艺获取生产工序，根据每道工序的生产节拍进行倒计时，并用不同颜色展示工位的4种状态（空闲、装配、缺料、停工）；能够显示每道工序对应线边库的物料库存量，以及产成品库存量，可根据生产过程对于原料的消耗进行动态更新，当库存量到达补货点时，可根据补料策略自动下达补料单。</w:t>
            </w: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提供真实系统的演示视频</w:t>
            </w:r>
            <w:r>
              <w:rPr>
                <w:rFonts w:hint="eastAsia" w:ascii="Times New Roman" w:hAnsi="Times New Roman" w:cs="Times New Roman"/>
                <w:b/>
                <w:bCs/>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（10）系统需包含设备任务查询功能，可针对系统下发到机器人的补料入库、拣选出库、补料搬运和成品入库搬运等类型的作业指令进行查询，可转对任务进行初始化操作。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（11）系统需包含设备日志查询功能，可针对每条设备任务的执行过程分解及查询。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2.仓储管理模块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（1）系统需包含供应商管理功能，可对供应商的基本信息进行配置。配置内容包括：供应商名称、联系人、联系电话、拼音码、地址企业规模等信息进行配置。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（2）系统需包含客户管理功能，可对客户信息进行配置。配置内容包括：客户名称、联系人、电话、地址等信息。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系统需具备货品管理功能，支持对货品信息进行查询、新增、修改、删除和货品同步操作；支持针对每个商品配置上架规则、下架规则、码盘规则和货品数量对照配置等规则设置；针对货品属性需具备不少于25种包装单位、20种货品类别、120种货品子分类的设置。</w:t>
            </w: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提供真实系统的演示视频</w:t>
            </w:r>
            <w:r>
              <w:rPr>
                <w:rFonts w:hint="eastAsia" w:ascii="Times New Roman" w:hAnsi="Times New Roman" w:cs="Times New Roman"/>
                <w:b/>
                <w:bCs/>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（4）系统需具备库房管理功能，对库房信息进行新增、修改、查看和删除操作。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（5）系统需具备储位管理功能，对区/储位信息进行通道管理、新增、修改、查看、删除操作。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系统需具备存储策略配置功能，可完成原材料在电子拣选区和货到人拣选区的存储策略配置，可支持按照库区、储位、储位区间进行设定。配置内容包括：库区、起始储位、结束储位、物料、单位、容器货品量、储位容器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系统具备补料策略设置功能，可完成生产工位线边库补料规则的设置，当该物料库存低于补料点时，系统自动生成补料单并驱动从原材料存储区向生产工位线边库的补料作业。补料策略配置内容包括：库区、储位、物料、补料点、补料数量、单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系统具备入库单录入功能，在系统中录入入库单，输入多行物料名称、数量、单位，提交并生成入库单。入库单生成后，应支持下达入库指令，系统按照存储策略配置中的设置，为所需入库的原材料自动分配目标储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（9）系统需具备入库单打印功能，可进行单据提交、单据打印、越库操作和指令退回等功能。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（10）系统需具备出库单录入功能，支持对出库单进行查询、新增、修改、删除、发送审核和返回功能。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（11）系统需具备出库单打印功能，支持根据订单号、出库单号和客户信息进行模糊查询，支持针对出库单进行打印、退回操作功能，指令退回后可在出库单录入功能修改订单信息。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（12）系统具备手动补料单下达功能，在系统中支持手动录入并下达补料单，用于支持班次开始前的初始补料作业。输入内容为多行待补货物料列表，内容包括：源区、源储位、目标区、目标储位、数量、单位。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（13）盘点单：系统具备盘点单录入功能，支持查询、新增、修改、删除、发送审核和返回操作。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（14）系统具备手动盘点结果打印功能，支持根据订单号进行模糊查询，支持针对盘点进行打印、退回操作功能，指令退回后可在盘点单录入功能修改订单信息。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（15）系统具备库存查询功能，可以根据区名称、条形码和货品名称对库存进行查询。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（16）系统具备可视化库存查询功能，对库房的各个功能区进行图形页面的可视化库存查询，点击具体储位可展出该储位货品库存详细信息。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（17）▲系统需具备RF手持系统，可接收智慧物流管理系统下达的入库、出库、补货等作业指令，学生可根据手持上的提示进行具体业务的执行。</w:t>
            </w: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提供真实系统的演示视频</w:t>
            </w:r>
            <w:r>
              <w:rPr>
                <w:rFonts w:hint="eastAsia" w:ascii="Times New Roman" w:hAnsi="Times New Roman" w:cs="Times New Roman"/>
                <w:b/>
                <w:bCs/>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1）RF手持系统需包含入库任务功能，系统接收智慧物流管理系统下达的入库指令，学生可结合实际业务场景启动其中的作业任务，如果目标库区是货到人区，则AGV将接收到指令，将货架搬运至工作站做入库准备。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2）RF手持系统需包含入库理货功能，该功能可通过扫描货品条码、容器条码并输入数量进行货品与容器的绑定。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3）RF手持系统需具备入库搬运功能，该功能可通过扫描容器条码获取搬运目的地信息，通过手动搬运或者调度AGV进行自动化搬运。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4）RF手持系统需包含入库上架功能，该功能可通过扫描容器编码获取入库上架信息，根据系统提示扫描上架货位并完成上架作业。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RF手持系统需包含补料任务功能，该任务可获取手动补料指令和自动下达的补料指令，可通过该功能启动补料作业。如果源库区是货到人区，则拣选AGV将接收到指令，将货架搬运至工作站做入库准备。如果源库区是电子拣选区，则电子标签将被点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6）RF手持系统需包含注册容器功能，功能可通过扫描货品条码、容器条码并输入数量进行货品与容器的绑定。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7）RF手持系统需包含补料拣选功能，扫描周转箱条码、扫描储位条码，输入数量完成拣货作业。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8）RF手持系统需包含工位补料功能，通过该功能可实现对生产工位线边库补料上架操作。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9）RF手持系统能够与拣选AGV、线性搬运AGV、自动化立库、电子标签等设备无缝对接。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三、其他说明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1.授权数量：提供5个账号。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eastAsia="宋体" w:cs="宋体"/>
                <w:color w:val="auto"/>
                <w:sz w:val="24"/>
                <w:szCs w:val="24"/>
                <w:lang w:val="en-US" w:eastAsia="zh-CN"/>
              </w:rPr>
              <w:t>2</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i w:val="0"/>
                <w:iCs w:val="0"/>
                <w:color w:val="auto"/>
                <w:kern w:val="0"/>
                <w:sz w:val="24"/>
                <w:szCs w:val="24"/>
                <w:u w:val="none"/>
                <w:lang w:val="en-US" w:eastAsia="zh-CN" w:bidi="ar"/>
              </w:rPr>
              <w:t>智慧物流规划仿真系统</w:t>
            </w:r>
          </w:p>
        </w:tc>
        <w:tc>
          <w:tcPr>
            <w:tcW w:w="6741" w:type="dxa"/>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教学要求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智慧物流规划仿真系统是基于虚拟仿真技术的三维仿真实验软件，可用于多仓储场景的仿真实验教学。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1.系统需满足三维仓储场景规划、如搬运机器人、AGV拣选货架、电子拣选货架、充电桩设备的布局与规划。实现对设备的认知的教学作用以及仓储场景规划的教学作用；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2.系统需满足智能仓储业务逻辑，如AGV拣选出库业务、AGV补货入库业务。实现对智能仓业务逻辑的认知与设计的教学作用；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3.系统需满足对库存管理决策点的教学需求，如储位规划、货位规划、库存上限规划。系统需满足对订单需求的录入与修改的教学需求；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4.系统需满足对AGV调度规则设置的教学需求，如AGV寻路、避障、排队、优先级、充电、等待。实现对AGV调度内容的理解与其影响作业效率原理的教学作业；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5.系统需满足对仿真运行结果报告与数据表格输出的教学需求，形成统一的仿真数据报告与仿真基础信息。便于教师与学生总结讨论并输出教学成果的作用。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二、技术参数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1.技术架构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系统需基于3D开发引擎进行开发，启用可视化的逻辑编程技术，整体需采用C/S架构进行研发，运用离散仿真技术和寻路算法及调度算法对系统进行底层支持。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三、系统功能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1.仿真环境创建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需对仿真运行时间单位的选择与设置，初始仿真运行时间的设置与调配、布局场景的长度单位选择与场景大小设置。创建所需使用的仿真环境。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2.建模功能模块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（1）场景编辑器模块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系统需满足使用三维/二维的视角进行设备及场景布局规划操作，需支持对路径及网络的创建与编辑功能，需具备坐标系位置显示，便于进行三维空间精细化布局。满足设备与网络路径之间的关系绑定功能。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具备设备与网络的资源库，便于快速创建，支持对应设备的属性参数配置与修改。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（2）业务蓝图编辑器模块</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▲系统需满足使用二维视角，进行作业流程的设计、信息传递流程的设计与作业设备匹配设计，支持运用业务逻辑节点拖拽连接的方式进行流程规划设计，便于对不同业务逻辑的设置与调整。</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lang w:bidi="ar"/>
              </w:rPr>
              <w:t>提供真实系统的演示视频</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（3）信息数据建模模块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系统需具备订单信息数据填写与删除功能、存储信息数据填写与删除功能。填写后的表格定义为信息资源。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（4）数据呈现编辑器模块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▲系统需具备在三维视角下的运行时数据监控面板的拖拽布置与效果预览功能，需支持多面板多位置的调整布置。</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lang w:bidi="ar"/>
              </w:rPr>
              <w:t>提供真实系统的演示视频</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3.基础交互操作支持</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▲具体需包括：点击创建、选中/批量选中、打组、移动/批量移动、旋转/批量旋转、连接、吸附、复制、粘贴、删除。</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提供真实系统的演示视频</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（2）视角切换：透视、顶视。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4.模型资源库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（1）系统模型资源库需包含：搬运机器人、AGV拣选货架、电子拣选货架、充电桩模型资源。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（2）资源实体属性参数调整需包含：移动实体、存储实体、处理实体。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5.网络资源库资源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（1）点：基础点。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（2）线：基础直线。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（3）面：基础面、智能拣选区。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6.蓝图组件库资源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（1）事件类组件需包含开始蓝图（全局仿真事件的开始触发）；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（2）流程类组件需包含分支组件（流程分流）；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（3）处理方法类组件需包含调度器组件（控制实体调度）、处理器组件（控制处理规则）；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（4）通用方法类组件需包含移动组件（移动）、装载组件（移动+装载）、卸载组件（移动+卸载）；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（5）创建方法类组件需包含发生器组件（发生任务/实体）；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（6）实体资源类组件需包含实体组件（实体资源）；（7）信息资源类组件需包含信息组件（信息资源）。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7.仿真运行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系统需支持仿真场景运行，仿真时间倍率调整功能、仿真起始/暂停、仿真运行呈现功能，便于对仿真运行过程的查看。需具备仿真报告输出功能，针对仿真运行的基础数据以及运行数据，输出对应结果报告。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8.辅助功能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具体需包括：教学手册、教学视频。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9.授权数量：提供5个账号。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四、其他要求：</w:t>
            </w:r>
            <w:r>
              <w:rPr>
                <w:rFonts w:hint="eastAsia" w:ascii="宋体" w:hAnsi="宋体" w:eastAsia="宋体" w:cs="宋体"/>
                <w:i w:val="0"/>
                <w:iCs w:val="0"/>
                <w:color w:val="auto"/>
                <w:kern w:val="0"/>
                <w:sz w:val="24"/>
                <w:szCs w:val="24"/>
                <w:highlight w:val="none"/>
                <w:u w:val="none"/>
                <w:lang w:val="en-US" w:eastAsia="zh-CN" w:bidi="ar"/>
              </w:rPr>
              <w:t>系统运行环境的最低基准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（1）CPU：≥I5 10代；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（2）内存容量及速度：容量≥16G，速度≥DDR4；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（3）显卡：≥4GB显存；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（4）操作系统：≥ Windows 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（5）网卡：集成10/100/1000M以太网卡；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（6）硬盘：固态硬盘512GB及以上；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（7）DirectX 版本：12；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（8）显示器：21.5显示器及以上，具有低蓝光功能。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3</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分体式图文工作终端</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1.CPU： ≥Core i7</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2.主板：≥Intel B560及以上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3.内存：≥配置16GB DDR4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4.显卡：≥2G独立显卡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5.声卡：5.1声道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6.硬盘：≥1T SATA硬盘+256SSD固态硬盘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7.网卡：Integrated Ethernet千兆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8.扩展槽：≥1个PCI-E*16，≥2个PCI-E*1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9.键盘、鼠标 防水键盘，抗菌鼠标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10.接口：≥10个USB接口（前6个USB）、串口，VGA+HDMI</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11.电源：节能电源不大于180W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12.显示器： ≥19.5低蓝光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13.操作系统：家庭版 win11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4</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RF手持终端</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 xml:space="preserve">1. CPU：≥Cortex™-A53 八核1.8GHz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操作系统：≥Android9.0，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RAM：≥3GB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ROM：≥16GB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Micro SD Card,最大兼容32G，支持USB2.0， HighSpeed，支持OTG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 键盘：31键，LED透光（主键盘按键带背光）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 显示屏幕：4英寸工业级耐低温电容式触摸屏,支持戴手套/带水触摸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 电池： ≥5500毫安，可拆卸3.7V锂离子充电电池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 内置扬声器，内置麦克风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 xml:space="preserve"> 防水防尘工业等级</w:t>
            </w:r>
            <w:r>
              <w:rPr>
                <w:rFonts w:hint="eastAsia" w:ascii="宋体" w:hAnsi="宋体" w:eastAsia="宋体" w:cs="宋体"/>
                <w:i w:val="0"/>
                <w:iCs w:val="0"/>
                <w:color w:val="auto"/>
                <w:kern w:val="0"/>
                <w:sz w:val="24"/>
                <w:szCs w:val="24"/>
                <w:u w:val="none"/>
                <w:lang w:val="en-US" w:eastAsia="zh-CN" w:bidi="ar"/>
              </w:rPr>
              <w:t>：≥IP65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 最大分辨率：3264 * 2448（拍照），1080P 60fps（摄像）自动对焦 1300万像素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 通讯协议：IEEE 802.11a/b/g/n/ac（2.4G/5G双频WIFI）</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 含备用电池及充电底座一套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5</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搬运机器人1</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 xml:space="preserve">1.自重：≤135kg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2.车体高度：≤245mm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3.额定负载：≥800kg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4.顶升高度：≥58mm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5.空载速度：≤2.1m/s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6.满载速度：≤1.5m/s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7.导航方式：二维码+IMU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8.定位精度：±10mm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9.停止精度：±5mm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10.电池类型：磷酸铁锂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11. 电池容量：51.2V/24Ah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12.额定续航：≥6h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13.电池寿命：≥1500（完全充放电）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14.过沟能力：≤35mm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15.过坎能力：≤10mm 过坡能力：3°（10m）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16.驱动方式：双轮差速，支持原地旋转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17.供电方式：自主充电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18.控制方式：支持自动、手动、遥控等操作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19.通信方式： WIFI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20.负载方式：潜入式顶升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21.人机交互：按键+声光+遥控 安全防护：激光、防撞条、急停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22.使用温度：-10-45℃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6</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搬运机器人2</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1.自重：≤150kg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2.车体高度：约500mm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3.额定负载：≥800kg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4.空载速度：≤2.1m/s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5.满载速度：≤1.5m/s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6.导航方式：二维码+IMU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7.定位精度：±10mm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8.停止精度：±5mm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9.电池类型：磷酸铁锂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10. 电池容量：51.2V/24Ah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11.额定续航：≥6h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12.电池寿命：≥1500（完全充放电）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13.过沟能力：≤35mm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14.过坎能力：≤10mm ；过坡能力：3°（10m）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15.驱动方式：双轮差速，支持原地旋转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16.供电方式：自主充电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17.控制方式：支持自动、手动、遥控等操作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18.通信方式： WIFI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19.负载方式：潜入式顶升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20.人机交互：按键+声光+遥控 安全防护：激光、防撞条、急停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21.使用温度：-10-45℃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7</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自动充电桩</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 输入电压：AC220V 50-60HZ   输出电压：DC38-60V。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输出电流：3-45A。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充电口连接寿命：＞20000次。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噪音：＜70dB。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使用环境温度 ：-20—45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8</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存储货架</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 货架尺寸：长：约920mm, 宽：约920mm, 高约1800mm。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货架类型：≥4层（双面拣选）。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钢管规格：≥40*40*1mm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纸箱：≥10个纸箱或料箱位。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货架及托具的角钢厚度：≥1.5mm。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 表面喷涂处理。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 所有部件加工后打磨毛刺、无裂缝、无伤痕。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 所有焊接件，焊接牢固，焊痕光滑、平整。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9</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智能拣选机器人调度软件</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上接仓储管理系统，下联物流设备，在整个物流环节中起着重要的纽带作用。调度软件与上位系统交换信息是实时的，以便及时的获取物流任务，指挥各物流设备执行上位系统所下达的物流任务，同时调度软件与设备间的交换信息也是实时的，以便及时获取各设备执行结果，并将执行结果实时反馈给上位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（一）系统组成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1.设备管理：设备添加删除、设备接入；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2.任务执行：根据任务优先级、设备情况、站点任务等情况执行上游下发和系统自动生成的任务；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3.导航规划：全局导航、热点检测、实时规划、拥堵解环；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4.调度策略：设备控制策略、运力分配策略、站点策略、充电策略、休息策略、容器跨子图接驳策略；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5.实时监控：设备状态监控、导航路径监控、任务执行监控；</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异常处理：异常报警、链接异常自愈、指令异常自愈；</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模拟仿真：仿真环境搭建、设备模拟仿真、任务执行仿真、仿真结果展现；</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地图管理：地图导入、地图更新、设备地图同步下发。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（二）功能要求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1.调度软件对接入设备进行管理，对设备心跳处理，设备控制指令的下发；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2.调度软件将协调设备之间传输的控制，同时对任务的状态与上位系统同步；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3.调度软件将严格根据上位系统的路径指示及上位系统预先确定的优先级和顺序进行运送控制；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4.调度软件将设备故障及时告警，同时针对一些异常可系统自愈；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5.调度软件对设备上的物流运输情况，以及设备的控制将以可视化的形式反映给用户；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6.调度软件将记录在物流搬运过程中所发生的所有节点信息，同时将上位系统所需要的节点信息进行实时上传交互，而在交换过程中的命令，通知和报文都将以数据库形式存放于调度软件系统中。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（三）接口概述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1.设备移动接口：指定设备从A点移动到B点；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2.容器搬运接口：指定容器从A点搬运到B点。支持批量任务、任务暂停、任务取消；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3.设备管理接口：设备查询、添加删除设备、设备锁定、设备暂停；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4.容器管理接口：容器查询、添加删除容器、容器位置变更；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5.站点管理接口：站点查询。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（四）系统管理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1.权限管理：各功能模块具有自己的权限限制，有操作权限的人员才能操作相应的模块。系统提供许可认证，并记录每一用户的活动；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2.可用于展示仓库设备概要信息及子仓设备概要信息并提供子仓地图更新功能；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3.实时监控: 展示现场生产的可视化实时界面, 包括地图布局,设备监控, 设备控制, 容器监控, 任务监控, 路况监控, 交通管制；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4.设备管理: 维护设备包括添加,占用,释放,运行,暂停,注销,删除；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5.任务管理: 监控设备的任务详情,包括任务编号,任务类型,任务状态,设备编号,容器编号,任务下发时间段,失败原因等；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6.资源管理: 管理仓库的容器规格,容器,运力组,区域,站点等信息；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Chars="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7.实施调试: 调试设备, 包括设备参数；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8.系统配置: 配置导航设备的充电策略。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（五）适配系统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1.必须适配Linux系统。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10</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物料箱</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1.材质：塑料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2.尺寸：约350*270*125（mm）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3.用于货到人存储及转运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11</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模拟物料</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1.流程需要组装模拟物品；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2.地面刻字划线：场地布置及地面划线，包含地面分割带、区域帖字；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3.布电布线：配套24口交换机*1、无线AP*1、机柜*1、网口若干、电口若干。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12</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拣选台</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1.骨架材质：冷轧钢板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2.桌面材质：三聚氰胺板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3.尺寸：约1000*600*750（mm）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4.承重：≥300KG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13</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高性能数据处理终端</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 xml:space="preserve">1.CPU: Intel Xeon 3106及以上。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2.内存：≥32GB（16*2）。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3.硬盘：2*300GB SAS 10K 2.5寸。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4.电源：1*550w电源。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5.网卡：≥2个以上标配千兆网卡端口。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6.光驱：DVD光驱。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14</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流利货架</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1.规格：约1500×1000×1900（mm），2组。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2.层数：三层横梁。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3.材质：优质钢材+静电喷塑。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4.承重：≥50kg。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5.适用容器尺寸：约 380*270*130（mm）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6.每层三排流利链；倾斜角度可调整，标准为5度左右。前端可安装电子标签辅助拣货设备。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7.配套3000×500×750（mm）左右无动力滚筒。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15</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电子标签</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含1套控制器、完成器和显示器，12片电子标签以及配套辅助材料等。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1.3位数7段式LED显示；至少1个确认按钮及1个功能键，含指示灯。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2.电压／电流：DC12V／100mA。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3.工作温度：0℃-40℃。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4.防护等级:≥IP53。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16</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自动化立体仓库</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自动化立体仓库由控制系统、全自动巷道式堆垛机、立体仓库、出入库输送线等组成。尺寸：≥3000mm*1350mm*2200mm（长*宽*高）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1．主控制器：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1）用户存储器：24KB工作存储器；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2）板载数字I/O：≥24路输入/16路输出；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3）脉冲输出：≥3路100HZ；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4）过程映像大小：256 位输入 (I)/256 位输出 (Q)；</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5）高速计数器：≥4个，200KHZ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6）脉冲输出：≥3路；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7）网口：≥1个，类型：以太网，支持PROFNET通信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8）RS485通信模块：≥1个。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2．扩展模块：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1）电源：24VDC；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2）数字量I/O：≥40路输入；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3.工业以太网交换机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1）输入电源：DC24V；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2）RJ45接口数量：≥8；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3）安装方式：卡导轨安装。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4.电源控制系统：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1）断路器：≥1套；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2）交流接触器：≥1套；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3）24V开关电源：≥1套；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4）控制用中间继电器：≥4个；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5.伺服驱动器1个：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1）输入电压：单相AC200-240V；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2）最大负载电机功率：≥0.1Kw；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3）控制模式：位置控制、速度控制、转矩控制；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4）输入形态：PN总线；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6.伺服驱动器2个：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1）输入电压：单相AC200-240V；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2）最大负载电机功率：≥0.4Kw；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3）控制模式：位置控制；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4）输入形态：PN总线；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7.堆垛机升降：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1）有效行程：≥1400mm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2）伺服电机：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（1）输入电压：AC220V；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（2）功率：400W；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（3）编码器：绝对值编码器；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（4）抱闸：带抱闸。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（5）定位方式：闭环绝对值模式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3）配套传感器：≥2个。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4）配套限位开关：≥2个。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8.堆垛机行走：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1）有效行程：≥1800mm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2）伺服电机：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（2）功率：≥0.4Kw；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（3）编码器：绝对值编码器；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（4）定位方式：绝对值模式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3）配套传感器：≥2个。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9.堆垛机货叉：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1）有效行程：≥1400mm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2）伺服电机：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（2）功率：≥0.1Kw；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（3）编码器：绝对值编码器；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（4）定位方式：闭环绝对值模式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3）配套传感器：≥3个。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10.立体仓库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设备配套双面立体仓库，仓库整体由铝型材搭建而成，每个仓位采用微动开关检测仓位信息。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1）仓库库位数量：≥38个；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2）仓库库位尺寸：≥375*400*250（mm）（宽*深*高）；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3）每个仓库配套微动开关检测仓位信息。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11.出入库输送线2个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流水线由三相异步电机、皮带、型材框架、RFID读写器、电子调速器等构成，配合立体仓库进行原料托盘的出入库。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1）尺寸：≥1000mm*330mm*700mm（长*宽*高）；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2）三相异步电机：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（1）输入电压：AC220V；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（2）功率：40W；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3）RFID读写器：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用于仓储物料内嵌芯片的读取与写入，进行仓库的数据管理。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（1）无线电工作频率：≥13.56 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（2）读取距离：≥0-600mm；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（3）传输率：≥115.2 kbit/s；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（4）供电电压：DC24V；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（5）通信协议：ISO 15693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noWrap w:val="0"/>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24"/>
                <w:szCs w:val="24"/>
                <w:lang w:val="en-US" w:eastAsia="zh-CN"/>
              </w:rPr>
              <w:t>17</w:t>
            </w:r>
          </w:p>
        </w:tc>
        <w:tc>
          <w:tcPr>
            <w:tcW w:w="1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屏幕交互数据综合处理工作站</w:t>
            </w:r>
          </w:p>
        </w:tc>
        <w:tc>
          <w:tcPr>
            <w:tcW w:w="67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u w:val="none"/>
                <w:lang w:val="en-US" w:eastAsia="zh-CN" w:bidi="ar"/>
              </w:rPr>
              <w:t>1.整机屏幕采用UHD超高清LED 液晶屏，背光源，A 规屏或以上标准；显示尺寸不小于65</w:t>
            </w:r>
            <w:r>
              <w:rPr>
                <w:rFonts w:hint="eastAsia"/>
                <w:color w:val="auto"/>
                <w:lang w:val="en-US" w:eastAsia="zh-CN"/>
              </w:rPr>
              <w:t>英寸</w:t>
            </w:r>
            <w:r>
              <w:rPr>
                <w:rFonts w:hint="eastAsia" w:ascii="宋体" w:hAnsi="宋体" w:eastAsia="宋体" w:cs="宋体"/>
                <w:i w:val="0"/>
                <w:iCs w:val="0"/>
                <w:color w:val="auto"/>
                <w:kern w:val="0"/>
                <w:sz w:val="24"/>
                <w:szCs w:val="24"/>
                <w:u w:val="none"/>
                <w:lang w:val="en-US" w:eastAsia="zh-CN" w:bidi="ar"/>
              </w:rPr>
              <w:t>，显示比例16:9，显示分辨率不小于3840×2160，可视角度不小于178°，保证学生观看效果；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2.安卓主页面提供≥3个应用入口，任意应用入口可以根据教学需要自行更换。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3.支持双路WIFI，支持2.4G/5G双频，在无PC条件下，整机可上网，同时可开AP热点；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4.支持全通道批注功能，自带锁屏功能；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5.外边框铝合金材质，前框四角圆弧型设计，全金属后壳，防腐蚀设计，高可靠性；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6.为了满足老师便于操作的功能，前置物理按键至少不小于6个，可实现包含电源、音量+、音量-、设置、主页、返回、护眼、录屏等功能。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7.支持 Android8.0系统，大屏硬件内存不低于3GB，存储空间不低于12GB；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8.应用HDR10技术，提升动态对比度、色彩梯度，让多媒体教学视频显示效果更真实更自然；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9.需具备安卓系统的小工具，支持截屏、聚光灯、计算器、倒计时、一键锁屏、投票、一键清理等功能；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10.为了提升教师上课效率，便于教师操作，整机前置接口需具备：USB3.0≥2个，HDMI≥1个，Touch USB≥1个，Type-C≥1个； 前置USB接口支持Windows 及Android 双系统读取，将U盘插入任意前置USB接口，均能被Windows及Android 系统识别，防止老师误操作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11.前置USB接口支持Windows 及Android 双系统读取，将U盘插入任意前置USB接口，均能被Windows及Android 系统识别，防止老师误操作；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12.在任意信号源通道下均可通过两指调出悬浮菜单，悬浮菜单具有一键启动白板软件、调节音量、切换信号源等功能。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13.为了保证教学质量，提供教师电脑和大屏或者其他设备同时通过有线上网，整机后置接口需具备：USB≥2，YPbPr IN≥1，AV IN≥1，RJ45≥2 （不含OPS RJ45接口）等；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14.整机只需连接一根网线，即可实现Windows 及Android系统同时联网。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15.触控特性：要求20点以上红外触控技术，无需安装驱动和校准定位，无遮挡下同时识别10点独立书写操作，触摸分辨率不少于32768*32768，无触摸死点；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16.为了提升教学过程中传输课件的效率，大屏整机蓝牙（非OPS）：≥5.0版本。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17.内置OPS电脑采用抽拉式模块化设计，80pin接口，无任何外接电源线和信号线，方便检测维护，不低于Intel10代I5及以上CPU； 8GB DDR4及以上内存；256G SSD及以上硬盘。</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注：1.以上带▲条款需提供演示视频佐证，每个视频演示时长不超过10分钟，演示视频保存在U盘中（U盘装入一个档案袋中，并在封套的封口处加贴封条，加盖骑缝章），于响应文件递交截止时间前派专人递交至谈判地址【或在响应文件递交截止时间前派专人（或邮寄，邮寄以送达时间为准）递交至采购代理公司】，U盘中须自行下载播放器，如递交的U盘无法播放视频，由供应商自行承担后果，递交的U盘一律封存不退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2.以上“技术要求”为实质性要求，必须完全满足，否则响应无效。</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DCC6C"/>
    <w:multiLevelType w:val="singleLevel"/>
    <w:tmpl w:val="A09DCC6C"/>
    <w:lvl w:ilvl="0" w:tentative="0">
      <w:start w:val="6"/>
      <w:numFmt w:val="decimal"/>
      <w:lvlText w:val="%1."/>
      <w:lvlJc w:val="left"/>
      <w:pPr>
        <w:tabs>
          <w:tab w:val="left" w:pos="312"/>
        </w:tabs>
      </w:pPr>
    </w:lvl>
  </w:abstractNum>
  <w:abstractNum w:abstractNumId="1">
    <w:nsid w:val="A15D3006"/>
    <w:multiLevelType w:val="singleLevel"/>
    <w:tmpl w:val="A15D3006"/>
    <w:lvl w:ilvl="0" w:tentative="0">
      <w:start w:val="1"/>
      <w:numFmt w:val="decimal"/>
      <w:suff w:val="nothing"/>
      <w:lvlText w:val="（%1）"/>
      <w:lvlJc w:val="left"/>
    </w:lvl>
  </w:abstractNum>
  <w:abstractNum w:abstractNumId="2">
    <w:nsid w:val="A37B671C"/>
    <w:multiLevelType w:val="singleLevel"/>
    <w:tmpl w:val="A37B671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mY3YWMyNDUxYWI2ZTc0M2ZlZmE0MzdlNjQyNjYifQ=="/>
  </w:docVars>
  <w:rsids>
    <w:rsidRoot w:val="00000000"/>
    <w:rsid w:val="0C1D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iPriority w:val="99"/>
    <w:pPr>
      <w:autoSpaceDE w:val="0"/>
      <w:autoSpaceDN w:val="0"/>
      <w:adjustRightInd w:val="0"/>
      <w:jc w:val="center"/>
      <w:textAlignment w:val="baseline"/>
    </w:pPr>
    <w:rPr>
      <w:kern w:val="0"/>
      <w:sz w:val="24"/>
      <w:szCs w:val="24"/>
    </w:rPr>
  </w:style>
  <w:style w:type="paragraph" w:customStyle="1" w:styleId="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
    <w:name w:val="font41"/>
    <w:basedOn w:val="6"/>
    <w:qFormat/>
    <w:uiPriority w:val="0"/>
    <w:rPr>
      <w:rFonts w:hint="eastAsia" w:ascii="宋体" w:hAnsi="宋体" w:eastAsia="宋体" w:cs="宋体"/>
      <w:color w:val="00B0F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2024-04-07T02:39:13Z</dcterms:created>
  <dc:creator>Administrator</dc:creator>
  <cp:lastModifiedBy>鼎跃</cp:lastModifiedBy>
  <dcterms:modified xsi:type="dcterms:W3CDTF">2024-04-07T02:39:25Z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7803B23437EA47EAA9073A28EB3B4125_12</vt:lpwstr>
  </property>
</Properties>
</file>