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91" w:type="dxa"/>
        <w:jc w:val="center"/>
        <w:tblLayout w:type="fixed"/>
        <w:tblCellMar>
          <w:top w:w="0" w:type="dxa"/>
          <w:left w:w="108" w:type="dxa"/>
          <w:bottom w:w="0" w:type="dxa"/>
          <w:right w:w="108" w:type="dxa"/>
        </w:tblCellMar>
      </w:tblPr>
      <w:tblGrid>
        <w:gridCol w:w="988"/>
        <w:gridCol w:w="7249"/>
        <w:gridCol w:w="1554"/>
      </w:tblGrid>
      <w:tr>
        <w:tblPrEx>
          <w:tblCellMar>
            <w:top w:w="0" w:type="dxa"/>
            <w:left w:w="108" w:type="dxa"/>
            <w:bottom w:w="0" w:type="dxa"/>
            <w:right w:w="108" w:type="dxa"/>
          </w:tblCellMar>
        </w:tblPrEx>
        <w:trPr>
          <w:trHeight w:val="6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货物名称</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技术参数及要求</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核心交换机</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配套相关光模块及网络跳线。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1、配置千兆电口≥2</w:t>
            </w: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bidi="ar"/>
              </w:rPr>
              <w:t>个，配置千兆光口≥4个，配置万兆光口≥4个，设备可提供2个业务扩展槽，实配3个风扇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2、交换容量≥672Gbps，包转发率≥222Mpps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3、支持RIP，OSPF，BGP，RIPng，OSPFv3，BGP4+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4、支持IGMP v1/v2/v3，IGMP v1/v2/v3 Snooping，支持PIM-DM，PIM-SM，PIM-SSM，PIM for IPv6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5、支持内置AC功能，实现有线无线一体化，最大可管理256个AP，同时支持集群功能，在主AC故障后可以切换到备AC，当主AC故障恢复后可切换回主AC；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6、支持虚拟化功能，最多可将9台物理设备虚拟化为一台逻辑设备统一管理，并且链路故障的收敛时间≤50ms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7、支持G.8032国际公有环网协议ERPS,并且链路故障的收敛时间≤50ms；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8、支持软件定义网络SDN，符合OpenFlow 1.3协议标准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9、支持SNMPv1/v2C/v3、CLI(Telnet/Console)、RMON(1,2,3,9)、SSH、Syslog、NTP/SNTP、FTP、TFTP、Web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10、满负荷情况下电源功率≤45W，工作温度0-50°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POE交换机</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1、交换容量≥330Gbps，包转发率≥120Mpps。配置千兆电口≥24个，非复用千兆光口≥4个,支持PoE/PoE+，POE输出功率≥370W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2、交换机半导体器件的失效率随温度增加指数上升，为保证设备在弱电井正常工作，设备需在0-50℃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3、支持虚拟化功能，最多可将9台物理设备虚拟化为一台逻辑设备统一管理，并且链路故障的收敛时间≤30ms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4、支持MAC地址自动学习和老化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5、支持4K 802.1Q VLAN</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6、支持ITU-TG.8032国际公有环网协议ERPS,并且链路故障的收敛时间≤50ms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7、支持广播风暴抑制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8、支持IEEE 802.3az 标准的 EEE节能技术，减小端口功耗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9、支持SNMPv1/v2C/v3、CLI(Telnet/Console)、RMON(1,2,3,9)、SSH、Syslog、NTP/SNTP、Web管理</w:t>
            </w:r>
          </w:p>
          <w:p>
            <w:pPr>
              <w:widowControl/>
              <w:jc w:val="left"/>
              <w:textAlignment w:val="center"/>
              <w:rPr>
                <w:rFonts w:hint="eastAsia" w:ascii="宋体" w:hAnsi="宋体" w:eastAsia="宋体" w:cs="宋体"/>
                <w:strike/>
                <w:dstrike w:val="0"/>
                <w:color w:val="auto"/>
                <w:kern w:val="0"/>
                <w:sz w:val="24"/>
                <w:szCs w:val="24"/>
                <w:lang w:val="en-US" w:eastAsia="zh-CN" w:bidi="ar"/>
              </w:rPr>
            </w:pPr>
            <w:r>
              <w:rPr>
                <w:rFonts w:hint="eastAsia" w:ascii="宋体" w:hAnsi="宋体" w:cs="宋体"/>
                <w:color w:val="auto"/>
                <w:kern w:val="0"/>
                <w:sz w:val="24"/>
                <w:szCs w:val="24"/>
                <w:lang w:val="en-US" w:eastAsia="zh-CN" w:bidi="ar"/>
              </w:rPr>
              <w:t>10、</w:t>
            </w:r>
            <w:r>
              <w:rPr>
                <w:rFonts w:hint="eastAsia" w:ascii="宋体" w:hAnsi="宋体" w:eastAsia="宋体" w:cs="宋体"/>
                <w:color w:val="auto"/>
                <w:kern w:val="0"/>
                <w:sz w:val="24"/>
                <w:szCs w:val="24"/>
                <w:lang w:bidi="ar"/>
              </w:rPr>
              <w:t>支持可以查看到被限速的两个主机，ARP请求的应答速率被限制到每源地址线速水线的两倍，可以查看到被隔离的两个主机，主机被隔离，ARP报文不会 再转发，不再应答，除了ARP防护，还有其他多种类型的防护</w:t>
            </w:r>
            <w:r>
              <w:rPr>
                <w:rFonts w:hint="eastAsia" w:ascii="宋体" w:hAnsi="宋体" w:eastAsia="宋体" w:cs="宋体"/>
                <w:color w:val="auto"/>
                <w:kern w:val="0"/>
                <w:sz w:val="24"/>
                <w:szCs w:val="24"/>
                <w:lang w:eastAsia="zh-CN" w:bidi="ar"/>
              </w:rPr>
              <w:t>。</w:t>
            </w:r>
            <w:r>
              <w:rPr>
                <w:rFonts w:hint="eastAsia" w:ascii="宋体" w:hAnsi="宋体" w:eastAsia="宋体" w:cs="宋体"/>
                <w:strike w:val="0"/>
                <w:dstrike w:val="0"/>
                <w:color w:val="auto"/>
                <w:kern w:val="0"/>
                <w:sz w:val="24"/>
                <w:szCs w:val="24"/>
                <w:lang w:val="en-US" w:eastAsia="zh-CN" w:bidi="ar"/>
              </w:rPr>
              <w:t>提供具有对应功能证明资料截图并加盖设备制造商公章。</w:t>
            </w:r>
          </w:p>
          <w:p>
            <w:pPr>
              <w:widowControl/>
              <w:ind w:firstLine="240" w:firstLineChars="100"/>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提供设备制造商针对此项目产品性能指标满足或优于的承诺函和售后服务承诺函并加盖公章。</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4个</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无线控制器</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配置千兆电口≥8个，配置千兆光口≥1个，配置万兆光口≥1个，实配硬盘容量≥1T</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2、配置AP管理授权≥96个，最大AP可管理数≥800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3、支持微信连wifi认证、支持短信认证、固定账号认证、二维码名片/授权二维码、微信认证多种方式认证页面合一</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4、支持自动调整功率和信道，故障 AP 覆盖黑洞补偿，支持基于流量和基于用户数的 AP 负载分担， 支持无线射频干扰监测和规避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5、支持本地认证功能，无需通过外置Portal服务器和Radius服务器认证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6、支持配置AP的本地数据转发技术模式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7、支持留存各个类型日志，有NAT日志、NAT44日志、 URL日志、IM日志、BBS日志、邮件日志、搜索引擎等日志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8、支持MAC认证、WEB认证、802.1X认证、WAPI认证 ，认证后能实现IP、MAC、WLAN等元素的绑定信息，保证只有合法的用户才能进入网络</w:t>
            </w:r>
          </w:p>
          <w:p>
            <w:pPr>
              <w:widowControl/>
              <w:numPr>
                <w:ilvl w:val="0"/>
                <w:numId w:val="0"/>
              </w:numPr>
              <w:jc w:val="left"/>
              <w:textAlignment w:val="center"/>
              <w:rPr>
                <w:rFonts w:hint="eastAsia" w:ascii="宋体" w:hAnsi="宋体" w:eastAsia="宋体" w:cs="宋体"/>
                <w:strike/>
                <w:dstrike w:val="0"/>
                <w:color w:val="auto"/>
                <w:kern w:val="0"/>
                <w:sz w:val="24"/>
                <w:szCs w:val="24"/>
                <w:lang w:val="en-US" w:eastAsia="zh-CN" w:bidi="ar"/>
              </w:rPr>
            </w:pPr>
            <w:r>
              <w:rPr>
                <w:rFonts w:hint="eastAsia" w:ascii="宋体" w:hAnsi="宋体" w:cs="宋体"/>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支持基于用户的PSK认证，实现用户之间不能共享WIFI密钥；通过时间、基线、终端全面分析出当前网络的状态；可实现对迷惑性疑似钓鱼WIFI识别；可实现同AC下airplay投影服务器三层发现功能并投影；可实现同wlan二层隔离下的airplay投影功能，在WLAN开启二层隔离的情况下，airplay依然可以发现投影服务并正常投影；支持airplay投影防串流功能，实现正在投影的终端结束投影之前,其他终端无法抢占投影服务。</w:t>
            </w:r>
            <w:r>
              <w:rPr>
                <w:rFonts w:hint="eastAsia" w:ascii="宋体" w:hAnsi="宋体" w:eastAsia="宋体" w:cs="宋体"/>
                <w:strike w:val="0"/>
                <w:dstrike w:val="0"/>
                <w:color w:val="auto"/>
                <w:kern w:val="0"/>
                <w:sz w:val="24"/>
                <w:szCs w:val="24"/>
                <w:lang w:val="en-US" w:eastAsia="zh-CN" w:bidi="ar"/>
              </w:rPr>
              <w:t>提供具有对应功能证明资料截图并加盖设备制造商公章。</w:t>
            </w:r>
          </w:p>
          <w:p>
            <w:pPr>
              <w:widowControl/>
              <w:numPr>
                <w:ilvl w:val="0"/>
                <w:numId w:val="0"/>
              </w:numPr>
              <w:ind w:firstLine="240" w:firstLineChars="10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提供设备制造商针对此项目产品性能指标满足或优于的承诺函和售后服务承诺函并加盖公章。</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无线AP</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1、支持标准的802.11ax协议,采用双路双频设计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2、支持4条空间流，整机最大接入速率≥2.9Gbps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3、千兆电口≥1个，支持PoE供电，2.5G SFP接口≥1个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4、支持802.3af/本地电源DC48V两种供电模式，整机功耗≤12.95w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5、支持内置蓝牙5.1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6、支持对无线终端负载均衡，支持本地数据转发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7、支持PSK认证、Web认证、微信认证、二维码访客认证、短信认证、无感知认证等认证方式；支持WEP（64/128位）、WPA（TKIP）、WPA-PSK、WPA2（AES）、WPA3等数据加密方式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8、支持非法AP检测及反制。支持数据帧过滤功能，支持白名单、静态黑名单、动态黑名单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9、支持无线用户二层隔离、基于SSID的无线用户隔离</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10、支持基于SSID、射频卡的用户数限制</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14个</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硬盘录相机</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【硬件规格】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存储接口：≥</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个SATA接口，可满配12TB硬盘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视频接口：2×HDMI，2×VGA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网络接口：2×RJ45 10/100/1000Mbps自适应以太网口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报警接口：16路报警输入，4路报警输出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串行接口：1路RS-232接口，1路全双工RS-485接口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USB接口：2×USB 2.0，2×USB 3.0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扩展接口：1×eSATA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【产品性能】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输入带宽：320Mbps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输出带宽：256Mbps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接入能力：32路H.264、H.265格式高清码流接入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解码能力：最大支持32×1080P</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显示能力：最大支持8K+1080P、2×4K异源输出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监控硬盘</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6TB监控级， 7*24小时不间断运行，不低于5400转，缓存不低于256MB</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块</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摄像头</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strike w:val="0"/>
                <w:dstrike w:val="0"/>
                <w:color w:val="auto"/>
                <w:kern w:val="0"/>
                <w:sz w:val="24"/>
                <w:szCs w:val="24"/>
                <w:lang w:bidi="ar"/>
              </w:rPr>
              <w:t>400万网络摄像机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最高分辨率可达2560 × 1440 @25 fps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支持用户登录锁定机制，及密码复杂度提示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支持SmartIR，防止夜间红外过曝</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支持背光补偿，强光抑制，3D数字降噪，数字宽动态，适应不同环境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支持ROI感兴趣区域增强编码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1个内置麦克风</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采用高效阵列红外灯，使用寿命长，红外照射最远可达30 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符合IP66防尘防水设计，可靠性高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传感器类型：1/2.7" Progressive Scan CMOS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最低照度：彩色：0.005 Lux @（F1.2, AGC ON），0 Lux with IR</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最大图像尺寸：2560 × 1440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宽动态：数字宽动态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调节角度：水平：0°~360°，垂直：0°~75°，旋转：0°~360°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焦距&amp;视场角：2.8 mm：水平视场角：94°，垂直视场角：49°，对角视场角：114°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 mm，水平视场角：70°，垂直视场角：35°，对角视场角：85°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 mm，水平视场角：46°，垂直视场角：24°，对角视场角：54°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8 mm，水平视场角：43°，垂直视场角：24°，对角视场角：50°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12 mm，水平视场角：27°，垂直视场角：15°，对角视场角：31°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红外波长范围：850 nm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防补光过曝：支持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补光灯类型：红外灯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补光距离：最远可达30 m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视频压缩标准：主码流：H.265/H.264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子码流：H.265/H.264/MJPEG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音频：1个内置麦克风</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网络：1个RJ45 10 M/100 M自适应以太网口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存储温湿度：-30 ℃~60 ℃，湿度小于95%（无凝结）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启动及工作温湿度：-30 ℃~60 ℃，湿度小于95%（无凝结）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恢复出厂设置：支持客户端或浏览器恢复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供电方式：DC：12 V ± 25%，支持防反接保护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电流及功耗：DC：12 V，0.42 A，最大功耗：5 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电源接口类型：Ø5.5 mm圆口</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18个</w:t>
            </w:r>
          </w:p>
        </w:tc>
      </w:tr>
      <w:tr>
        <w:tblPrEx>
          <w:tblCellMar>
            <w:top w:w="0" w:type="dxa"/>
            <w:left w:w="108" w:type="dxa"/>
            <w:bottom w:w="0" w:type="dxa"/>
            <w:right w:w="108" w:type="dxa"/>
          </w:tblCellMar>
        </w:tblPrEx>
        <w:trPr>
          <w:trHeight w:val="42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人脸门禁</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屏幕参数： 7英寸触摸显示屏，屏幕比例9:16，屏幕分辨率600*1024；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摄像头参数：采用宽动态200万双目摄像头；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认证方式：支持人脸、刷卡（IC卡、手机NFC卡、CPU卡序列号/内容、身份证卡序列号）、密码认证方式，可外接身份证、指纹、蓝牙、二维码功能模块；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人脸验证：采用深度学习算法，支持单人或多人识别（最多5人同时认证）功能；支持照片、视频防假；1:N人脸验证速度≤0.2s，人脸验证准确率≥99%；</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bidi="ar"/>
              </w:rPr>
              <w:t>存储容量：本地支持10000人脸库、50000张卡，15万条事件记录；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bidi="ar"/>
              </w:rPr>
              <w:t>硬件接口：LAN*1、RS485*1、Wiegand * 1(支持双向)、typeC类型USB接口*1、电锁*1、门磁*1、报警输入*2、报警输出*1、开门按钮*1、SD卡槽*1（最大支持512GB）、3.5mm音频输出接口*1；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6、</w:t>
            </w:r>
            <w:r>
              <w:rPr>
                <w:rFonts w:hint="eastAsia" w:ascii="宋体" w:hAnsi="宋体" w:eastAsia="宋体" w:cs="宋体"/>
                <w:color w:val="auto"/>
                <w:kern w:val="0"/>
                <w:sz w:val="24"/>
                <w:szCs w:val="24"/>
                <w:lang w:bidi="ar"/>
              </w:rPr>
              <w:t>通信方式及网络协议：有线网络；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bidi="ar"/>
              </w:rPr>
              <w:t>使用环境：IP65，室内外环境（室外使用必须搭配遮阳罩）；</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安装方式：壁挂安装（标配挂板，适配86底盒）；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val="en-US" w:eastAsia="zh-CN" w:bidi="ar"/>
              </w:rPr>
              <w:t>9、</w:t>
            </w:r>
            <w:r>
              <w:rPr>
                <w:rFonts w:hint="eastAsia" w:ascii="宋体" w:hAnsi="宋体" w:eastAsia="宋体" w:cs="宋体"/>
                <w:color w:val="auto"/>
                <w:kern w:val="0"/>
                <w:sz w:val="24"/>
                <w:szCs w:val="24"/>
                <w:lang w:bidi="ar"/>
              </w:rPr>
              <w:t>工作电压： DC12V~24V/2A（电源需另配）；</w:t>
            </w:r>
          </w:p>
          <w:p>
            <w:pPr>
              <w:bidi w:val="0"/>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设备支持：根据比对结果，输出开关量信号联动门禁等设备；支持通过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与电梯做联动控制；支持联动电梯实现呼梯和楼层权限控制。提供具有对应功能证明资料截图，并加盖设备制造商公章。</w:t>
            </w:r>
          </w:p>
          <w:p>
            <w:pPr>
              <w:bidi w:val="0"/>
              <w:ind w:firstLine="480" w:firstLineChars="200"/>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提供设备制造商针对此项目产品性能指标满足或优于的承诺函和售后服务承诺函并加盖公章。</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12套</w:t>
            </w:r>
          </w:p>
        </w:tc>
      </w:tr>
    </w:tbl>
    <w:p>
      <w:pPr>
        <w:numPr>
          <w:ilvl w:val="0"/>
          <w:numId w:val="2"/>
        </w:numP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配套施工部分</w:t>
      </w:r>
    </w:p>
    <w:p>
      <w:pPr>
        <w:ind w:firstLine="240" w:firstLineChars="1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cs="宋体"/>
          <w:color w:val="auto"/>
          <w:kern w:val="0"/>
          <w:sz w:val="24"/>
          <w:szCs w:val="24"/>
          <w:lang w:val="en-US" w:eastAsia="zh-CN" w:bidi="ar"/>
        </w:rPr>
        <w:t>依据现场实际情况，投标商需提供针对本项目的</w:t>
      </w:r>
      <w:r>
        <w:rPr>
          <w:rFonts w:hint="eastAsia" w:ascii="宋体" w:hAnsi="宋体" w:eastAsia="宋体" w:cs="宋体"/>
          <w:strike w:val="0"/>
          <w:dstrike w:val="0"/>
          <w:color w:val="auto"/>
          <w:kern w:val="0"/>
          <w:sz w:val="24"/>
          <w:szCs w:val="24"/>
          <w:lang w:val="en-US" w:eastAsia="zh-CN" w:bidi="ar"/>
        </w:rPr>
        <w:t>肆张不同区域</w:t>
      </w:r>
      <w:r>
        <w:rPr>
          <w:rFonts w:hint="eastAsia" w:ascii="宋体" w:hAnsi="宋体" w:eastAsia="宋体" w:cs="宋体"/>
          <w:color w:val="auto"/>
          <w:kern w:val="0"/>
          <w:sz w:val="24"/>
          <w:szCs w:val="24"/>
          <w:lang w:val="en-US" w:eastAsia="zh-CN" w:bidi="ar"/>
        </w:rPr>
        <w:t>效果图和建设施工方案，符合甲方设计使用要求，若不符合建设要求为无效响应。</w:t>
      </w:r>
      <w:r>
        <w:rPr>
          <w:rFonts w:hint="eastAsia" w:ascii="宋体" w:hAnsi="宋体" w:eastAsia="宋体"/>
          <w:color w:val="auto"/>
          <w:sz w:val="24"/>
          <w:szCs w:val="24"/>
          <w:lang w:val="en-US" w:eastAsia="zh-CN"/>
        </w:rPr>
        <w:t>建设要求：围绕建设虚拟仿真、生产和实训中心、大数据分析中心等区域的专业设备和教学员合理布局规划搭建。功能区域划分布局清晰、设备摆放明确、核心区域效果图展示清楚。</w:t>
      </w:r>
    </w:p>
    <w:p>
      <w:pPr>
        <w:numPr>
          <w:ilvl w:val="0"/>
          <w:numId w:val="0"/>
        </w:numPr>
        <w:rPr>
          <w:rFonts w:hint="default" w:ascii="宋体" w:hAnsi="宋体" w:eastAsia="宋体"/>
          <w:color w:val="auto"/>
          <w:sz w:val="24"/>
          <w:szCs w:val="24"/>
          <w:lang w:val="en-US" w:eastAsia="zh-CN"/>
        </w:rPr>
      </w:pPr>
    </w:p>
    <w:tbl>
      <w:tblPr>
        <w:tblStyle w:val="3"/>
        <w:tblW w:w="8317"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416"/>
        <w:gridCol w:w="1453"/>
        <w:gridCol w:w="2753"/>
        <w:gridCol w:w="1066"/>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4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7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10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9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7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9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011302001001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1.装配式U形轻钢天棚龙骨(不上人型) 跌级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2.吊顶天棚 阻燃胶合板基层 12mm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3.石膏板 安在U形 轻钢龙骨上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4.铝方通天棚 条型</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011406001001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抹灰面油漆</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1.清扫、满刮腻子二遍、打磨、刷底漆一遍、乳胶漆二遍</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010810002001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木窗帘盒</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1.窗帘盒(不带轨) 制作安装 阻燃胶合板</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010810005001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窗帘轨</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1.成品窗帘轨 暗装 单轨</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01B001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窗帘安装</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1.窗帘材质: 选色遮光布;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2.窗帘 1.5倍窗帘褶皱 ;</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011302001002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1.装配式U形轻钢天棚龙骨(不上人型) 跌级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2.吊顶天棚 阻燃胶合板基层 12mm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3.石膏板安在U形轻钢龙骨上，跌级天棚面层</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011302005001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织物软雕吊顶</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1.装配式U形轻钢天棚龙骨(不上人型) 平面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2.软膜吊顶 矩形</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011302001003</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1.铝方通 吊顶龙骨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2.铝方通天棚 条形</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门窗改造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011210003001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玻璃隔断</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1.超白钢化玻璃 12厚</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010805005001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全玻自由门</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1.全玻璃门扇安装 无框(点夹)门扇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2.自由门 弹簧合页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3.自由门 地弹簧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4.不锈钢拉手</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室内墙面装饰</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011207001001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墙面装饰板</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1.轻钢龙骨 中距(mm以内) 竖603横1500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2.墙饰面 胶合板基层 9mm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3.墙饰面 石膏板基层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4.铝板墙面</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011406001002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抹灰面油漆</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室内地面改造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030413002001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凿（压)槽</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1.基础辅助工程 凿砖槽(管径mm) ≤40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011101005001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自流坪楼地面</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1.水泥基自流平砂浆 面层4mm厚 实际厚度(mm):2</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011101005002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自流坪楼地面</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1.环氧自流平防腐地面 底漆一遍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2.环氧自流平防腐地面 中间层(刮腻子)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3.环氧自流平防腐地面 面漆一遍</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010401004001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多孔砖墙（玻璃隔墙地台）</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1.多孔砖墙 1砖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2.内墙 (14+6)mm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3.墙饰面 阻燃胶合板基层 12mm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4.墙饰面 石膏板基层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5.打孔铝板墙面</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011103004001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塑料卷材楼地面</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1.橡塑面层 PVC地板 厚2.6</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011105006001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金属踢脚线</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3"/>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金属踢脚线</w:t>
            </w:r>
          </w:p>
          <w:p>
            <w:pPr>
              <w:keepNext w:val="0"/>
              <w:keepLines w:val="0"/>
              <w:widowControl/>
              <w:numPr>
                <w:ilvl w:val="0"/>
                <w:numId w:val="3"/>
              </w:numPr>
              <w:suppressLineNumbers w:val="0"/>
              <w:jc w:val="left"/>
              <w:textAlignment w:val="center"/>
              <w:rPr>
                <w:rFonts w:hint="eastAsia"/>
                <w:color w:val="auto"/>
                <w:lang w:val="en-US" w:eastAsia="zh-CN"/>
              </w:rPr>
            </w:pPr>
            <w:r>
              <w:rPr>
                <w:rFonts w:hint="eastAsia"/>
                <w:color w:val="auto"/>
                <w:lang w:val="en-US" w:eastAsia="zh-CN"/>
              </w:rPr>
              <w:t>304不锈钢，厚度0.7mm。</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强弱电改造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01B006</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多功能机房电气安装（强电）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塑料管敷设 刚性阻燃管敷设 砖、混凝土结构暗配 外径(mm) 换为【半硬质塑料管】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管内穿线 穿照明线 铜芯 导线截面(mm2) ≤2.5≤4≤6≤10。绝缘电线|ZRBV 3*2.5，绝缘电线|ZRBV 3*4，绝缘电线|ZRBV 3*6，绝缘电线|ZRBV 4*10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01B007</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多功能机房电气安装（弱电电）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砖、混凝土结构暗配。超六类网线-CAT6，传输速率1000Mbps，频率带宽250MHz，传输距离100米（Max）屏蔽非屏蔽。</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030404034001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照明开关</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1.单联板式暗开关安装 单控</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030412004001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装饰灯</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1.点光源艺术装饰灯具安装 嵌入式筒灯 反射杯口径(英寸) ≤6</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01B008</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虚拟仿真中心电气安装（强电）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 外径(mm) 换为【半硬质塑料管】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管内穿线 穿照明线 铜芯 导线截面(mm2) ≤2.5≤4≤6≤10。绝缘电线|ZRBV 3*2.5，绝缘电线|ZRBV 3*4，绝缘电线|ZRBV 3*6，绝缘电线|ZRBV 4*10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01B009</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虚拟仿真中心电气安装（弱电）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砖、混凝土结构暗配。超六类网线-CAT6，传输速率1000Mbps，频率带宽250MHz，传输距离100米（Max）屏蔽非屏蔽。</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030412005001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荧光灯</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发光线性灯带</w:t>
            </w:r>
          </w:p>
          <w:p>
            <w:pPr>
              <w:keepNext w:val="0"/>
              <w:keepLines w:val="0"/>
              <w:widowControl/>
              <w:numPr>
                <w:ilvl w:val="0"/>
                <w:numId w:val="0"/>
              </w:numPr>
              <w:suppressLineNumbers w:val="0"/>
              <w:jc w:val="left"/>
              <w:textAlignment w:val="center"/>
              <w:rPr>
                <w:color w:val="auto"/>
              </w:rPr>
            </w:pPr>
            <w:r>
              <w:rPr>
                <w:rFonts w:asciiTheme="minorHAnsi" w:hAnsiTheme="minorHAnsi" w:eastAsiaTheme="minorEastAsia" w:cstheme="minorBidi"/>
                <w:color w:val="auto"/>
                <w:kern w:val="2"/>
                <w:sz w:val="21"/>
                <w:szCs w:val="22"/>
                <w:lang w:val="en-US" w:eastAsia="zh-CN" w:bidi="ar-SA"/>
              </w:rPr>
              <w:t>1.</w:t>
            </w:r>
            <w:r>
              <w:rPr>
                <w:rFonts w:hint="eastAsia" w:ascii="宋体" w:hAnsi="宋体" w:eastAsia="宋体" w:cs="宋体"/>
                <w:i w:val="0"/>
                <w:iCs w:val="0"/>
                <w:color w:val="auto"/>
                <w:kern w:val="0"/>
                <w:sz w:val="20"/>
                <w:szCs w:val="20"/>
                <w:u w:val="none"/>
                <w:lang w:val="en-US" w:eastAsia="zh-CN" w:bidi="ar"/>
              </w:rPr>
              <w:t>荧光灯具安装 嵌入式 LED线型 铝材灯体 PC面罩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2.防护等级IP65 24V 12W</w:t>
            </w:r>
          </w:p>
          <w:p>
            <w:pPr>
              <w:keepNext w:val="0"/>
              <w:keepLines w:val="0"/>
              <w:widowControl/>
              <w:numPr>
                <w:ilvl w:val="0"/>
                <w:numId w:val="0"/>
              </w:numPr>
              <w:suppressLineNumbers w:val="0"/>
              <w:jc w:val="left"/>
              <w:textAlignment w:val="center"/>
              <w:rPr>
                <w:rFonts w:hint="default" w:eastAsiaTheme="minorEastAsia"/>
                <w:color w:val="auto"/>
                <w:lang w:val="en-US" w:eastAsia="zh-CN"/>
              </w:rPr>
            </w:pPr>
            <w:r>
              <w:rPr>
                <w:rFonts w:hint="eastAsia"/>
                <w:color w:val="auto"/>
                <w:lang w:val="en-US" w:eastAsia="zh-CN"/>
              </w:rPr>
              <w:t>3.可按现场定制不同长度。</w:t>
            </w:r>
          </w:p>
          <w:p>
            <w:pPr>
              <w:keepNext w:val="0"/>
              <w:keepLines w:val="0"/>
              <w:widowControl/>
              <w:numPr>
                <w:ilvl w:val="0"/>
                <w:numId w:val="0"/>
              </w:numPr>
              <w:suppressLineNumbers w:val="0"/>
              <w:jc w:val="left"/>
              <w:textAlignment w:val="center"/>
              <w:rPr>
                <w:rFonts w:hint="default"/>
                <w:color w:val="auto"/>
                <w:lang w:val="en-US" w:eastAsia="zh-CN"/>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01B010</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赛事中心电气安装（强电）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 外径(mm) 换为【半硬质塑料管】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管内穿线 穿照明线 铜芯 导线截面(mm2) ≤2.5≤4≤6≤10。绝缘电线|ZRBV 3*2.5，绝缘电线|ZRBV 3*4，绝缘电线|ZRBV 3*6，绝缘电线|ZRBV 4*10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赛事中心电气安装（弱电）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砖、混凝土结构暗配。超六类网线-CAT6，传输速率1000Mbps，频率带宽250MHz，传输距离100米（Max）屏蔽非屏蔽。</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过道电气安装（强电）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 外径(mm) 换为【半硬质塑料管】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管内穿线 穿照明线 铜芯 导线截面(mm2) ≤2.5≤4≤6≤10。绝缘电线|ZRBV 3*2.5，绝缘电线|ZRBV 3*4，绝缘电线|ZRBV 3*6，绝缘电线|ZRBV 4*10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01B013</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过道电气安装（弱电）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砖、混凝土结构暗配。超六类网线-CAT6，传输速率1000Mbps，频率带宽250MHz，传输距离100米（Max）屏蔽非屏蔽。</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01B014</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大厅电气安装（强电）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 外径(mm) 换为【半硬质塑料管】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管内穿线 穿照明线 铜芯 导线截面(mm2) ≤2.5≤4≤6≤10。绝缘电线|ZRBV 3*2.5，绝缘电线|ZRBV 3*4，绝缘电线|ZRBV 3*6，绝缘电线|ZRBV 4*10</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01B015</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大厅电气安装（弱电）</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1.塑料管敷设 刚性阻燃管敷设 砖、混凝土结构暗配。超六类网线-CAT6，传输速率1000Mbps，频率带宽250MHz，传输距离100米（Max）屏蔽非屏蔽。</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正门外立面改造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01B003</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外墙面铝塑板装饰</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1.镀锌钢管龙骨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2.基层板打底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3.铝塑板造型面层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按业主要求</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010805005002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全玻自由门</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1.全玻璃门扇安装 无框(点夹)门扇 12厚超白钢化玻璃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2.自由门 弹簧合页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3.自由门 地弹簧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4.不锈钢拉手</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卫生间改造</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01B004</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原卫生间装修拆除</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1.原卫生间装修拆除</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工日</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010904002003</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1.聚合物水泥防水涂料 1.0mm厚 平面 两遍</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011102003001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1.平面砂浆找平层 混凝土或硬基层上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2.块料面层 陶瓷地面砖 0.36m2以内</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011210005001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1.蹲厕二代抗倍特板隔断2.含隔间内把杆、卫生纸盒、衣钩等304附件及五金件</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间</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011210005002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1.小便池成品隔断 二代抗倍特板</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031004006001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1.蹲式大便器安装  铜脚踏开关</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031004007001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小便器</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1.壁挂式小便器安装 感应开关 埋入式</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011302001004</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1.装配式U形轻钢天棚龙骨(不上人型) 规格(mm) 600×600 平面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2.铝合金方板天棚 嵌入式(0.8厚板)</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01B005</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卫生间电气安装</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1.灯具、开关、布线、排气、开关等达甲方要求</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拆除项目</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01B016</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拆除原装修（虚拟仿真中心）</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1.拆除原装修（虚拟仿真中心）</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工日</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01B017</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拆除原装修（过道）</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1.拆除原装修（过道）</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工日</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01B018</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拆除原装修（大厅部分）</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1.拆除原装修（大厅部分）</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工日</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02B001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1.脚手架搭拆</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单价措施合计</w:t>
            </w:r>
          </w:p>
        </w:tc>
        <w:tc>
          <w:tcPr>
            <w:tcW w:w="27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A6084"/>
    <w:multiLevelType w:val="singleLevel"/>
    <w:tmpl w:val="9A4A6084"/>
    <w:lvl w:ilvl="0" w:tentative="0">
      <w:start w:val="1"/>
      <w:numFmt w:val="decimal"/>
      <w:suff w:val="nothing"/>
      <w:lvlText w:val="%1、"/>
      <w:lvlJc w:val="left"/>
    </w:lvl>
  </w:abstractNum>
  <w:abstractNum w:abstractNumId="1">
    <w:nsid w:val="DC607F49"/>
    <w:multiLevelType w:val="singleLevel"/>
    <w:tmpl w:val="DC607F49"/>
    <w:lvl w:ilvl="0" w:tentative="0">
      <w:start w:val="1"/>
      <w:numFmt w:val="decimal"/>
      <w:lvlText w:val="%1."/>
      <w:lvlJc w:val="left"/>
      <w:pPr>
        <w:tabs>
          <w:tab w:val="left" w:pos="312"/>
        </w:tabs>
      </w:pPr>
    </w:lvl>
  </w:abstractNum>
  <w:abstractNum w:abstractNumId="2">
    <w:nsid w:val="63BB64CA"/>
    <w:multiLevelType w:val="singleLevel"/>
    <w:tmpl w:val="63BB64CA"/>
    <w:lvl w:ilvl="0" w:tentative="0">
      <w:start w:val="1"/>
      <w:numFmt w:val="decimal"/>
      <w:lvlText w:val="%1."/>
      <w:lvlJc w:val="left"/>
      <w:pPr>
        <w:tabs>
          <w:tab w:val="left" w:pos="312"/>
        </w:tabs>
      </w:pPr>
    </w:lvl>
  </w:abstractNum>
  <w:abstractNum w:abstractNumId="3">
    <w:nsid w:val="67B1FBD5"/>
    <w:multiLevelType w:val="singleLevel"/>
    <w:tmpl w:val="67B1FBD5"/>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ZDcwMGVjNjI0NWIxMWQ3MjYwZTM0ZTE4NTkxOWIifQ=="/>
  </w:docVars>
  <w:rsids>
    <w:rsidRoot w:val="7C221504"/>
    <w:rsid w:val="7C22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500" w:lineRule="exact"/>
      <w:jc w:val="center"/>
      <w:outlineLvl w:val="1"/>
    </w:pPr>
    <w:rPr>
      <w:rFonts w:hint="eastAsia" w:ascii="仿宋_GB2312" w:hAnsi="Arial" w:eastAsia="仿宋_GB2312"/>
      <w:b/>
      <w:kern w:val="0"/>
      <w:sz w:val="36"/>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2024-04-25T07:53:00Z</dcterms:created>
  <dc:creator>XinNan·Wu</dc:creator>
  <cp:lastModifiedBy>XinNan·Wu</cp:lastModifiedBy>
  <dcterms:modified xsi:type="dcterms:W3CDTF">2024-04-25T07:54:16Z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7ECF73266F314D139FEABC00007C3C9A_11</vt:lpwstr>
  </property>
</Properties>
</file>