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highlight w:val="white"/>
          <w:lang w:val="en-US" w:eastAsia="zh-CN" w:bidi="ar-SA"/>
        </w:rPr>
      </w:pPr>
      <w:bookmarkStart w:id="0" w:name="_Toc376848274"/>
      <w:bookmarkStart w:id="1" w:name="_Toc97485482"/>
      <w:bookmarkStart w:id="2" w:name="_Toc293934837"/>
      <w:bookmarkStart w:id="3" w:name="_Toc126581036"/>
      <w:bookmarkStart w:id="4" w:name="_Toc15920"/>
      <w:bookmarkStart w:id="5" w:name="_Toc165281605"/>
      <w:r>
        <w:rPr>
          <w:rFonts w:hint="eastAsia" w:ascii="华文中宋" w:hAnsi="华文中宋" w:eastAsia="华文中宋" w:cs="华文中宋"/>
          <w:b/>
          <w:bCs/>
          <w:kern w:val="2"/>
          <w:sz w:val="28"/>
          <w:szCs w:val="28"/>
          <w:highlight w:val="white"/>
          <w:lang w:val="en-US" w:eastAsia="zh-CN" w:bidi="ar-SA"/>
        </w:rPr>
        <w:t>采购</w:t>
      </w:r>
      <w:bookmarkEnd w:id="0"/>
      <w:bookmarkEnd w:id="1"/>
      <w:bookmarkEnd w:id="2"/>
      <w:r>
        <w:rPr>
          <w:rFonts w:hint="eastAsia" w:ascii="华文中宋" w:hAnsi="华文中宋" w:eastAsia="华文中宋" w:cs="华文中宋"/>
          <w:b/>
          <w:bCs/>
          <w:kern w:val="2"/>
          <w:sz w:val="28"/>
          <w:szCs w:val="28"/>
          <w:highlight w:val="white"/>
          <w:lang w:val="en-US" w:eastAsia="zh-CN" w:bidi="ar-SA"/>
        </w:rPr>
        <w:t>需求</w:t>
      </w:r>
      <w:bookmarkEnd w:id="3"/>
      <w:bookmarkEnd w:id="4"/>
      <w:r>
        <w:rPr>
          <w:rFonts w:hint="eastAsia" w:ascii="华文中宋" w:hAnsi="华文中宋" w:eastAsia="华文中宋" w:cs="华文中宋"/>
          <w:b/>
          <w:bCs/>
          <w:kern w:val="2"/>
          <w:sz w:val="28"/>
          <w:szCs w:val="28"/>
          <w:highlight w:val="white"/>
          <w:lang w:val="en-US" w:eastAsia="zh-CN" w:bidi="ar-SA"/>
        </w:rPr>
        <w:t>一览表</w:t>
      </w:r>
      <w:bookmarkEnd w:id="5"/>
    </w:p>
    <w:tbl>
      <w:tblPr>
        <w:tblStyle w:val="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01" w:type="dxa"/>
            <w:tcBorders>
              <w:top w:val="single" w:color="auto" w:sz="12" w:space="0"/>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项目名称</w:t>
            </w:r>
          </w:p>
        </w:tc>
        <w:tc>
          <w:tcPr>
            <w:tcW w:w="8069" w:type="dxa"/>
            <w:tcBorders>
              <w:top w:val="single" w:color="auto" w:sz="12" w:space="0"/>
              <w:right w:val="single" w:color="auto" w:sz="12" w:space="0"/>
            </w:tcBorders>
            <w:vAlign w:val="center"/>
          </w:tcPr>
          <w:p>
            <w:pPr>
              <w:jc w:val="center"/>
              <w:rPr>
                <w:rFonts w:ascii="华文中宋" w:hAnsi="华文中宋" w:eastAsia="华文中宋" w:cs="黑体"/>
                <w:b/>
                <w:sz w:val="48"/>
                <w:szCs w:val="48"/>
                <w:u w:val="thick" w:color="632423"/>
              </w:rPr>
            </w:pPr>
            <w:r>
              <w:rPr>
                <w:rFonts w:hint="eastAsia" w:ascii="华文中宋" w:hAnsi="华文中宋" w:eastAsia="华文中宋" w:cs="华文中宋"/>
                <w:sz w:val="24"/>
                <w:szCs w:val="24"/>
              </w:rPr>
              <w:t>江西旅游商贸职业学院2024年重点工程第三方监理单位项目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数量（单位）</w:t>
            </w:r>
          </w:p>
        </w:tc>
        <w:tc>
          <w:tcPr>
            <w:tcW w:w="8069" w:type="dxa"/>
            <w:tcBorders>
              <w:righ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01" w:type="dxa"/>
            <w:tcBorders>
              <w:lef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合同</w:t>
            </w:r>
          </w:p>
          <w:p>
            <w:pPr>
              <w:spacing w:line="440" w:lineRule="exact"/>
              <w:jc w:val="center"/>
              <w:rPr>
                <w:sz w:val="24"/>
                <w:szCs w:val="24"/>
              </w:rPr>
            </w:pPr>
            <w:r>
              <w:rPr>
                <w:rFonts w:hint="eastAsia" w:ascii="华文中宋" w:hAnsi="华文中宋" w:eastAsia="华文中宋" w:cs="黑体"/>
                <w:sz w:val="24"/>
                <w:szCs w:val="24"/>
              </w:rPr>
              <w:t>履行期限</w:t>
            </w:r>
          </w:p>
        </w:tc>
        <w:tc>
          <w:tcPr>
            <w:tcW w:w="8069" w:type="dxa"/>
            <w:tcBorders>
              <w:right w:val="single" w:color="auto" w:sz="12" w:space="0"/>
            </w:tcBorders>
            <w:vAlign w:val="center"/>
          </w:tcPr>
          <w:p>
            <w:pPr>
              <w:jc w:val="center"/>
              <w:rPr>
                <w:rFonts w:ascii="华文中宋" w:hAnsi="华文中宋" w:eastAsia="华文中宋"/>
                <w:sz w:val="24"/>
              </w:rPr>
            </w:pPr>
            <w:r>
              <w:rPr>
                <w:rFonts w:hint="eastAsia" w:ascii="华文中宋" w:hAnsi="华文中宋" w:eastAsia="华文中宋" w:cs="黑体"/>
                <w:sz w:val="24"/>
                <w:szCs w:val="24"/>
              </w:rPr>
              <w:t>详见第五章采购需求 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01" w:type="dxa"/>
            <w:tcBorders>
              <w:lef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项目实施</w:t>
            </w:r>
          </w:p>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地点</w:t>
            </w:r>
          </w:p>
        </w:tc>
        <w:tc>
          <w:tcPr>
            <w:tcW w:w="8069" w:type="dxa"/>
            <w:tcBorders>
              <w:right w:val="single" w:color="auto" w:sz="12" w:space="0"/>
            </w:tcBorders>
            <w:vAlign w:val="center"/>
          </w:tcPr>
          <w:p>
            <w:pPr>
              <w:spacing w:line="44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1501"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备注</w:t>
            </w:r>
          </w:p>
        </w:tc>
        <w:tc>
          <w:tcPr>
            <w:tcW w:w="8069" w:type="dxa"/>
            <w:tcBorders>
              <w:right w:val="single" w:color="auto" w:sz="12" w:space="0"/>
            </w:tcBorders>
            <w:vAlign w:val="center"/>
          </w:tcPr>
          <w:p>
            <w:pPr>
              <w:spacing w:line="360" w:lineRule="auto"/>
              <w:ind w:firstLine="482" w:firstLineChars="201"/>
              <w:jc w:val="left"/>
            </w:pPr>
            <w:r>
              <w:rPr>
                <w:rFonts w:hint="eastAsia" w:ascii="华文中宋" w:hAnsi="华文中宋" w:eastAsia="华文中宋" w:cs="华文中宋"/>
                <w:sz w:val="24"/>
                <w:szCs w:val="24"/>
              </w:rPr>
              <w:t>报价应是竞争性谈判文件所约定的监理采购范围内全部工作内容的价格体现，包含但不限于人员工资福利、缴纳各项保险费、国家法定假日加班费、劳保用品费、管理费、利润及税金等所有相关费用。</w:t>
            </w:r>
          </w:p>
        </w:tc>
      </w:tr>
    </w:tbl>
    <w:p>
      <w:pPr>
        <w:widowControl w:val="0"/>
        <w:spacing w:after="120"/>
        <w:jc w:val="both"/>
        <w:rPr>
          <w:rFonts w:ascii="Times New Roman" w:hAnsi="Times New Roman" w:eastAsia="宋体" w:cs="Times New Roman"/>
          <w:kern w:val="2"/>
          <w:sz w:val="21"/>
          <w:lang w:val="en-US" w:eastAsia="zh-CN" w:bidi="ar-SA"/>
        </w:rPr>
      </w:pPr>
    </w:p>
    <w:p>
      <w:r>
        <w:br w:type="page"/>
      </w:r>
    </w:p>
    <w:p>
      <w:pPr>
        <w:widowControl w:val="0"/>
        <w:spacing w:after="120"/>
        <w:jc w:val="both"/>
        <w:rPr>
          <w:rFonts w:ascii="Times New Roman" w:hAnsi="Times New Roman" w:eastAsia="宋体" w:cs="Times New Roman"/>
          <w:kern w:val="2"/>
          <w:sz w:val="21"/>
          <w:lang w:val="en-US" w:eastAsia="zh-CN" w:bidi="ar-SA"/>
        </w:rPr>
      </w:pPr>
    </w:p>
    <w:p>
      <w:pPr>
        <w:keepNext/>
        <w:keepLines/>
        <w:widowControl w:val="0"/>
        <w:numPr>
          <w:ilvl w:val="0"/>
          <w:numId w:val="1"/>
        </w:numPr>
        <w:spacing w:before="0" w:after="0" w:line="460" w:lineRule="exact"/>
        <w:jc w:val="center"/>
        <w:outlineLvl w:val="1"/>
        <w:rPr>
          <w:rFonts w:ascii="华文中宋" w:hAnsi="华文中宋" w:eastAsia="华文中宋" w:cs="华文中宋"/>
          <w:b/>
          <w:bCs/>
          <w:kern w:val="2"/>
          <w:sz w:val="28"/>
          <w:szCs w:val="28"/>
          <w:highlight w:val="white"/>
          <w:lang w:val="en-US" w:eastAsia="zh-CN" w:bidi="ar-SA"/>
        </w:rPr>
      </w:pPr>
      <w:bookmarkStart w:id="6" w:name="_Toc165281606"/>
      <w:r>
        <w:rPr>
          <w:rFonts w:hint="eastAsia" w:ascii="华文中宋" w:hAnsi="华文中宋" w:eastAsia="华文中宋" w:cs="华文中宋"/>
          <w:b/>
          <w:bCs/>
          <w:kern w:val="2"/>
          <w:sz w:val="28"/>
          <w:szCs w:val="28"/>
          <w:highlight w:val="white"/>
          <w:lang w:val="en-US" w:eastAsia="zh-CN" w:bidi="ar-SA"/>
        </w:rPr>
        <w:t>技术标准及要求</w:t>
      </w:r>
      <w:bookmarkEnd w:id="6"/>
    </w:p>
    <w:p>
      <w:pPr>
        <w:widowControl w:val="0"/>
        <w:spacing w:after="120" w:line="240" w:lineRule="exact"/>
        <w:jc w:val="both"/>
        <w:rPr>
          <w:rFonts w:ascii="华文中宋" w:hAnsi="华文中宋" w:eastAsia="华文中宋" w:cs="Times New Roman"/>
          <w:kern w:val="2"/>
          <w:sz w:val="24"/>
          <w:lang w:val="en-US" w:eastAsia="zh-CN" w:bidi="ar-SA"/>
        </w:rPr>
      </w:pPr>
    </w:p>
    <w:p>
      <w:pPr>
        <w:spacing w:line="440" w:lineRule="exact"/>
        <w:ind w:firstLine="480" w:firstLineChars="200"/>
        <w:jc w:val="left"/>
        <w:rPr>
          <w:rFonts w:ascii="华文中宋" w:hAnsi="华文中宋" w:eastAsia="华文中宋"/>
          <w:b/>
          <w:sz w:val="24"/>
        </w:rPr>
      </w:pPr>
      <w:r>
        <w:rPr>
          <w:rFonts w:hint="eastAsia" w:ascii="华文中宋" w:hAnsi="华文中宋" w:eastAsia="华文中宋"/>
          <w:b/>
          <w:sz w:val="24"/>
        </w:rPr>
        <w:t>（一）采购项目内容</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1、项目名称：2024年重点工程第三方监理单位项目</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2、监理工程项目情况：第十八栋学生公寓集中改造项目、第二十栋学生公寓集中改造项目、第五教学楼集中维修项目、田径场改造项目等项目，工程项目</w:t>
      </w:r>
      <w:r>
        <w:rPr>
          <w:rFonts w:ascii="华文中宋" w:hAnsi="华文中宋" w:eastAsia="华文中宋" w:cs="华文中宋"/>
          <w:sz w:val="24"/>
          <w:szCs w:val="24"/>
        </w:rPr>
        <w:t>总投资</w:t>
      </w:r>
      <w:r>
        <w:rPr>
          <w:rFonts w:hint="eastAsia" w:ascii="华文中宋" w:hAnsi="华文中宋" w:eastAsia="华文中宋" w:cs="华文中宋"/>
          <w:sz w:val="24"/>
          <w:szCs w:val="24"/>
        </w:rPr>
        <w:t>金额</w:t>
      </w:r>
      <w:r>
        <w:rPr>
          <w:rFonts w:ascii="华文中宋" w:hAnsi="华文中宋" w:eastAsia="华文中宋" w:cs="华文中宋"/>
          <w:sz w:val="24"/>
          <w:szCs w:val="24"/>
        </w:rPr>
        <w:t>不低于</w:t>
      </w:r>
      <w:r>
        <w:rPr>
          <w:rFonts w:hint="eastAsia" w:ascii="华文中宋" w:hAnsi="华文中宋" w:eastAsia="华文中宋" w:cs="华文中宋"/>
          <w:sz w:val="24"/>
          <w:szCs w:val="24"/>
        </w:rPr>
        <w:t>1100万元，但监理费用以工程项目结算支付金额为基准进行结算。</w:t>
      </w:r>
    </w:p>
    <w:p>
      <w:pPr>
        <w:spacing w:line="440" w:lineRule="exact"/>
        <w:ind w:firstLine="480" w:firstLineChars="200"/>
        <w:jc w:val="left"/>
        <w:rPr>
          <w:rFonts w:ascii="华文中宋" w:hAnsi="华文中宋" w:eastAsia="华文中宋"/>
          <w:b/>
          <w:sz w:val="24"/>
        </w:rPr>
      </w:pPr>
      <w:r>
        <w:rPr>
          <w:rFonts w:hint="eastAsia" w:ascii="华文中宋" w:hAnsi="华文中宋" w:eastAsia="华文中宋"/>
          <w:b/>
          <w:sz w:val="24"/>
        </w:rPr>
        <w:t>（二）服务范围</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施工图范围内的土建、装饰装修、强弱电、消防、智能化等工程施工准备至竣工验收的全部监理工作。</w:t>
      </w:r>
    </w:p>
    <w:p>
      <w:pPr>
        <w:spacing w:line="440" w:lineRule="exact"/>
        <w:ind w:firstLine="480" w:firstLineChars="200"/>
        <w:jc w:val="left"/>
        <w:rPr>
          <w:rFonts w:ascii="华文中宋" w:hAnsi="华文中宋" w:eastAsia="华文中宋"/>
          <w:b/>
          <w:sz w:val="24"/>
        </w:rPr>
      </w:pPr>
      <w:r>
        <w:rPr>
          <w:rFonts w:hint="eastAsia" w:ascii="华文中宋" w:hAnsi="华文中宋" w:eastAsia="华文中宋"/>
          <w:b/>
          <w:sz w:val="24"/>
        </w:rPr>
        <w:t>（三）服务要求</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1、成交供应商应遵循“守法、诚信、公正、科学”的执业准则，根据国家建设工程和监理的标准和规范，按照本项目建设目标和要求，依据项目建设合同和用户需求，应用现代的项目管理技巧及手段，对项目的各个层面进行管理和控制协调。</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2、成交供应商应对项目质量控、投资控制、进度控制、安全管理、节能环保管理等方面采取必要和完善的监督、控制和管理措施，保证监理工程能够“按期保质、高效节约”地完成。</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3、成交供应商应对项目合同的执行、信息文档、知识产权等进行管理，确保项目文档管理的规范性，连续性、完整性。</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4、成交供应商应根据工程的具体情况，按合同约定，配备满足监理工作需要的设备和工具，应妥善使用采购人所提供的设施。</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5、成交供应商应遵守相应的监理工作制度，包括会议制度、监理文件制度、监理记录制度、工作报告制度等，保证监理工作协调有序的进行。</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6、成交供应商应保证其拟派的项目监理人员在监理过程中的稳定，如需调整，应征求采购人意见，调整后应予以书面通知。</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7、成交供应商必须定时（每周）向项目建设单位通报工程进展情况，工程实施过程中所遇到的问题应在当日及时汇报。</w:t>
      </w:r>
    </w:p>
    <w:p>
      <w:pPr>
        <w:spacing w:line="440" w:lineRule="exact"/>
        <w:ind w:firstLine="480" w:firstLineChars="200"/>
        <w:jc w:val="left"/>
        <w:rPr>
          <w:rFonts w:ascii="华文中宋" w:hAnsi="华文中宋" w:eastAsia="华文中宋"/>
          <w:b/>
          <w:sz w:val="24"/>
        </w:rPr>
      </w:pPr>
      <w:r>
        <w:rPr>
          <w:rFonts w:hint="eastAsia" w:ascii="华文中宋" w:hAnsi="华文中宋" w:eastAsia="华文中宋"/>
          <w:b/>
          <w:sz w:val="24"/>
        </w:rPr>
        <w:t>（四）人员要求</w:t>
      </w:r>
    </w:p>
    <w:p>
      <w:pPr>
        <w:spacing w:line="460" w:lineRule="exact"/>
        <w:ind w:firstLine="482" w:firstLineChars="201"/>
        <w:jc w:val="left"/>
        <w:rPr>
          <w:rFonts w:ascii="华文中宋" w:hAnsi="华文中宋" w:eastAsia="华文中宋" w:cs="华文中宋"/>
          <w:sz w:val="24"/>
          <w:szCs w:val="24"/>
        </w:rPr>
      </w:pPr>
      <w:r>
        <w:rPr>
          <w:rFonts w:hint="eastAsia" w:ascii="华文中宋" w:hAnsi="华文中宋" w:eastAsia="华文中宋" w:cs="华文中宋"/>
          <w:sz w:val="24"/>
          <w:szCs w:val="24"/>
        </w:rPr>
        <w:t>1、监理单位须拟派监理人员配置应满足下列最低要求：总监理工程师1名、工程监理人员2名。（以上不可为同一人员。）</w:t>
      </w:r>
    </w:p>
    <w:p>
      <w:pPr>
        <w:spacing w:line="440" w:lineRule="exact"/>
        <w:ind w:left="567" w:leftChars="270" w:firstLine="422" w:firstLineChars="176"/>
        <w:jc w:val="left"/>
        <w:rPr>
          <w:rFonts w:ascii="华文中宋" w:hAnsi="华文中宋" w:eastAsia="华文中宋"/>
          <w:sz w:val="24"/>
        </w:rPr>
      </w:pPr>
      <w:r>
        <w:rPr>
          <w:rFonts w:hint="eastAsia" w:ascii="华文中宋" w:hAnsi="华文中宋" w:eastAsia="华文中宋"/>
          <w:sz w:val="24"/>
        </w:rPr>
        <w:t>2、监理单位在监管时</w:t>
      </w:r>
      <w:r>
        <w:rPr>
          <w:rFonts w:ascii="华文中宋" w:hAnsi="华文中宋" w:eastAsia="华文中宋"/>
          <w:sz w:val="24"/>
        </w:rPr>
        <w:t>工程</w:t>
      </w:r>
      <w:r>
        <w:rPr>
          <w:rFonts w:hint="eastAsia" w:ascii="华文中宋" w:hAnsi="华文中宋" w:eastAsia="华文中宋"/>
          <w:sz w:val="24"/>
        </w:rPr>
        <w:t>项目不得派</w:t>
      </w:r>
      <w:r>
        <w:rPr>
          <w:rFonts w:ascii="华文中宋" w:hAnsi="华文中宋" w:eastAsia="华文中宋"/>
          <w:sz w:val="24"/>
        </w:rPr>
        <w:t>1</w:t>
      </w:r>
      <w:r>
        <w:rPr>
          <w:rFonts w:hint="eastAsia" w:ascii="华文中宋" w:hAnsi="华文中宋" w:eastAsia="华文中宋"/>
          <w:sz w:val="24"/>
        </w:rPr>
        <w:t>名监理人员</w:t>
      </w:r>
      <w:r>
        <w:rPr>
          <w:rFonts w:ascii="华文中宋" w:hAnsi="华文中宋" w:eastAsia="华文中宋"/>
          <w:sz w:val="24"/>
        </w:rPr>
        <w:t>同时监理几个工程项目</w:t>
      </w:r>
      <w:r>
        <w:rPr>
          <w:rFonts w:hint="eastAsia" w:ascii="华文中宋" w:hAnsi="华文中宋" w:eastAsia="华文中宋"/>
          <w:sz w:val="24"/>
        </w:rPr>
        <w:t>，须承诺至少要安排2名及以上有资质的监理人员在现场监督施工，配合甲方进行材料进场验收、</w:t>
      </w:r>
      <w:r>
        <w:rPr>
          <w:rFonts w:ascii="华文中宋" w:hAnsi="华文中宋" w:eastAsia="华文中宋"/>
          <w:sz w:val="24"/>
        </w:rPr>
        <w:t>主材抽样送第三方检测、</w:t>
      </w:r>
      <w:r>
        <w:rPr>
          <w:rFonts w:hint="eastAsia" w:ascii="华文中宋" w:hAnsi="华文中宋" w:eastAsia="华文中宋"/>
          <w:sz w:val="24"/>
        </w:rPr>
        <w:t>隐蔽工程验收，对工程项目进度、质量、安全及文明施工全权负责，并形成监理日志，在工程项目完工时提交给甲方。监理人员现场监督施工每月不少于22天，否则按1000元/天进行处罚，罚款从合同价款中扣除。监理单位拟派本项目的监理工程师必须与响应文件保持一致，项目总监及监理人员未到场或未取得采购人同意擅自变更人员，采购人有权对监理单位进行相应的处罚。</w:t>
      </w:r>
      <w:r>
        <w:rPr>
          <w:rFonts w:hint="eastAsia" w:ascii="华文中宋" w:hAnsi="华文中宋" w:eastAsia="华文中宋"/>
          <w:b/>
          <w:sz w:val="24"/>
        </w:rPr>
        <w:t>【响应文件中须提供监理单位承诺函原件，否则，视为无效应答。】</w:t>
      </w:r>
    </w:p>
    <w:p>
      <w:pPr>
        <w:ind w:left="567" w:leftChars="270" w:firstLine="424" w:firstLineChars="177"/>
        <w:rPr>
          <w:rFonts w:ascii="华文中宋" w:hAnsi="华文中宋" w:eastAsia="华文中宋"/>
          <w:sz w:val="24"/>
        </w:rPr>
      </w:pPr>
      <w:r>
        <w:rPr>
          <w:rFonts w:hint="eastAsia" w:ascii="华文中宋" w:hAnsi="华文中宋" w:eastAsia="华文中宋"/>
          <w:sz w:val="24"/>
        </w:rPr>
        <w:t>3、工程项目出现延期或质量问题，监理单位需承担相应责任，并扣除</w:t>
      </w:r>
      <w:r>
        <w:rPr>
          <w:rFonts w:ascii="华文中宋" w:hAnsi="华文中宋" w:eastAsia="华文中宋"/>
          <w:sz w:val="24"/>
        </w:rPr>
        <w:t>不高于该单个项目监理费50%的费用</w:t>
      </w:r>
      <w:r>
        <w:rPr>
          <w:rFonts w:hint="eastAsia" w:ascii="华文中宋" w:hAnsi="华文中宋" w:eastAsia="华文中宋"/>
          <w:sz w:val="24"/>
        </w:rPr>
        <w:t>。</w:t>
      </w:r>
    </w:p>
    <w:p>
      <w:bookmarkStart w:id="7" w:name="_Toc381105409"/>
      <w:bookmarkStart w:id="8" w:name="_Toc32626"/>
      <w:r>
        <w:rPr>
          <w:rFonts w:hint="eastAsia" w:ascii="华文中宋" w:hAnsi="华文中宋" w:eastAsia="华文中宋" w:cs="华文中宋"/>
          <w:b/>
          <w:bCs/>
          <w:kern w:val="2"/>
          <w:sz w:val="28"/>
          <w:szCs w:val="28"/>
          <w:lang w:val="en-US" w:eastAsia="zh-CN" w:bidi="ar-SA"/>
        </w:rPr>
        <w:t>注:以上技术要求全部为实质性要求，供应商须全部响应或优于。</w:t>
      </w:r>
      <w:bookmarkEnd w:id="7"/>
      <w:bookmarkEnd w:id="8"/>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37CF2"/>
    <w:multiLevelType w:val="singleLevel"/>
    <w:tmpl w:val="5A137C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jA3YjdiMDE5YjQ1ZThhMGJiMTA0YTE3YTlhOTQifQ=="/>
  </w:docVars>
  <w:rsids>
    <w:rsidRoot w:val="494B5441"/>
    <w:rsid w:val="494B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rPr>
      <w:sz w:val="24"/>
      <w:szCs w:val="24"/>
    </w:rPr>
  </w:style>
  <w:style w:type="paragraph" w:styleId="4">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2024-04-30T07:00:00Z</dcterms:created>
  <dc:creator>Adolf</dc:creator>
  <cp:lastModifiedBy>Adolf</cp:lastModifiedBy>
  <dcterms:modified xsi:type="dcterms:W3CDTF">2024-04-30T07:01:33Z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AD6C0F79512F4D33B6D67671F99B0B4D_11</vt:lpwstr>
  </property>
</Properties>
</file>