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hint="eastAsia" w:ascii="宋体" w:hAnsi="宋体" w:eastAsia="宋体" w:cs="宋体"/>
          <w:b/>
          <w:bCs/>
          <w:sz w:val="32"/>
          <w:lang w:eastAsia="zh-CN"/>
        </w:rPr>
      </w:pPr>
      <w:r>
        <w:rPr>
          <w:rFonts w:hint="eastAsia" w:ascii="宋体" w:hAnsi="宋体" w:cs="宋体"/>
          <w:b/>
          <w:bCs/>
          <w:sz w:val="32"/>
        </w:rPr>
        <w:t>项目名称：</w:t>
      </w:r>
      <w:r>
        <w:rPr>
          <w:rFonts w:hint="eastAsia" w:ascii="宋体" w:hAnsi="宋体" w:cs="宋体"/>
          <w:b/>
          <w:bCs/>
          <w:sz w:val="32"/>
          <w:lang w:eastAsia="zh-CN"/>
        </w:rPr>
        <w:t>江西旅游商贸职业学院旅游学院多功能考试中心设备采购项目</w:t>
      </w:r>
    </w:p>
    <w:p>
      <w:pPr>
        <w:ind w:firstLine="1285" w:firstLineChars="400"/>
        <w:rPr>
          <w:rFonts w:hint="default" w:ascii="宋体" w:hAnsi="宋体" w:eastAsia="宋体" w:cs="宋体"/>
          <w:b/>
          <w:bCs/>
          <w:sz w:val="32"/>
          <w:lang w:val="en-US" w:eastAsia="zh-CN"/>
        </w:rPr>
      </w:pPr>
      <w:r>
        <w:rPr>
          <w:rFonts w:hint="eastAsia" w:ascii="宋体" w:hAnsi="宋体" w:cs="宋体"/>
          <w:b/>
          <w:bCs/>
          <w:sz w:val="32"/>
        </w:rPr>
        <w:t>项目编号：JXTC2024200076</w:t>
      </w:r>
      <w:r>
        <w:rPr>
          <w:rFonts w:hint="eastAsia" w:ascii="宋体" w:hAnsi="宋体" w:cs="宋体"/>
          <w:b/>
          <w:bCs/>
          <w:sz w:val="32"/>
          <w:lang w:val="en-US" w:eastAsia="zh-CN"/>
        </w:rPr>
        <w:t>C1</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bookmarkStart w:id="107" w:name="_GoBack"/>
      <w:bookmarkEnd w:id="107"/>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5"/>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5"/>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5"/>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35393790"/>
      <w:bookmarkStart w:id="2" w:name="_Toc28359079"/>
      <w:bookmarkStart w:id="3" w:name="_Toc27129"/>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hint="eastAsia" w:ascii="宋体" w:hAnsi="宋体" w:eastAsia="宋体" w:cs="宋体"/>
          <w:b w:val="0"/>
          <w:sz w:val="24"/>
          <w:szCs w:val="24"/>
          <w:lang w:eastAsia="zh-CN"/>
        </w:rPr>
      </w:pPr>
      <w:r>
        <w:rPr>
          <w:rFonts w:hint="eastAsia" w:ascii="宋体" w:hAnsi="宋体" w:eastAsia="宋体" w:cs="宋体"/>
          <w:b w:val="0"/>
          <w:sz w:val="24"/>
          <w:szCs w:val="24"/>
        </w:rPr>
        <w:t>项目名称：</w:t>
      </w:r>
      <w:r>
        <w:rPr>
          <w:rFonts w:hint="eastAsia" w:ascii="宋体" w:hAnsi="宋体" w:eastAsia="宋体" w:cs="宋体"/>
          <w:b w:val="0"/>
          <w:sz w:val="24"/>
          <w:szCs w:val="24"/>
          <w:lang w:eastAsia="zh-CN"/>
        </w:rPr>
        <w:t>江西旅游商贸职业学院旅游学院多功能考试中心设备采购项目</w:t>
      </w:r>
    </w:p>
    <w:p>
      <w:pPr>
        <w:pStyle w:val="4"/>
        <w:spacing w:before="0" w:after="0" w:line="360" w:lineRule="auto"/>
        <w:rPr>
          <w:rFonts w:hint="default" w:ascii="宋体" w:hAnsi="宋体" w:eastAsia="宋体" w:cs="宋体"/>
          <w:b w:val="0"/>
          <w:sz w:val="24"/>
          <w:szCs w:val="24"/>
          <w:lang w:val="en-US" w:eastAsia="zh-CN"/>
        </w:rPr>
      </w:pPr>
      <w:r>
        <w:rPr>
          <w:rFonts w:hint="eastAsia" w:ascii="宋体" w:hAnsi="宋体" w:eastAsia="宋体" w:cs="宋体"/>
          <w:b w:val="0"/>
          <w:sz w:val="24"/>
          <w:szCs w:val="24"/>
        </w:rPr>
        <w:t>项目编号：JXTC2024200076</w:t>
      </w:r>
      <w:r>
        <w:rPr>
          <w:rFonts w:hint="eastAsia" w:ascii="宋体" w:hAnsi="宋体" w:eastAsia="宋体" w:cs="宋体"/>
          <w:b w:val="0"/>
          <w:sz w:val="24"/>
          <w:szCs w:val="24"/>
          <w:lang w:val="en-US" w:eastAsia="zh-CN"/>
        </w:rPr>
        <w:t>C1</w:t>
      </w:r>
    </w:p>
    <w:bookmarkEnd w:id="6"/>
    <w:p>
      <w:pPr>
        <w:spacing w:line="360" w:lineRule="auto"/>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228</w:t>
      </w:r>
      <w:r>
        <w:rPr>
          <w:rFonts w:hint="eastAsia" w:ascii="宋体" w:hAnsi="宋体" w:cs="宋体"/>
          <w:sz w:val="24"/>
          <w:szCs w:val="24"/>
        </w:rPr>
        <w:t>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赣购2024J001120078</w:t>
            </w:r>
          </w:p>
        </w:tc>
        <w:tc>
          <w:tcPr>
            <w:tcW w:w="2118"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旅游学院多功能考试中心设备采购</w:t>
            </w:r>
          </w:p>
        </w:tc>
        <w:tc>
          <w:tcPr>
            <w:tcW w:w="826"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sz w:val="24"/>
                <w:szCs w:val="24"/>
                <w:lang w:val="en-US" w:eastAsia="zh-CN"/>
              </w:rPr>
              <w:t>228</w:t>
            </w:r>
            <w:r>
              <w:rPr>
                <w:rFonts w:hint="eastAsia" w:ascii="宋体" w:hAnsi="宋体" w:cs="宋体"/>
                <w:sz w:val="24"/>
                <w:szCs w:val="24"/>
              </w:rPr>
              <w:t>万元</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val="en-US" w:eastAsia="zh-CN"/>
        </w:rPr>
        <w:t>合同签订之日起90个日历日</w:t>
      </w:r>
      <w:r>
        <w:rPr>
          <w:rFonts w:hint="eastAsia" w:ascii="宋体" w:hAnsi="宋体" w:cs="宋体"/>
          <w:sz w:val="24"/>
          <w:szCs w:val="24"/>
        </w:rPr>
        <w:t>完成交付并验收合格。</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28359080"/>
      <w:bookmarkStart w:id="8" w:name="_Toc28359003"/>
      <w:bookmarkStart w:id="9" w:name="_Toc35393791"/>
      <w:bookmarkStart w:id="10" w:name="_Toc35393622"/>
      <w:bookmarkStart w:id="11" w:name="_Toc26529"/>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28359004"/>
      <w:bookmarkStart w:id="13" w:name="_Toc35393792"/>
      <w:bookmarkStart w:id="14" w:name="_Toc28359081"/>
      <w:bookmarkStart w:id="15" w:name="_Toc35393623"/>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日至202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82"/>
      <w:bookmarkStart w:id="17" w:name="_Toc28359005"/>
      <w:bookmarkStart w:id="18" w:name="_Toc35393624"/>
      <w:bookmarkStart w:id="19" w:name="_Toc35393793"/>
      <w:bookmarkStart w:id="20" w:name="_Toc20720"/>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17</w:t>
      </w:r>
      <w:r>
        <w:rPr>
          <w:rFonts w:hint="eastAsia" w:ascii="宋体" w:hAnsi="宋体" w:cs="宋体"/>
          <w:bCs/>
          <w:sz w:val="24"/>
          <w:szCs w:val="24"/>
        </w:rPr>
        <w:t>日</w:t>
      </w:r>
      <w:r>
        <w:rPr>
          <w:rFonts w:hint="eastAsia" w:ascii="宋体" w:hAnsi="宋体" w:cs="宋体"/>
          <w:bCs/>
          <w:sz w:val="24"/>
          <w:szCs w:val="24"/>
          <w:lang w:val="en-US" w:eastAsia="zh-CN"/>
        </w:rPr>
        <w:t>14</w:t>
      </w:r>
      <w:r>
        <w:rPr>
          <w:rFonts w:hint="eastAsia" w:ascii="宋体" w:hAnsi="宋体" w:cs="宋体"/>
          <w:bCs/>
          <w:sz w:val="24"/>
          <w:szCs w:val="24"/>
        </w:rPr>
        <w:t>点</w:t>
      </w:r>
      <w:r>
        <w:rPr>
          <w:rFonts w:hint="eastAsia" w:ascii="宋体" w:hAnsi="宋体" w:cs="宋体"/>
          <w:bCs/>
          <w:sz w:val="24"/>
          <w:szCs w:val="24"/>
          <w:lang w:val="en-US" w:eastAsia="zh-CN"/>
        </w:rPr>
        <w:t>0</w:t>
      </w:r>
      <w:r>
        <w:rPr>
          <w:rFonts w:hint="eastAsia" w:ascii="宋体" w:hAnsi="宋体" w:cs="宋体"/>
          <w:bCs/>
          <w:sz w:val="24"/>
          <w:szCs w:val="24"/>
        </w:rPr>
        <w:t>0分（北京时间）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w:t>
      </w:r>
      <w:r>
        <w:rPr>
          <w:rFonts w:hint="eastAsia" w:ascii="宋体" w:hAnsi="宋体" w:cs="宋体"/>
          <w:sz w:val="24"/>
          <w:szCs w:val="24"/>
          <w:lang w:val="en-US" w:eastAsia="zh-CN"/>
        </w:rPr>
        <w:t>5</w:t>
      </w:r>
      <w:r>
        <w:rPr>
          <w:rFonts w:hint="eastAsia" w:ascii="宋体" w:hAnsi="宋体" w:cs="宋体"/>
          <w:sz w:val="24"/>
          <w:szCs w:val="24"/>
        </w:rPr>
        <w:t>号竞谈(磋)室(</w:t>
      </w:r>
      <w:r>
        <w:rPr>
          <w:rFonts w:hint="eastAsia" w:ascii="宋体" w:hAnsi="宋体" w:cs="宋体"/>
          <w:sz w:val="24"/>
          <w:szCs w:val="24"/>
          <w:lang w:val="en-US" w:eastAsia="zh-CN"/>
        </w:rPr>
        <w:t>12</w:t>
      </w:r>
      <w:r>
        <w:rPr>
          <w:rFonts w:hint="eastAsia" w:ascii="宋体" w:hAnsi="宋体" w:cs="宋体"/>
          <w:sz w:val="24"/>
          <w:szCs w:val="24"/>
        </w:rPr>
        <w:t>楼</w:t>
      </w:r>
      <w:r>
        <w:rPr>
          <w:rFonts w:hint="eastAsia" w:ascii="宋体" w:hAnsi="宋体" w:cs="宋体"/>
          <w:sz w:val="24"/>
          <w:szCs w:val="24"/>
          <w:lang w:val="en-US" w:eastAsia="zh-CN"/>
        </w:rPr>
        <w:t>1205</w:t>
      </w:r>
      <w:r>
        <w:rPr>
          <w:rFonts w:hint="eastAsia" w:ascii="宋体" w:hAnsi="宋体" w:cs="宋体"/>
          <w:sz w:val="24"/>
          <w:szCs w:val="24"/>
        </w:rPr>
        <w:t>号)</w:t>
      </w:r>
    </w:p>
    <w:p>
      <w:pPr>
        <w:pStyle w:val="4"/>
        <w:spacing w:before="0" w:after="0" w:line="360" w:lineRule="auto"/>
        <w:rPr>
          <w:rFonts w:ascii="宋体" w:hAnsi="宋体" w:eastAsia="宋体" w:cs="宋体"/>
          <w:bCs w:val="0"/>
          <w:sz w:val="24"/>
          <w:szCs w:val="24"/>
        </w:rPr>
      </w:pPr>
      <w:bookmarkStart w:id="21" w:name="_Toc35393625"/>
      <w:bookmarkStart w:id="22" w:name="_Toc28359084"/>
      <w:bookmarkStart w:id="23" w:name="_Toc28359007"/>
      <w:bookmarkStart w:id="24" w:name="_Toc35393794"/>
      <w:bookmarkStart w:id="25" w:name="_Toc12960"/>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4"/>
        <w:spacing w:before="0" w:after="0" w:line="360" w:lineRule="auto"/>
        <w:rPr>
          <w:rFonts w:ascii="宋体" w:hAnsi="宋体" w:eastAsia="宋体" w:cs="宋体"/>
          <w:bCs w:val="0"/>
          <w:sz w:val="24"/>
          <w:szCs w:val="24"/>
        </w:rPr>
      </w:pPr>
      <w:bookmarkStart w:id="26" w:name="_Toc35393626"/>
      <w:bookmarkStart w:id="27" w:name="_Toc10090"/>
      <w:bookmarkStart w:id="28" w:name="_Toc35393795"/>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8359085"/>
      <w:bookmarkStart w:id="30" w:name="_Toc35393796"/>
      <w:bookmarkStart w:id="31" w:name="_Toc25456"/>
      <w:bookmarkStart w:id="32" w:name="_Toc28359008"/>
      <w:bookmarkStart w:id="33" w:name="_Toc35393627"/>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hint="eastAsia" w:ascii="宋体" w:hAnsi="宋体" w:eastAsia="宋体" w:cs="宋体"/>
          <w:sz w:val="24"/>
          <w:szCs w:val="24"/>
          <w:highlight w:val="none"/>
          <w:lang w:eastAsia="zh-CN"/>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hint="eastAsia" w:ascii="宋体" w:hAnsi="宋体" w:eastAsia="宋体" w:cs="仿宋"/>
          <w:b/>
          <w:bCs/>
          <w:sz w:val="24"/>
          <w:szCs w:val="24"/>
        </w:rPr>
      </w:pPr>
      <w:r>
        <w:rPr>
          <w:rFonts w:hint="eastAsia" w:ascii="宋体" w:hAnsi="宋体" w:cs="仿宋"/>
          <w:b/>
          <w:bCs/>
          <w:sz w:val="24"/>
          <w:szCs w:val="24"/>
        </w:rPr>
        <w:t>5、</w:t>
      </w:r>
      <w:r>
        <w:rPr>
          <w:rFonts w:hint="eastAsia" w:ascii="宋体" w:hAnsi="宋体" w:eastAsia="宋体" w:cs="仿宋"/>
          <w:b/>
          <w:bCs/>
          <w:sz w:val="24"/>
          <w:szCs w:val="24"/>
        </w:rPr>
        <w:t>本项目采用电子化谈判模式，谈判现场不提供网络环境，请供应商自行搭建网络环境进入系统操作，并提前在笔记本电脑下载安装驱动。各供应商需</w:t>
      </w:r>
      <w:r>
        <w:rPr>
          <w:rFonts w:hint="eastAsia" w:ascii="宋体" w:hAnsi="宋体" w:eastAsia="宋体" w:cs="仿宋"/>
          <w:b/>
          <w:bCs/>
          <w:sz w:val="24"/>
          <w:szCs w:val="24"/>
          <w:lang w:val="en-US" w:eastAsia="zh-CN"/>
        </w:rPr>
        <w:t>在系统上</w:t>
      </w:r>
      <w:r>
        <w:rPr>
          <w:rFonts w:hint="eastAsia" w:ascii="宋体" w:hAnsi="宋体" w:eastAsia="宋体" w:cs="仿宋"/>
          <w:b/>
          <w:bCs/>
          <w:sz w:val="24"/>
          <w:szCs w:val="24"/>
        </w:rPr>
        <w:t>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lang w:val="en-US" w:eastAsia="zh-CN"/>
        </w:rPr>
        <w:t>6、</w:t>
      </w:r>
      <w:r>
        <w:rPr>
          <w:rFonts w:hint="eastAsia" w:ascii="宋体" w:hAnsi="宋体" w:cs="仿宋"/>
          <w:b/>
          <w:bCs/>
          <w:sz w:val="24"/>
          <w:szCs w:val="24"/>
        </w:rPr>
        <w:t>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b/>
          <w:bCs/>
          <w:sz w:val="24"/>
          <w:szCs w:val="24"/>
          <w:lang w:val="en-US" w:eastAsia="zh-CN"/>
        </w:rPr>
        <w:t>7、</w:t>
      </w:r>
      <w:r>
        <w:rPr>
          <w:rFonts w:hint="eastAsia" w:ascii="宋体" w:hAnsi="宋体" w:eastAsia="宋体" w:cs="仿宋"/>
          <w:b/>
          <w:bCs/>
          <w:sz w:val="24"/>
          <w:szCs w:val="24"/>
        </w:rPr>
        <w:t>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highlight w:val="none"/>
        </w:rPr>
      </w:pPr>
      <w:r>
        <w:rPr>
          <w:rFonts w:hint="eastAsia" w:ascii="宋体" w:hAnsi="宋体" w:cs="宋体"/>
          <w:sz w:val="24"/>
          <w:szCs w:val="24"/>
          <w:highlight w:val="none"/>
        </w:rPr>
        <w:t>1.采购人信息</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bCs/>
          <w:sz w:val="24"/>
          <w:szCs w:val="24"/>
          <w:highlight w:val="none"/>
        </w:rPr>
        <w:t>江西旅游商贸职业学院</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bCs/>
          <w:sz w:val="24"/>
          <w:szCs w:val="24"/>
          <w:highlight w:val="none"/>
        </w:rPr>
        <w:t>南昌市经济开发区丁香路1号</w:t>
      </w:r>
    </w:p>
    <w:p>
      <w:pPr>
        <w:spacing w:line="360" w:lineRule="auto"/>
        <w:ind w:left="1079" w:leftChars="371" w:hanging="300" w:hangingChars="125"/>
        <w:jc w:val="left"/>
        <w:rPr>
          <w:rFonts w:hint="default" w:ascii="宋体" w:hAnsi="宋体" w:eastAsia="宋体" w:cs="宋体"/>
          <w:sz w:val="24"/>
          <w:szCs w:val="24"/>
          <w:highlight w:val="yellow"/>
          <w:lang w:val="en-US" w:eastAsia="zh-CN"/>
        </w:rPr>
      </w:pPr>
      <w:bookmarkStart w:id="34" w:name="_Toc28359086"/>
      <w:bookmarkStart w:id="35" w:name="_Toc28359009"/>
      <w:r>
        <w:rPr>
          <w:rFonts w:hint="eastAsia" w:ascii="宋体" w:hAnsi="宋体" w:eastAsia="宋体" w:cs="宋体"/>
          <w:sz w:val="24"/>
          <w:szCs w:val="24"/>
        </w:rPr>
        <w:t>联系方式：</w:t>
      </w:r>
      <w:r>
        <w:rPr>
          <w:rFonts w:hint="eastAsia" w:ascii="宋体" w:hAnsi="宋体" w:eastAsia="宋体" w:cs="宋体"/>
          <w:sz w:val="24"/>
          <w:szCs w:val="24"/>
          <w:lang w:val="en-US" w:eastAsia="zh-CN"/>
        </w:rPr>
        <w:t>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10"/>
      <w:bookmarkStart w:id="37" w:name="_Toc28359087"/>
      <w:r>
        <w:rPr>
          <w:rFonts w:hint="eastAsia" w:ascii="宋体" w:hAnsi="宋体" w:cs="宋体"/>
          <w:sz w:val="24"/>
          <w:szCs w:val="24"/>
        </w:rPr>
        <w:t>电子函件：jzzc@jxzxtz.com</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eastAsia="宋体" w:cs="宋体"/>
          <w:sz w:val="24"/>
          <w:szCs w:val="24"/>
        </w:rPr>
        <w:t>电　话：0791-86270385</w:t>
      </w: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7"/>
        <w:ind w:left="0" w:leftChars="0" w:firstLine="0" w:firstLineChars="0"/>
        <w:rPr>
          <w:rFonts w:ascii="宋体" w:hAnsi="宋体" w:cs="宋体"/>
        </w:rPr>
      </w:pPr>
    </w:p>
    <w:p>
      <w:pPr>
        <w:pStyle w:val="19"/>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220403898"/>
      <w:bookmarkStart w:id="40" w:name="_Toc221335709"/>
      <w:bookmarkStart w:id="41" w:name="_Toc220257383"/>
      <w:bookmarkStart w:id="42" w:name="_Toc501638122"/>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120"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120"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40000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120"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hint="eastAsia" w:ascii="宋体" w:hAnsi="宋体" w:cs="宋体"/>
                <w:sz w:val="24"/>
              </w:rPr>
            </w:pPr>
            <w:r>
              <w:rPr>
                <w:rFonts w:hint="eastAsia" w:ascii="宋体" w:hAnsi="宋体" w:cs="宋体"/>
                <w:sz w:val="24"/>
              </w:rPr>
              <w:t>开户银行：江西银行南昌红谷滩支行</w:t>
            </w:r>
          </w:p>
          <w:p>
            <w:pPr>
              <w:spacing w:line="460" w:lineRule="exact"/>
              <w:rPr>
                <w:rFonts w:hint="eastAsia" w:ascii="宋体" w:hAnsi="宋体" w:cs="宋体"/>
                <w:sz w:val="24"/>
              </w:rPr>
            </w:pPr>
            <w:r>
              <w:rPr>
                <w:rFonts w:hint="eastAsia" w:ascii="宋体" w:hAnsi="宋体" w:cs="宋体"/>
                <w:sz w:val="24"/>
              </w:rPr>
              <w:t>开户名称：江西省机电设备招标有限公司</w:t>
            </w:r>
          </w:p>
          <w:p>
            <w:pPr>
              <w:spacing w:line="460" w:lineRule="exact"/>
              <w:rPr>
                <w:rFonts w:hint="eastAsia" w:ascii="宋体" w:hAnsi="宋体" w:eastAsia="宋体" w:cs="宋体"/>
                <w:sz w:val="24"/>
                <w:lang w:eastAsia="zh-CN"/>
              </w:rPr>
            </w:pPr>
            <w:r>
              <w:rPr>
                <w:rFonts w:hint="eastAsia" w:ascii="宋体" w:hAnsi="宋体" w:cs="宋体"/>
                <w:sz w:val="24"/>
              </w:rPr>
              <w:t>开户账户：</w:t>
            </w:r>
            <w:r>
              <w:rPr>
                <w:rFonts w:hint="eastAsia" w:ascii="宋体" w:hAnsi="宋体"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120"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w:t>
            </w:r>
            <w:r>
              <w:rPr>
                <w:rFonts w:hint="eastAsia" w:ascii="宋体" w:hAnsi="宋体" w:cs="宋体"/>
                <w:bCs/>
                <w:sz w:val="24"/>
                <w:szCs w:val="24"/>
                <w:highlight w:val="none"/>
              </w:rPr>
              <w:t>供的核心产品为相同品牌产品的，视为提供相同品牌产品。核心产品为：</w:t>
            </w:r>
            <w:r>
              <w:rPr>
                <w:rFonts w:hint="eastAsia" w:ascii="宋体" w:hAnsi="宋体" w:cs="宋体"/>
                <w:bCs/>
                <w:sz w:val="24"/>
                <w:szCs w:val="24"/>
                <w:highlight w:val="none"/>
                <w:lang w:val="en-US" w:eastAsia="zh-CN"/>
              </w:rPr>
              <w:t>分体式教学终端</w:t>
            </w:r>
            <w:r>
              <w:rPr>
                <w:rFonts w:hint="eastAsia" w:ascii="宋体" w:hAnsi="宋体" w:cs="宋体"/>
                <w:bCs/>
                <w:sz w:val="24"/>
                <w:szCs w:val="24"/>
                <w:highlight w:val="none"/>
              </w:rPr>
              <w:t>。</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0"/>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ind w:lef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收费标准＝成交金额×收费费率＋速算增加数</w:t>
            </w:r>
          </w:p>
          <w:p>
            <w:pPr>
              <w:pStyle w:val="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注：成交金额在40万元以下的，按照40万元计算服务费。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w:t>
            </w:r>
            <w:r>
              <w:rPr>
                <w:rFonts w:hint="eastAsia" w:ascii="宋体" w:hAnsi="宋体" w:cs="仿宋"/>
                <w:sz w:val="24"/>
                <w:szCs w:val="24"/>
                <w:lang w:eastAsia="zh-CN"/>
              </w:rPr>
              <w:t>响应无效</w:t>
            </w:r>
            <w:r>
              <w:rPr>
                <w:rFonts w:hint="eastAsia" w:ascii="宋体" w:hAnsi="宋体" w:cs="仿宋"/>
                <w:sz w:val="24"/>
                <w:szCs w:val="24"/>
              </w:rPr>
              <w:t>。如到开标现场进行投标文件解密，开标现场解密一体机与“不见面开标”系统不对接，无法进行解密，因此引起的一切问题由投标人自行承担。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hint="eastAsia" w:ascii="宋体" w:hAnsi="宋体" w:eastAsia="宋体" w:cs="仿宋"/>
                <w:sz w:val="24"/>
                <w:szCs w:val="24"/>
                <w:lang w:eastAsia="zh-CN"/>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lang w:eastAsia="zh-CN"/>
              </w:rPr>
              <w:t>（</w:t>
            </w:r>
            <w:r>
              <w:rPr>
                <w:rFonts w:hint="eastAsia" w:ascii="宋体" w:hAnsi="宋体" w:cs="仿宋"/>
                <w:b/>
                <w:bCs/>
                <w:sz w:val="24"/>
                <w:szCs w:val="24"/>
                <w:lang w:val="en-US" w:eastAsia="zh-CN"/>
              </w:rPr>
              <w:t>招标文件中特别注明需将原件递交到投标现场的除外</w:t>
            </w:r>
            <w:r>
              <w:rPr>
                <w:rFonts w:hint="eastAsia" w:ascii="宋体" w:hAnsi="宋体" w:cs="仿宋"/>
                <w:b/>
                <w:bCs/>
                <w:sz w:val="24"/>
                <w:szCs w:val="24"/>
                <w:lang w:eastAsia="zh-CN"/>
              </w:rPr>
              <w:t>）</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w:t>
            </w:r>
            <w:r>
              <w:rPr>
                <w:rFonts w:hint="eastAsia" w:ascii="宋体" w:hAnsi="宋体" w:cs="仿宋"/>
                <w:sz w:val="24"/>
                <w:szCs w:val="24"/>
                <w:lang w:eastAsia="zh-CN"/>
              </w:rPr>
              <w:t>响应无效</w:t>
            </w:r>
            <w:r>
              <w:rPr>
                <w:rFonts w:hint="eastAsia" w:ascii="宋体" w:hAnsi="宋体" w:cs="仿宋"/>
                <w:sz w:val="24"/>
                <w:szCs w:val="24"/>
              </w:rPr>
              <w:t>。</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hint="eastAsia"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495487710"/>
      <w:bookmarkStart w:id="45" w:name="_Toc499477410"/>
      <w:bookmarkStart w:id="46" w:name="_Toc501101639"/>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051"/>
      <w:bookmarkStart w:id="48" w:name="_Toc498090129"/>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hint="eastAsia" w:ascii="宋体" w:hAnsi="宋体" w:cs="宋体"/>
          <w:b/>
          <w:color w:val="auto"/>
          <w:sz w:val="24"/>
          <w:szCs w:val="24"/>
          <w:highlight w:val="none"/>
        </w:rPr>
      </w:pPr>
      <w:bookmarkStart w:id="49" w:name="_Toc501638125"/>
      <w:r>
        <w:rPr>
          <w:rFonts w:hint="eastAsia" w:ascii="宋体" w:hAnsi="宋体" w:cs="宋体"/>
          <w:b/>
          <w:color w:val="auto"/>
          <w:sz w:val="24"/>
          <w:szCs w:val="24"/>
          <w:highlight w:val="none"/>
        </w:rPr>
        <w:t>9.5对小型和微型企业、监狱企业、残疾人福利性单位产品参加谈判享受的政策</w:t>
      </w:r>
    </w:p>
    <w:p>
      <w:pPr>
        <w:spacing w:line="460" w:lineRule="exact"/>
        <w:ind w:left="602" w:hanging="602" w:hangingChars="250"/>
        <w:rPr>
          <w:rFonts w:hint="eastAsia" w:ascii="宋体" w:hAnsi="宋体" w:cs="宋体"/>
          <w:b w:val="0"/>
          <w:bCs/>
          <w:color w:val="auto"/>
          <w:sz w:val="24"/>
          <w:szCs w:val="24"/>
          <w:highlight w:val="none"/>
          <w:lang w:val="en-US" w:eastAsia="zh-CN"/>
        </w:rPr>
      </w:pPr>
      <w:r>
        <w:rPr>
          <w:rFonts w:hint="eastAsia" w:ascii="宋体" w:hAnsi="宋体" w:cs="宋体"/>
          <w:b/>
          <w:color w:val="auto"/>
          <w:sz w:val="24"/>
          <w:szCs w:val="24"/>
          <w:highlight w:val="none"/>
        </w:rPr>
        <w:t>9.5.1</w:t>
      </w:r>
      <w:r>
        <w:rPr>
          <w:rFonts w:hint="eastAsia" w:ascii="宋体" w:hAnsi="宋体" w:eastAsia="宋体" w:cs="宋体"/>
          <w:b/>
          <w:bCs/>
          <w:color w:val="auto"/>
          <w:sz w:val="24"/>
          <w:szCs w:val="24"/>
          <w:highlight w:val="none"/>
          <w:lang w:val="en-US" w:eastAsia="zh-CN"/>
        </w:rPr>
        <w:t>本项目非专门面向中小企业：</w:t>
      </w:r>
      <w:r>
        <w:rPr>
          <w:rFonts w:hint="eastAsia" w:ascii="宋体" w:hAnsi="宋体" w:eastAsia="宋体" w:cs="宋体"/>
          <w:color w:val="auto"/>
          <w:sz w:val="24"/>
          <w:szCs w:val="24"/>
          <w:highlight w:val="none"/>
          <w:lang w:val="en-US" w:eastAsia="zh-CN"/>
        </w:rPr>
        <w:t>对小型、微型企业（监狱企业、残疾人福利性单位视同小型、微型企业）的产品价格给予10%的扣除，用扣除后的价格参与评审；</w:t>
      </w:r>
    </w:p>
    <w:p>
      <w:pPr>
        <w:spacing w:line="460" w:lineRule="exact"/>
        <w:ind w:left="602" w:hanging="602" w:hangingChars="250"/>
        <w:rPr>
          <w:rFonts w:hint="eastAsia" w:ascii="宋体" w:hAnsi="宋体" w:eastAsia="宋体" w:cs="宋体"/>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享受政策内容详见第二章“供应商须知前附表”</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9.5.2监狱企业视同小型、微型企业，享受评审中价格扣除等政府促进中小企业发展的政府采购政策。</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ascii="宋体" w:hAnsi="宋体" w:cs="宋体"/>
          <w:color w:val="auto"/>
          <w:sz w:val="24"/>
          <w:szCs w:val="24"/>
          <w:highlight w:val="none"/>
          <w:lang w:eastAsia="zh-CN"/>
        </w:rPr>
        <w:t>4%的</w:t>
      </w:r>
      <w:r>
        <w:rPr>
          <w:rFonts w:hint="eastAsia" w:ascii="宋体" w:hAnsi="宋体" w:cs="宋体"/>
          <w:color w:val="auto"/>
          <w:sz w:val="24"/>
          <w:szCs w:val="24"/>
          <w:highlight w:val="none"/>
        </w:rPr>
        <w:t>价格扣除。</w:t>
      </w:r>
      <w:r>
        <w:rPr>
          <w:rFonts w:hint="eastAsia" w:ascii="宋体" w:hAnsi="宋体" w:cs="宋体"/>
          <w:b/>
          <w:i/>
          <w:color w:val="auto"/>
          <w:sz w:val="24"/>
          <w:highlight w:val="none"/>
        </w:rPr>
        <w:t>（适用于联合体参加谈判）</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联合体各方均为小型、微型企业的，联合体视同为小型、微型企业。</w:t>
      </w:r>
      <w:r>
        <w:rPr>
          <w:rFonts w:hint="eastAsia" w:ascii="宋体" w:hAnsi="宋体" w:cs="宋体"/>
          <w:i/>
          <w:color w:val="auto"/>
          <w:sz w:val="24"/>
          <w:highlight w:val="none"/>
        </w:rPr>
        <w:t>（</w:t>
      </w:r>
      <w:r>
        <w:rPr>
          <w:rFonts w:hint="eastAsia" w:ascii="宋体" w:hAnsi="宋体" w:cs="宋体"/>
          <w:b/>
          <w:i/>
          <w:color w:val="auto"/>
          <w:sz w:val="24"/>
          <w:highlight w:val="none"/>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color w:val="auto"/>
          <w:sz w:val="24"/>
          <w:szCs w:val="24"/>
          <w:highlight w:val="none"/>
        </w:rPr>
        <w:t>组成联合体的大中型企业和其他自然人、法人或者其他组织，与小型、微型企业之间不得存在投资关系。</w:t>
      </w:r>
      <w:r>
        <w:rPr>
          <w:rFonts w:hint="eastAsia" w:ascii="宋体" w:hAnsi="宋体" w:cs="宋体"/>
          <w:b/>
          <w:i/>
          <w:color w:val="auto"/>
          <w:sz w:val="24"/>
          <w:highlight w:val="none"/>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501638132"/>
      <w:bookmarkStart w:id="51" w:name="_Toc445715221"/>
      <w:bookmarkStart w:id="52" w:name="_Toc286758341"/>
      <w:bookmarkStart w:id="53" w:name="_Toc376848255"/>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color w:val="0D0D0D"/>
          <w:sz w:val="24"/>
          <w:szCs w:val="24"/>
          <w:lang w:eastAsia="zh-CN"/>
        </w:rPr>
        <w:t>，</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hint="eastAsia"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0" w:hanging="482" w:hangingChars="200"/>
        <w:rPr>
          <w:rFonts w:ascii="宋体" w:hAnsi="宋体" w:cs="仿宋"/>
          <w:b/>
          <w:bCs w:val="0"/>
          <w:sz w:val="24"/>
          <w:szCs w:val="24"/>
          <w:lang w:val="en-GB"/>
        </w:rPr>
      </w:pPr>
      <w:r>
        <w:rPr>
          <w:rFonts w:hint="eastAsia" w:ascii="宋体" w:hAnsi="宋体" w:cs="仿宋"/>
          <w:b/>
          <w:bCs w:val="0"/>
          <w:sz w:val="24"/>
          <w:szCs w:val="24"/>
          <w:lang w:val="en-GB"/>
        </w:rPr>
        <w:t>2</w:t>
      </w:r>
      <w:r>
        <w:rPr>
          <w:rFonts w:hint="eastAsia" w:ascii="宋体" w:hAnsi="宋体" w:cs="仿宋"/>
          <w:b/>
          <w:bCs w:val="0"/>
          <w:sz w:val="24"/>
          <w:szCs w:val="24"/>
        </w:rPr>
        <w:t>4</w:t>
      </w:r>
      <w:r>
        <w:rPr>
          <w:rFonts w:hint="eastAsia" w:ascii="宋体" w:hAnsi="宋体" w:cs="仿宋"/>
          <w:b/>
          <w:bCs w:val="0"/>
          <w:sz w:val="24"/>
          <w:szCs w:val="24"/>
          <w:lang w:val="en-GB"/>
        </w:rPr>
        <w:t>.3</w:t>
      </w:r>
      <w:r>
        <w:rPr>
          <w:rFonts w:hint="eastAsia" w:ascii="宋体" w:hAnsi="宋体" w:cs="仿宋"/>
          <w:b/>
          <w:bCs w:val="0"/>
          <w:sz w:val="24"/>
          <w:szCs w:val="24"/>
        </w:rPr>
        <w:t>谈判</w:t>
      </w:r>
      <w:r>
        <w:rPr>
          <w:rFonts w:hint="eastAsia" w:ascii="宋体" w:hAnsi="宋体" w:cs="仿宋"/>
          <w:b/>
          <w:bCs w:val="0"/>
          <w:sz w:val="24"/>
          <w:szCs w:val="24"/>
          <w:lang w:val="en-GB"/>
        </w:rPr>
        <w:t>截止时间前供应商未</w:t>
      </w:r>
      <w:r>
        <w:rPr>
          <w:rFonts w:hint="eastAsia" w:ascii="宋体" w:hAnsi="宋体" w:cs="仿宋"/>
          <w:b/>
          <w:bCs w:val="0"/>
          <w:sz w:val="24"/>
          <w:szCs w:val="24"/>
          <w:lang w:val="en-US" w:eastAsia="zh-CN"/>
        </w:rPr>
        <w:t>签到</w:t>
      </w:r>
      <w:r>
        <w:rPr>
          <w:rFonts w:hint="eastAsia" w:ascii="宋体" w:hAnsi="宋体" w:cs="仿宋"/>
          <w:b/>
          <w:bCs w:val="0"/>
          <w:sz w:val="24"/>
          <w:szCs w:val="24"/>
          <w:lang w:val="en-GB"/>
        </w:rPr>
        <w:t>或</w:t>
      </w:r>
      <w:r>
        <w:rPr>
          <w:rFonts w:hint="eastAsia" w:ascii="宋体" w:hAnsi="宋体" w:cs="仿宋"/>
          <w:b/>
          <w:bCs w:val="0"/>
          <w:sz w:val="24"/>
          <w:szCs w:val="24"/>
          <w:lang w:val="en-US" w:eastAsia="zh-CN"/>
        </w:rPr>
        <w:t>在规定时间内</w:t>
      </w:r>
      <w:r>
        <w:rPr>
          <w:rFonts w:hint="eastAsia" w:ascii="宋体" w:hAnsi="宋体" w:cs="仿宋"/>
          <w:b/>
          <w:bCs w:val="0"/>
          <w:sz w:val="24"/>
          <w:szCs w:val="24"/>
          <w:lang w:val="en-GB"/>
        </w:rPr>
        <w:t>CA数字证书</w:t>
      </w:r>
      <w:r>
        <w:rPr>
          <w:rFonts w:hint="eastAsia" w:ascii="宋体" w:hAnsi="宋体" w:cs="仿宋"/>
          <w:b/>
          <w:bCs w:val="0"/>
          <w:sz w:val="24"/>
          <w:szCs w:val="24"/>
          <w:lang w:val="en-US" w:eastAsia="zh-CN"/>
        </w:rPr>
        <w:t>未</w:t>
      </w:r>
      <w:r>
        <w:rPr>
          <w:rFonts w:hint="eastAsia" w:ascii="宋体" w:hAnsi="宋体" w:cs="仿宋"/>
          <w:b/>
          <w:bCs w:val="0"/>
          <w:sz w:val="24"/>
          <w:szCs w:val="24"/>
          <w:lang w:val="en-GB"/>
        </w:rPr>
        <w:t>解密</w:t>
      </w:r>
      <w:r>
        <w:rPr>
          <w:rFonts w:hint="eastAsia" w:ascii="宋体" w:hAnsi="宋体" w:cs="仿宋"/>
          <w:b/>
          <w:bCs w:val="0"/>
          <w:sz w:val="24"/>
          <w:szCs w:val="24"/>
        </w:rPr>
        <w:t>响应</w:t>
      </w:r>
      <w:r>
        <w:rPr>
          <w:rFonts w:hint="eastAsia" w:ascii="宋体" w:hAnsi="宋体" w:cs="仿宋"/>
          <w:b/>
          <w:bCs w:val="0"/>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w:t>
      </w:r>
      <w:r>
        <w:rPr>
          <w:rFonts w:hint="eastAsia" w:ascii="宋体" w:hAnsi="宋体" w:cs="仿宋"/>
          <w:b/>
          <w:bCs/>
          <w:sz w:val="24"/>
          <w:szCs w:val="24"/>
          <w:lang w:val="en-US" w:eastAsia="zh-CN"/>
        </w:rPr>
        <w:t>在系统进行</w:t>
      </w:r>
      <w:r>
        <w:rPr>
          <w:rFonts w:hint="eastAsia" w:ascii="宋体" w:hAnsi="宋体" w:cs="仿宋"/>
          <w:b/>
          <w:bCs/>
          <w:sz w:val="24"/>
          <w:szCs w:val="24"/>
        </w:rPr>
        <w:t>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rPr>
          <w:rFonts w:hint="eastAsia"/>
        </w:rPr>
        <w:fldChar w:fldCharType="begin"/>
      </w:r>
      <w:r>
        <w:instrText xml:space="preserve"> HYPERLINK "http://ggzy"</w:instrText>
      </w:r>
      <w:r>
        <w:rPr>
          <w:rFonts w:hint="eastAsia"/>
        </w:rP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rPr>
          <w:rFonts w:hint="eastAsia"/>
        </w:rPr>
        <w:fldChar w:fldCharType="begin"/>
      </w:r>
      <w:r>
        <w:instrText xml:space="preserve"> HYPERLINK "http://ggzy.jiangxi.gov.cn/jxzbw/"</w:instrText>
      </w:r>
      <w:r>
        <w:rPr>
          <w:rFonts w:hint="eastAsia"/>
        </w:rP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rPr>
          <w:rFonts w:hint="eastAsia"/>
        </w:rPr>
        <w:fldChar w:fldCharType="begin"/>
      </w:r>
      <w:r>
        <w:instrText xml:space="preserve"> HYPERLINK "http://www.ccgp.gov.cn/"</w:instrText>
      </w:r>
      <w:r>
        <w:rPr>
          <w:rFonts w:hint="eastAsia"/>
        </w:rP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387418052"/>
      <w:bookmarkStart w:id="71" w:name="_Toc225565935"/>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2"/>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4"/>
        <w:jc w:val="center"/>
        <w:rPr>
          <w:rFonts w:ascii="宋体" w:hAnsi="宋体" w:eastAsia="宋体" w:cs="仿宋"/>
          <w:sz w:val="24"/>
          <w:szCs w:val="24"/>
        </w:rPr>
      </w:pPr>
      <w:bookmarkStart w:id="74" w:name="_Toc474492110"/>
      <w:bookmarkStart w:id="75" w:name="_Toc23552"/>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474492111"/>
      <w:bookmarkStart w:id="78" w:name="_Toc8385"/>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2"/>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0258426"/>
      <w:bookmarkStart w:id="83" w:name="_Toc501638143"/>
      <w:r>
        <w:rPr>
          <w:rFonts w:hint="eastAsia" w:ascii="宋体" w:hAnsi="宋体" w:eastAsia="宋体" w:cs="宋体"/>
          <w:sz w:val="28"/>
          <w:szCs w:val="28"/>
        </w:rPr>
        <w:t>格式7-1. 中小企业声明</w:t>
      </w:r>
      <w:bookmarkEnd w:id="82"/>
      <w:bookmarkEnd w:id="83"/>
    </w:p>
    <w:p>
      <w:pPr>
        <w:pStyle w:val="2"/>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2"/>
        <w:ind w:left="860"/>
        <w:rPr>
          <w:rFonts w:ascii="宋体" w:hAnsi="宋体" w:cs="宋体"/>
          <w:sz w:val="24"/>
          <w:szCs w:val="24"/>
        </w:rPr>
      </w:pPr>
      <w:r>
        <w:rPr>
          <w:rFonts w:hint="eastAsia" w:ascii="宋体" w:hAnsi="宋体" w:cs="宋体"/>
          <w:sz w:val="24"/>
          <w:szCs w:val="24"/>
        </w:rPr>
        <w:t>……</w:t>
      </w:r>
    </w:p>
    <w:p>
      <w:pPr>
        <w:pStyle w:val="2"/>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0258427"/>
      <w:bookmarkStart w:id="85" w:name="_Toc501638144"/>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0258428"/>
      <w:bookmarkStart w:id="87" w:name="_Toc501638145"/>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1638146"/>
      <w:bookmarkStart w:id="89" w:name="_Toc500258429"/>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2"/>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293934829"/>
      <w:bookmarkStart w:id="92" w:name="_Toc501638148"/>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312"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r>
        <w:rPr>
          <w:rFonts w:hint="eastAsia"/>
          <w:color w:val="000000"/>
          <w:sz w:val="24"/>
          <w:szCs w:val="24"/>
          <w:lang w:val="en-US" w:eastAsia="zh-CN"/>
        </w:rPr>
        <w:t xml:space="preserve">          </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 xml:space="preserve"> 月</w:t>
      </w:r>
      <w:r>
        <w:rPr>
          <w:rFonts w:hint="eastAsia"/>
          <w:color w:val="000000"/>
          <w:sz w:val="24"/>
          <w:szCs w:val="24"/>
          <w:lang w:val="en-US" w:eastAsia="zh-CN"/>
        </w:rPr>
        <w:t xml:space="preserve"> </w:t>
      </w:r>
      <w:r>
        <w:rPr>
          <w:rFonts w:hint="eastAsia"/>
          <w:color w:val="000000"/>
          <w:sz w:val="24"/>
          <w:szCs w:val="24"/>
        </w:rPr>
        <w:t xml:space="preserve">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2"/>
      </w:pPr>
    </w:p>
    <w:p>
      <w:pPr>
        <w:spacing w:line="440" w:lineRule="exact"/>
        <w:jc w:val="center"/>
        <w:rPr>
          <w:rFonts w:ascii="宋体" w:hAnsi="宋体" w:cs="宋体"/>
          <w:b/>
          <w:sz w:val="24"/>
          <w:szCs w:val="24"/>
        </w:rPr>
      </w:pPr>
    </w:p>
    <w:p>
      <w:pPr>
        <w:pStyle w:val="2"/>
        <w:rPr>
          <w:rFonts w:ascii="宋体" w:hAnsi="宋体" w:cs="宋体"/>
          <w:b/>
          <w:sz w:val="24"/>
          <w:szCs w:val="24"/>
        </w:rPr>
      </w:pPr>
    </w:p>
    <w:p>
      <w:pPr>
        <w:pStyle w:val="19"/>
        <w:ind w:firstLine="241"/>
        <w:rPr>
          <w:rFonts w:ascii="宋体" w:hAnsi="宋体" w:cs="宋体"/>
          <w:b/>
          <w:sz w:val="24"/>
          <w:szCs w:val="24"/>
        </w:rPr>
      </w:pPr>
    </w:p>
    <w:p>
      <w:pPr>
        <w:rPr>
          <w:rFonts w:ascii="宋体" w:hAnsi="宋体" w:cs="宋体"/>
          <w:b/>
          <w:sz w:val="24"/>
          <w:szCs w:val="24"/>
        </w:rPr>
      </w:pPr>
    </w:p>
    <w:p>
      <w:pPr>
        <w:pStyle w:val="2"/>
        <w:rPr>
          <w:rFonts w:ascii="宋体" w:hAnsi="宋体" w:cs="宋体"/>
          <w:b/>
          <w:sz w:val="24"/>
          <w:szCs w:val="24"/>
        </w:rPr>
      </w:pPr>
    </w:p>
    <w:p>
      <w:pPr>
        <w:rPr>
          <w:rFonts w:ascii="宋体" w:hAnsi="宋体" w:cs="宋体"/>
          <w:b/>
          <w:sz w:val="24"/>
          <w:szCs w:val="24"/>
        </w:rPr>
      </w:pPr>
    </w:p>
    <w:p>
      <w:pPr>
        <w:pStyle w:val="2"/>
      </w:pPr>
    </w:p>
    <w:p>
      <w:pPr>
        <w:pStyle w:val="19"/>
        <w:ind w:firstLine="210"/>
      </w:pPr>
    </w:p>
    <w:p/>
    <w:p>
      <w:pPr>
        <w:pStyle w:val="2"/>
        <w:rPr>
          <w:rFonts w:ascii="宋体" w:hAnsi="宋体" w:cs="宋体"/>
          <w:b/>
          <w:sz w:val="24"/>
          <w:szCs w:val="24"/>
        </w:rPr>
      </w:pPr>
    </w:p>
    <w:p>
      <w:pPr>
        <w:pStyle w:val="19"/>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r>
        <w:rPr>
          <w:rFonts w:hint="eastAsia" w:ascii="宋体" w:hAnsi="宋体" w:cs="宋体"/>
          <w:sz w:val="24"/>
        </w:rPr>
        <w:t xml:space="preserve">           </w:t>
      </w:r>
    </w:p>
    <w:p>
      <w:pPr>
        <w:pStyle w:val="2"/>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498611436"/>
      <w:bookmarkStart w:id="103" w:name="_Toc505955283"/>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pStyle w:val="3"/>
        <w:jc w:val="center"/>
        <w:rPr>
          <w:rFonts w:hAnsi="宋体" w:cs="宋体"/>
          <w:b/>
          <w:bCs/>
          <w:sz w:val="32"/>
        </w:rPr>
      </w:pPr>
      <w:bookmarkStart w:id="105" w:name="_Toc501638149"/>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37465</wp:posOffset>
                      </wp:positionV>
                      <wp:extent cx="1781175" cy="1479550"/>
                      <wp:effectExtent l="11430" t="10160" r="7620" b="5715"/>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2" name="__TH_L88"/>
                              <wps:cNvCnPr/>
                              <wps:spPr bwMode="auto">
                                <a:xfrm>
                                  <a:off x="1716" y="3057"/>
                                  <a:ext cx="2805" cy="2330"/>
                                </a:xfrm>
                                <a:prstGeom prst="line">
                                  <a:avLst/>
                                </a:prstGeom>
                                <a:noFill/>
                                <a:ln w="6350">
                                  <a:solidFill>
                                    <a:srgbClr val="000000"/>
                                  </a:solidFill>
                                  <a:round/>
                                </a:ln>
                              </wps:spPr>
                              <wps:bodyPr/>
                            </wps:wsp>
                            <wps:wsp>
                              <wps:cNvPr id="3" name="__TH_B1189"/>
                              <wps:cNvSpPr txBox="1">
                                <a:spLocks noChangeArrowheads="1"/>
                              </wps:cNvSpPr>
                              <wps:spPr bwMode="auto">
                                <a:xfrm>
                                  <a:off x="2769" y="3199"/>
                                  <a:ext cx="300" cy="300"/>
                                </a:xfrm>
                                <a:prstGeom prst="rect">
                                  <a:avLst/>
                                </a:prstGeom>
                                <a:noFill/>
                                <a:ln>
                                  <a:noFill/>
                                </a:ln>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6pt;margin-top:2.95pt;height:116.5pt;width:140.25pt;z-index:251659264;mso-width-relative:page;mso-height-relative:page;" coordorigin="1716,3057" coordsize="2805,2330" o:gfxdata="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u&#10;Mcs+2QAAAAgBAAAPAAAAAAAAAAEAIAAAACIAAABkcnMvZG93bnJldi54bWxQSwECFAAUAAAACACH&#10;TuJAeJ2UgXkDAACMEQAADgAAAAAAAAABACAAAAAoAQAAZHJzL2Uyb0RvYy54bWxQSwUGAAAAAAYA&#10;BgBZAQAAEwc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ind w:left="0" w:firstLine="0"/>
      </w:pPr>
    </w:p>
    <w:p>
      <w:pPr>
        <w:pStyle w:val="7"/>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1"/>
        <w:gridCol w:w="1565"/>
        <w:gridCol w:w="553"/>
        <w:gridCol w:w="441"/>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分体式教学终端</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lang w:val="en-US" w:eastAsia="en-US"/>
              </w:rPr>
              <w:t>CPU</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物理核数</w:t>
            </w:r>
            <w:r>
              <w:rPr>
                <w:rFonts w:hint="eastAsia" w:ascii="宋体" w:hAnsi="宋体" w:eastAsia="宋体" w:cs="宋体"/>
                <w:i w:val="0"/>
                <w:iCs w:val="0"/>
                <w:color w:val="auto"/>
                <w:kern w:val="0"/>
                <w:sz w:val="24"/>
                <w:szCs w:val="24"/>
                <w:highlight w:val="none"/>
                <w:u w:val="none"/>
                <w:lang w:val="en-US" w:eastAsia="zh-CN" w:bidi="ar"/>
              </w:rPr>
              <w:t>≥12核,</w:t>
            </w:r>
            <w:r>
              <w:rPr>
                <w:rFonts w:hint="eastAsia" w:ascii="宋体" w:hAnsi="宋体" w:eastAsia="宋体" w:cs="宋体"/>
                <w:sz w:val="24"/>
                <w:szCs w:val="24"/>
                <w:highlight w:val="none"/>
                <w:lang w:val="en-US" w:eastAsia="en-US"/>
              </w:rPr>
              <w:t>主频</w:t>
            </w:r>
            <w:r>
              <w:rPr>
                <w:rFonts w:hint="eastAsia" w:ascii="宋体" w:hAnsi="宋体" w:eastAsia="宋体" w:cs="宋体"/>
                <w:i w:val="0"/>
                <w:iCs w:val="0"/>
                <w:color w:val="auto"/>
                <w:kern w:val="0"/>
                <w:sz w:val="24"/>
                <w:szCs w:val="24"/>
                <w:highlight w:val="none"/>
                <w:u w:val="none"/>
                <w:lang w:val="en-US" w:eastAsia="zh-CN" w:bidi="ar"/>
              </w:rPr>
              <w:t>≥2.1GHZ,</w:t>
            </w:r>
            <w:r>
              <w:rPr>
                <w:rFonts w:hint="eastAsia" w:ascii="宋体" w:hAnsi="宋体" w:eastAsia="宋体" w:cs="宋体"/>
                <w:sz w:val="24"/>
                <w:szCs w:val="24"/>
                <w:highlight w:val="none"/>
                <w:lang w:val="en-US" w:eastAsia="en-US"/>
              </w:rPr>
              <w:t>末级缓存容量</w:t>
            </w:r>
            <w:r>
              <w:rPr>
                <w:rFonts w:hint="eastAsia" w:ascii="宋体" w:hAnsi="宋体" w:eastAsia="宋体" w:cs="宋体"/>
                <w:i w:val="0"/>
                <w:iCs w:val="0"/>
                <w:color w:val="auto"/>
                <w:kern w:val="0"/>
                <w:sz w:val="24"/>
                <w:szCs w:val="24"/>
                <w:highlight w:val="none"/>
                <w:u w:val="none"/>
                <w:lang w:val="en-US" w:eastAsia="zh-CN" w:bidi="ar"/>
              </w:rPr>
              <w:t>≥25MB,</w:t>
            </w:r>
            <w:r>
              <w:rPr>
                <w:rFonts w:hint="eastAsia" w:ascii="宋体" w:hAnsi="宋体" w:eastAsia="宋体" w:cs="宋体"/>
                <w:sz w:val="24"/>
                <w:szCs w:val="24"/>
                <w:highlight w:val="none"/>
                <w:lang w:val="en-US" w:eastAsia="en-US"/>
              </w:rPr>
              <w:t>支持的内存最高速率</w:t>
            </w:r>
            <w:r>
              <w:rPr>
                <w:rFonts w:hint="eastAsia" w:ascii="宋体" w:hAnsi="宋体" w:eastAsia="宋体" w:cs="宋体"/>
                <w:i w:val="0"/>
                <w:iCs w:val="0"/>
                <w:color w:val="auto"/>
                <w:kern w:val="0"/>
                <w:sz w:val="24"/>
                <w:szCs w:val="24"/>
                <w:highlight w:val="none"/>
                <w:u w:val="none"/>
                <w:lang w:val="en-US" w:eastAsia="zh-CN" w:bidi="ar"/>
              </w:rPr>
              <w:t>≥2666MHZ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2、内存：32G DDR4 3200MT/s 内存或以上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3、硬盘：≥256G M.2 SSD硬盘，机械硬盘1T及以上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4、网络通信：为保证学生使用网络过程安全可控，提供双1000M以太网口，可以实现内网外网物理隔离。网口支持wake on LAN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5、集成标准声卡、USB键盘、鼠标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Hans" w:bidi="ar"/>
              </w:rPr>
              <w:t>接口</w:t>
            </w:r>
            <w:r>
              <w:rPr>
                <w:rFonts w:hint="eastAsia" w:ascii="宋体" w:hAnsi="宋体" w:eastAsia="宋体" w:cs="宋体"/>
                <w:i w:val="0"/>
                <w:iCs w:val="0"/>
                <w:color w:val="auto"/>
                <w:kern w:val="0"/>
                <w:sz w:val="24"/>
                <w:szCs w:val="24"/>
                <w:highlight w:val="none"/>
                <w:u w:val="none"/>
                <w:lang w:eastAsia="zh-Hans" w:bidi="ar"/>
              </w:rPr>
              <w:t>：</w:t>
            </w:r>
            <w:r>
              <w:rPr>
                <w:rFonts w:hint="eastAsia" w:ascii="宋体" w:hAnsi="宋体" w:eastAsia="宋体" w:cs="宋体"/>
                <w:i w:val="0"/>
                <w:iCs w:val="0"/>
                <w:color w:val="auto"/>
                <w:kern w:val="0"/>
                <w:sz w:val="24"/>
                <w:szCs w:val="24"/>
                <w:highlight w:val="none"/>
                <w:u w:val="none"/>
                <w:lang w:val="en-US" w:eastAsia="zh-CN" w:bidi="ar"/>
              </w:rPr>
              <w:t>USB3.0≥6个；TypeC≥1个；麦克风输入≥</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个，音频输出≥</w:t>
            </w:r>
            <w:r>
              <w:rPr>
                <w:rFonts w:hint="eastAsia" w:ascii="宋体" w:hAnsi="宋体" w:eastAsia="宋体" w:cs="宋体"/>
                <w:i w:val="0"/>
                <w:iCs w:val="0"/>
                <w:color w:val="auto"/>
                <w:kern w:val="0"/>
                <w:sz w:val="24"/>
                <w:szCs w:val="24"/>
                <w:highlight w:val="none"/>
                <w:u w:val="none"/>
                <w:lang w:eastAsia="zh-CN" w:bidi="ar"/>
              </w:rPr>
              <w:t>3</w:t>
            </w:r>
            <w:r>
              <w:rPr>
                <w:rFonts w:hint="eastAsia" w:ascii="宋体" w:hAnsi="宋体" w:eastAsia="宋体" w:cs="宋体"/>
                <w:i w:val="0"/>
                <w:iCs w:val="0"/>
                <w:color w:val="auto"/>
                <w:kern w:val="0"/>
                <w:sz w:val="24"/>
                <w:szCs w:val="24"/>
                <w:highlight w:val="none"/>
                <w:u w:val="none"/>
                <w:lang w:val="en-US" w:eastAsia="zh-CN" w:bidi="ar"/>
              </w:rPr>
              <w:t>个</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USB2.0≥4个；HDMI输出≥1；VGA输出≥1；DP输出≥1；串口≥1；RJ45≥2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7、电源功率：≤300W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8、内部插槽：PCIEX16≥1（支持拓展独立显卡）；PCIEX1≥2；PCI≥1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kern w:val="2"/>
                <w:sz w:val="24"/>
                <w:szCs w:val="24"/>
                <w:highlight w:val="none"/>
                <w:lang w:val="en-US" w:eastAsia="zh-CN" w:bidi="ar-SA"/>
              </w:rPr>
              <w:t>附件：《台式计算机政府采购需求标准2023年版》必须纳入采购需求（加“*”）的指标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云桌面系统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1.支持云平板系统快捷部署，终端设备在部署时指定系统安装位置、数据分区（D盘）大小、云桌面镜像导入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2.支持云平板系统快捷部署，终端设备在部署过程中进行云桌面镜像导入时，支持编辑云桌面镜像的名称与操作系统类型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3.支持在现有终端设备上部署利旧使用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4.支持在云桌面镜像系统无法启动、系统异常时，通过手势在屏幕上调取触摸中控菜单，进行系统恢复至出厂默认状态，无需连接网络、无需连接管理平台、无需额外工具辅助。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5.支持云平板系统恢复后，公共数据分区（D盘）的数据得到保留，不受还原影响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6.支持监测网络状态，支持查看当前网络类型，支持查看终端设备IP地址，支持查看与管理平台的网络连接质量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7.支持诊断网络，支持检测与管理平台的通讯状态，支持TCP延迟、ICMP延迟、上传下载速度检测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8.支持诊断网络，支持查看本地网络状态、IP地址、掩码、网关、DNS、速率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9.支持使用PING进行网络连通性检测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10.支持查看终端设备信息，支持查看终端设备型号、序列号、磁盘容量、内存容量、CPU型号等信息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11.支持配置多网卡网络，支持配置DHCP获取IP或手动配置静态IP信息，配置的网络信息同步到启动的云桌面镜像中保持一致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12.支持配置管理平台地址，支持自动寻找网络中的管理平台，支持手动指定管理平台，支持检测管理平台的连通性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支持系统重置，恢复出厂设置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13.支持系统启动模式配置，可配置成开机自动进入云桌面镜像系统或进入云平板系统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14.支持在配置成开机自动进入云桌面镜像系统时，可以通过托盘程序重启进入云平板系统进行云桌面镜像切换或终端设置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15.支持云桌面镜像与终端设备绑定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16.支持终端设备上的云桌面镜像均可使用公共数据分区（D盘）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17.支持通过账号登录、手机扫码登录、无账号访客登录启动的云桌面镜像均可访问公共数据分区（D盘）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支持断网使用，即在终端设备网络中断或管理平台连接中断时，正在操作的教学业务不受影响，依然可使用当前云桌面镜像继续开展业务，打开的程序也不会中断，保障业务连续性；支持终端设备运行时无需运行独立的虚拟化系统，终端设备配置的IP与进入云桌面镜像后的IP能够保持一致，同一个终端无需使用多个IP，简化运维管理与网络规划复杂度；支持在终端设备部署多个云桌面镜像切换使用，支持Windows、UOS、KylinOS、Ubuntu等桌面操作系统的云桌面镜像；</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19.支持Windows云桌面镜像，在Windows云桌面镜像系统中查看设备的CPU型号、GPU型号、系统型号、BIOS版本等系统信息显示与终端物理设备一致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20.支持统信桌面操作系统云桌面镜像，在统信桌面操作系统云桌面中查看设备的CPU型号、GPU型号、系统型号、BIOS版本等系统信息显示与终端物理设备一致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21.支持麒麟桌面操作系统云桌面镜像，在麒麟桌面操作系统云桌面中查看设备的CPU型号、GPU型号、系统型号、BIOS版本等系统信息显示与终端物理设备一致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22.支持在包括但不限于Windows、统信桌面操作系统、麒麟桌面操作系统等不同的云桌面中使用相同品牌的教学应用工具，包括但不限于教学白板软件、学生行为评价软件、视频展台软件、录屏软件等教学应用工具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23.支持高清显示，在云桌面镜像设置显示分辨率为3840*2160@60Hz，支持不低于4K清晰度不低于60帧高清视频流畅解码播放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在未配置管理平台使用终端设备时，管理员进行云桌面镜像管理时，支持查看信息、设置默认启动、设置还原、导入镜像、导出镜像、删除镜像；在未配置管理平台使用终端设备时，支持管理员从USB移动存储设备中导入云桌面镜像系统镜像，支持编辑云桌面镜像的名称与操作系统类型，支持导入过程中查看进度、传输速度等信息；在未配置管理平台使用终端设备时，支持管理员导出指定云桌面镜像系统镜像至USB移动存储设备，支持导出时同步导出配置信息，支持导入过程中查看进度、传输速度等信息</w:t>
            </w:r>
          </w:p>
          <w:p>
            <w:pPr>
              <w:keepNext w:val="0"/>
              <w:keepLines w:val="0"/>
              <w:pageBreakBefore w:val="0"/>
              <w:widowControl/>
              <w:numPr>
                <w:ilvl w:val="-1"/>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25.在未配置管理平台使用终端设备时，支持管理员设置指定云桌面镜像默认启动，终端设备每次开机、重启时自动进入设置的云桌面镜像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26.在未配置管理平台使用终端设备时，支持管理员设置指定云桌面镜像启动还原，设置还原的云桌面镜像的使用记录与数据将不被保留，关机清除</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备授课软件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2、支持PPT解析课件、互动云课件和云端资源调用等多种备课方式。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4、支持PPT的原生解析，教师可将pptx课件转化为互动教学课件，支持单份导入和批量文件夹导入两种导入方式，保留pptx原文件中的文字、图片、表格等对象及动画的可编辑性，并可为课件增加互动教学元素。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5.云内置备授课软件提供教案模板供老师撰写教案，预置模板包含表格式、提纲式、集备式、多课时式、单元设计式不少于7个。支持校本模板，管理员在教研管理后台设置校本模板后，老师可在云教案模板调用。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6.内置备授课软件移动端支持空白页、课件页录制微课，支持将教师声音与对课件、画布的操作过程数据打点绑定，生成播放链接。支持分发到微信、QQ、钉钉，支持链接、海报二维码2种分发模式。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显示设备</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1.≥23.8英寸显示屏幕，分辨率≥1920*1080，屏幕亮度≥250nit，IPS屏，支持VGA≥1，HDMI≥1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2.为保证屏幕色彩显示真实度，显示屏幕DCI-P3色域覆盖率≥ 90%；对比度达到1000:1，屏幕刷新率达到75Hz，响应时间≤7ms，可视角度178/178度；电源能效转换效率≥86%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为了适应日常使用和更好的视频播放体验，显示屏分别提供标准模式和炫彩模式选项；为保证教师、学生的用眼舒适，显示屏幕提供护眼模式，护眼模式下，蓝光比例≤20%；显示器提供阅读模式，为长时间阅读提供舒适的用眼体验。</w:t>
            </w:r>
          </w:p>
          <w:p>
            <w:pPr>
              <w:keepNext w:val="0"/>
              <w:keepLines w:val="0"/>
              <w:widowControl/>
              <w:numPr>
                <w:ilvl w:val="-1"/>
                <w:numId w:val="0"/>
              </w:numPr>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4.显示屏幕采用窄边设计，上左右边框≤3.6mm，下边框≤16.5mm，屏占比≥92%</w:t>
            </w:r>
          </w:p>
          <w:p>
            <w:pPr>
              <w:keepNext w:val="0"/>
              <w:keepLines w:val="0"/>
              <w:widowControl/>
              <w:numPr>
                <w:ilvl w:val="-1"/>
                <w:numId w:val="0"/>
              </w:numPr>
              <w:suppressLineNumbers w:val="0"/>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边缘服务器</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1、软硬一体化1U设备，内置系统软件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2、CPU主频不低于3.5GHz,物理核心数不少于4 颗，缓存不低于8MB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3、内存：32G DDR4内存或以上配置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4、系统硬盘：1TB或以上M.2 NVME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5、数据硬盘：配置不少于4块8T SATA 3.0 7200RPM 256M缓存企业级机械硬盘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6、PCIE扩展：支持不少于1个全高PCIE X16 扩展槽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7、支持IPMI 远程管理，配置独立的IPMI RJ45 管理网口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8、网口：配置不少于4个千兆RJ45 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sz w:val="24"/>
                <w:szCs w:val="24"/>
                <w:highlight w:val="none"/>
                <w:lang w:val="en-US" w:eastAsia="zh-CN"/>
              </w:rPr>
              <w:t>附件：</w:t>
            </w:r>
            <w:r>
              <w:rPr>
                <w:rFonts w:hint="eastAsia" w:ascii="宋体" w:hAnsi="宋体" w:eastAsia="宋体" w:cs="宋体"/>
                <w:kern w:val="2"/>
                <w:sz w:val="24"/>
                <w:szCs w:val="24"/>
                <w:highlight w:val="none"/>
                <w:lang w:val="en-US" w:eastAsia="zh-CN" w:bidi="ar-SA"/>
              </w:rPr>
              <w:t>《通用服务器政府采购需求标准（2023年版）》中必须纳入采购需求（加“*”）的指标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云管理平台</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一、终端管理：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1.支持远程管理终端设备，通过管理平台进行开机、关机、重启、还原、初始化、云桌面镜像推送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2.支持终端设备分组管理，支持在终端组中添加不同型号的终端设备，支持为终端组添加不同的云桌面镜像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3.支持终端分组关联的云桌面镜像优先级调整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4.支持对指定终端已缓存的云桌面镜像进行管理，支持为终端添加或删除云桌面镜像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二、镜像管理：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1.支持云桌面镜像管理，支持上传多种操作系统的云桌面镜像，支持Windows、UOS、Kylin、Ubuntu等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2.支持通过浏览器上传云桌面镜像，无需安装额外的插件或程序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3.支持云桌面镜像的更新，将终端设备提交的更新创建新的版本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4.支持云桌面镜像的历史版本管理，支持回滚到历史版本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5.支持云桌面镜像推送时，查看网络的使用情况，支持查看各终端设备同步进度与速率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三、用户管理：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1.支持用户管理功能，支持批量导入用户，支持添加的用户在终端设备使用手机扫码登录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2.支持用户角色管理，支持创建管理员角色用户，管理员角色用户可以登录管理平台，普通用户仅能在终端设备登录使用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四、系统设置：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1.支持配置终端设备的统一升级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2.支持配置终端设备的使用方式统一配置，可配置成开机自动进入云桌面镜像系统或进入云平板系统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3.支持配置终端设备使用鉴权方式统一配置，可配置成仅使用无账号登录、仅使用有账号登录、同时启用两种登录方式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4.支持分别配置无账号登录、有账号登录方式的还原模式，开启还原后终端设备的云桌面镜像系统的使用记录与数据将不被保留，关机清除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5.支持在启用还原后，终端设备的公共数据分区（D盘）的数据得到保留，不受还原影响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6.支持终端设备自助恢复系统，启用后终端设备可进行系统恢复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7.支持配置终端设备的公共数据分区（D盘）的容量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8.支持统一清空终端设备的公共数据分区（D盘）的数据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教学管理软件</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2.扩展屏广播模式：教师机连接两个显示器，可在广播时选择将任意一个显示器的内容广播到学生机。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3.屏幕广播速度增强：屏幕广播时支持多种画面质量的调节，根据网络的不同选择最好的效果进行教学。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屏幕笔：教师教学使用的辅助工具，突出显示项目、添加注释，添加批注等等。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4.共享白板：教师可共享白板、桌面或图片与选定的学生共同完成相同的学习任务或绘画作品，提供学生也可以单独完成。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5.网络影院：实现教师机播放的视频同步广播到学生机。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6.视频直播：通过USB摄像头将教师的画面实时广播到学生机，达到更形象的教学效果，具有引导客户选择视频设备的提示画面，以便客户快速完成摄像头设备的设置。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7.登录模式：支持频道登录、选择教师登录和IP地址段登录。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9.班级模型：有单独的管理界面，实现对班级模型的统一管理，并能够导入、导出，调用不同网络教室中的班级模型。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10.打印和光盘限制：对打印的权限和光盘使用做限制。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11.U盘限制：对U盘访问权限的设定（完全开放、只读、只写、完全限制），有效控制学生使用U盘，防止资料的流失和病毒的引入。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12.网页限制：设定学生访问网站的黑名单或白名单，对学生可以访问的Internet站点进行管理。支持多浏览器限制，如QQ、IE、谷歌、360、遨游等浏览器。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13.程序限制：通过各种策略的应用，可防止学生在教学过程中打游戏，或使用QQ，MSN等聊天工具，支持限制U盘，网络映射盘，硬盘虚拟盘，虚拟光盘，内存虚拟盘里的程序。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集控软件</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一、系统架构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2.系统支持多类型设备接入，集中运维。包含班班通设备、录播设备、班牌设备、校园屏显设备、学生平板设备。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3.批量关联：支持通过设备辅助管理软件，在单台班班通设备关联学校代码后，自动发现并关联同网段下其他班班通设备。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4.登录方式多样性：支持账号/密码、手机扫码登录。扫码登录：用户首次登录时绑定微信用户ID与账号的对应关系，之后即可通过微信扫一扫安全登录。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6.并行管理：支持实时展示不少于20台设备的运行画面，并支持切换画面模式/列表模式，方便管理员根据实际管理需要选择管理模式。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7.支持查看设备当前使用老师信息，以及最近一次设备解锁时间、解锁方式、解锁老师，实时了解班班通设备教学应用情况。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三、基础指令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（注：针对该项参数，响应文件中须提供具有CMA标识的检测报告扫描件佐证）</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10.大文件传输：支持同时上传多个大于50MB的文件，并可批量发送至多台设备。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11.循环指令：支持设置即时、定时、循环模式的关机、重启、打铃、锁屏/解锁指令。其中打铃指令支持上传自定义铃声、设置播放时长；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12.消息通知：支持发送提醒类通知、全局弹窗类紧急通知、桌面常驻类公告通知。支持设置常用通知消息模版，便于快捷发布。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13.远程控制：支持远程实时控制设备，可监测设备当前运行界面，并远程操作设备界面，适用于远程维护和修复设备软件问题。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r>
              <w:rPr>
                <w:rFonts w:hint="eastAsia" w:ascii="宋体" w:hAnsi="宋体" w:eastAsia="宋体" w:cs="宋体"/>
                <w:i w:val="0"/>
                <w:iCs w:val="0"/>
                <w:color w:val="auto"/>
                <w:kern w:val="0"/>
                <w:sz w:val="24"/>
                <w:szCs w:val="24"/>
                <w:highlight w:val="none"/>
                <w:u w:val="none"/>
                <w:lang w:val="en-US" w:eastAsia="zh-CN" w:bidi="ar"/>
              </w:rPr>
              <w:t>15.软件静默安装：支持用户自主上传官方正版软件，经过人工封装软件后，批量将软件发送至班班通设备安装，整个安装过程完全无感，不影响正常教学。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一体化扩声音箱</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1.采用功放与互动音箱一体化设计，内置麦克风无线接收模块，帮助教师实现多媒体扩音以及本地扩声功能。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2.双音箱有线连接，机箱采用塑胶材质，保护设备免受环境影响。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3.输出额定功率≥2*15W。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4.配置独立音频数字信号处理芯片，支持啸叫抑制功能。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5.支持教师扩声和输入音源叠加输出。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6.端口：220V电源接口≥1个、Line in≥1个、USB≥1个。USB接口可外接U盘设备对音箱固件进行升级。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7.专门为教室声学环境设计的合适扩声效果，距离音箱10米处声压级达到75dB或以上。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8.音箱支持UHF频段的无线麦克风扩音接收，与WiFI不处于同一频段。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10.支持蓝牙无线接收，可分享移动设备上的音频。支持密码模式，防止学生连接。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11.支持交互智能平板显示设备通过蓝牙无线连接音箱，实现快速控制有源音箱音量的功能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U段无线话筒</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1.配备耳戴麦+手持麦；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2.采用最新红外线自动对频（IR）与自动选频（AFS）技术，载波频段(MHz)UHF640~699.7MHz，频带宽度(MHz)60MHz；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3.2通道UHF无线系统，每个通道100个频率可选，可同时工作。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智能讲台</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讲台桌体要求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1.钢木结合设计，采用冷轧钢板桌体，桌体木板厚度≥16mm，钢版厚度≥1.2mm防水、防磨、耐污、耐刮划、抗氧化、老师接触位置为木质桌面，桌面防静电。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2.讲台尺寸设计为长×宽×高≥1200mm×600mm×920mm，讲台桌面支持升降功能，升降范围≥300mm，桌面距地高度≥780～1080mm，根据人体工学设计，讲台桌面高度适合老师站坐教学。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4.讲台桌最大承重为≥120kg，结构稳固，可满足垂直平面水平位置≥110N推力位移仍不超过5mm的移动。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5.讲台升降控制器设计为LED数显、上下升降、支持一键调节坐姿和站姿操作、过流过压保护、遇阻反弹保护、陀螺仪水平失衡保护、快速升降。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6.讲台一键坐姿、一键站姿均为独立按键，不与任何其他功能键复用，出厂即可使用，无需任何现场部署设置。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7.讲台桌标配折叠式水杯收纳功能。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8.讲台桌标配大容量收纳空间，支持键盘、鼠标、书写笔、麦克风等常用教学工具的存储和充电需求。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9.讲台桌可以搭配专属智能屏体通过软件控制升降，并显示高度数据。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讲台屏要求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1.讲台屏设计为单屏幕，由一整块玻璃覆盖，钢化玻璃厚度≥2mm；屏幕融合在讲台中，无突出边角，无法在没有工具的情况下拆除。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2.讲台屏玻璃采用G1级防眩光工艺，降低眩光干扰和镜面反射带来的视觉影响。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3.讲台屏采用≥23.8英寸电容触摸屏幕，支持至少10点同时触摸。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4.讲台屏支持手动角度调节，可实现与桌面形成20°至80°角度调节，根据人体工学设计，可满足最佳观看视角。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5.讲台屏支持对交互智能平板画面的同屏显示和控制；老师讲课无需转身背对学生，提高授课效率。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6.讲台屏内置NFC模块，讲台屏至少支持NFC刷卡、二维码、输入账号密码3种方式实现设备使用前的用户身份认证。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7.讲台屏设置物理实体快捷按键，按键数量≥6个。用户可通过快捷按键对一体机进行进行一键熄屏、音量加控制、音量减控制等操作。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8.讲台屏侧边有≥2个USB充电口，支持对接入设备进行充电和数据传输，方便老师授课使用。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9.讲台屏侧边有≥1个USB type-C接口，支持手机、笔记本电脑音视频传输和充电。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10.讲台屏侧边有≥1个HDMI IN口，支持笔记本电脑接入，方便老师自带笔记本进行授课。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11.讲台屏支持至少1路RS232命令信号输出，可联动多媒体设备实现一键开关机。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12.讲台屏侧边有≥1个220V国标五插电源接口，方便老师给笔记本电脑等设备充电。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13.讲台屏自带定制化独立操作系统，基于安卓11及以上版本，可在任意通道下唤出多功能中控菜单并实现相关操作。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14.讲台屏可设置中控菜单，支持一键上课及下课两种场景控制，也可以对连接的设备单独控制开关机。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15.讲台屏可设置中控菜单，支持通过讲台通道控制功能使讲台主屏在四个输入源中切换，包括智能平板、电脑、HDMI、Type-C。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16.讲台屏可设置有录播菜单，当接入录播产品时，可显示录播导播流画面，选择开始录制、暂停录制和结束录制。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17.讲台屏可直接在中控菜单软件中控制讲桌升降，无需使用讲桌的物理控制面板，并可通过软件与老师账号绑定记录老师独有的升降高度数据。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机柜要求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1.采用钢木结合设计，冷轧钢板柜体，柜体桌面木板厚度≥15mm，钢板厚度≥1mm防水、防磨、耐污、耐刮划、抗氧化、老师接触位置为木质桌面，桌面防静电。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2.机柜尺寸设计为长×宽×高≥700mm×600mm×780mm，机柜容量≥12U,可适装标准19英寸系列网络、通讯类产品。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3.机柜桌面平整，全封闭设计，无菱角处理，保护师生安全。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4.机柜前后柜门采用平开打开方式，带机械锁，方便日常维护。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5.机柜支脚采用4个万向高承重脚轮，方便移动，同时带有自锁功能。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6.散热孔位置：正面门板+侧面。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7.出线孔位置：底部出线。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智慧监考系统软件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用户管理 实现对用户进行增删改查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机构管理 实现对机构进行增删改查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课程/活动管理 实现对课程/活动进行增删改查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基础参数配置 对系统的基础运行参数进行配置管理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监管平台 考试活动参数设置 支持对活动参数进行灵活配置，设定允许中途离开时间、考试起止时间、替考认定次数、最短录像时长、是否启动音频检测等。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支持对每个报警动作的参数单独设置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档案照管理 支持批量照片导入，在考试过程中通过照片比对来认定考生身份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照片现场采集功能 参考人员初始状态没有档案照片的情况下，系统支持现场采集人脸及参考人员的相关证件（学籍卡、身份证等）信息，用以比对认定考生身份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身份审核功能 对参考人员是否真实为本人，提供人工审核功能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监管结果人工审核功能 对于系统检测记录的作弊嫌疑记录，系统支持人工审核、认定或取消嫌疑记录的功能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多角度检索功能 对于监管结果可以按课程、机构、个人分类汇总查询监管结果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支持按帐号、姓名、时间、报警类型、认定类型、报警级别进行查询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支持按图像来源（正面、顶视、屏幕等）进行查询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支持查询报警录像的在线播放或下载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支持对报警事件根据重要性进行分级，并且用不同颜色标记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白名单设置 支持对特定考生免除考前认证，直接进入考试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监管客户端软件（PC端）授权</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考前认证 考试开始前通过视频检测识别认证，确认是本人参考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全程认证 考试过程中全程通过视频检测识别认证，确认是本人正在参加考试,检测间隔不高于30秒，并可通过参数设置进行相应的检测间隔调整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防止访问未授权网站 如果网站页面中有链接到外部网站，根据授权列表进行控制，非授权网站不允许访问。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无人检测 检测参考人员中途是否一直在电脑前，若有离开，系统进行告警提示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防止长时间低头 检测是否长时间低头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防止长时间侧脸 检测是否长时间看别处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防中途拔掉摄像机 防止考生中途拔掉摄像机，系统能够给出检测。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支持外接顶视摄像机 支持外接顶视摄像机，实现对特定目标和行为的检测，包括看书/纸条/手机等，防止身边有人等。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防本机界面切换 防止参考人员通过切换到其他应用进行网络搜索及资料查看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防止虚拟摄像头作弊 防止用户利用虚拟摄像头的方式来作弊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现场监管PC软件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多人检测 支持对区域内有多人进行检测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检测声音干扰 检测音量大小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讲话检测 检测是否有人讲话，能区分讲话和杂音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活体检测 考前或考中通过配合式动作，防止考生使用他人照片、录像等替考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防止虚拟机 防止利用虚拟机作弊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防止远程控制 防止他人利用网络远程操作考试电脑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视频监控 按机构实时监控 监管者可通过管理后台，实时监控所在机构及下级机构的在线考生，并通过监管界面对在线考生进行监视、监听、发送通知、翻页切换。可显示在线人数，实时接收考生端预警事件信息。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网上巡考 可远程实时监控每一路考生图像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支持监听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人工标记、锁定有作弊行为的图像窗口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人工警告、抓拍作弊行为、强制中断考试退出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自动输入常见作弊警告文字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单独放大某一路考生图像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每路考生图像上迭加考生照片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支持正面和顶视的图像迭加、切换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自动或手工切换图像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事件触发录像 当系统检测到有作弊嫌疑事件发生时，系统自动启动录像功能，支持最短录像时长设置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全程记录 支持对参考人员的参考过程进行全程图片和报警录像等记录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定时抓取屏幕 定时对屏幕操作进行抓取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全程录像 支持根据配置启动全程录像功能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现场监管仪</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支持人脸签入签出、每日一题、实时监控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顶视监管摄像机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镜头：高清广角光学镜头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分辨率：500万像素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图像格式：支持MJPEG/JPG/YUY/YUY2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拍摄范围：在桌面高度拍摄≥1.5*1.1米,视场范围不超过底座左侧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线材： ≥200cm长度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 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音频：支持数字Mic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金属立杆高度（含底座）≥75cm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立杆倾倒后头部能够接触到桌面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横杆内置摄像头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立杆与横杆除了折叠或伸缩之外，不可以任意移动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支持LED灯照明及软件控制开关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支持底座外接螺丝固定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底座宽度≤9cm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底座支持从两侧引出USB线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其它功能：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支持软件调节亮度、对比度等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支持对查看手机、纸条、书籍等物品的行为进行检测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支持对跨越边界进行检测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支持对摄像头移动进行检测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支持对语音与噪音进行检测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兼容国内主流云桌面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支持国产操作系统（银河麒麟、统信、麒麟信安）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正面监管摄像头</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1、像素与帧速：200万像素  1920*1080  30fps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2、对焦方式：固定焦距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3、图像传感器为1/3" CMOS Sensor。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4、DSP图像处理芯片支持YUV/MJPG数据格式。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5、支持USB Video Class (UVC)免驱协议。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6、支持MIC音视频同步采集。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7、全高清1920*1080 30 fps，视频流畅不卡顿。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8、配置广角无变镜头，对角90度。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9、默认1080P视频出图，整机能耗小于1W。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监考服务器</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1、高度1U短款型设备</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2、CPU：主频不低于3.4GHz,物理核心数不少于4 核心，缓存不低于8MB</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3、内存：32G DDR4内存或以上配置</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4、系统硬盘：≥960GB SSD固态硬盘</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5、数据硬盘：配置不少于3块8T SATA 3.0 7200RPM 256M缓存企业级机械硬盘，配置独立SAS-HBA卡</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6、PCIE扩展：支持不少于1个全高PCIE X16 扩展槽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7、支持IPMI 远程管理，配置独立的IPMI RJ45 管理网口</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8、网口：配置不少于4个千兆RJ45 以太网口</w:t>
            </w:r>
          </w:p>
          <w:p>
            <w:pPr>
              <w:pStyle w:val="2"/>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9.其他要求：须满足附件：《通用服务器政府采购需求标准（2023年版）》中必须纳入采购需求（加“*”）的指标。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400万广角网络摄像机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最高分辨率不低于2688 × 1520 @25 fps，在该分辨率下可输出实时图像;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Smart侦测：区域入侵侦测，越界侦测，进入区域侦测，离开区域侦测，物品遗留侦测，物品拿取侦测，徘徊侦测，停车侦测，人员聚集侦测，快速移动侦测;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支持背光补偿，强光抑制，3D数字降噪，120 dB宽动态;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支持180°水平视场角;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采用高效阵列红外灯，使用寿命长，红外照射距离不低于10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1个内置麦克风，高清拾音;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传感器类型：1/3"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最低照度：0.005 Lux @（F1.2，AGC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宽动态：120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调节角度：水平：0°~360°，垂直：0°~75°，旋转：0°~360°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焦距&amp;视场角：1.68 mm，水平视场角：180°，垂直视场角：98°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补光距离：不低于10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防补光过曝：支持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最大图像尺寸：不低于2688 × 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视频压缩标准：主码流：H.265/H.264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第三码流：H.265/H.264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音频：1个内置麦克风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启动和工作温湿度：-10 ℃~40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电流及功耗：DC：12 V，0.46 A，最大功耗：5.5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PoE：802.3af，36 V~57 V，0.18 A~0.11 A，最大功耗：6.5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供电方式：DC：12 V ± 25%，支持防反接保护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PoE：802.3af，Class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电源接口类型：Ø5.5 mm圆口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支持不少于16路同步回放及多路同步倒放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支持视频摘要回放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支持标签定义、查询、回放录像文件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支持重要录像文件加锁保护功能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支持不少于8个SATA接口，1个eSATA盘库，可用于录像和备份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双千兆网卡，支持网络容错以及多址设定等应用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支持网络检测（网络流量监控、网络抓包、网络通畅）功能。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4TB监控硬盘</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运行环境：0°C至65°C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工作负载：180 TB/年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 4TB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高速缓存：256 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接口：SATA 6 Gb/s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存储环境：-40°C至70°C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M T B F：100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电脑桌</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不小于85*50cm，两侧带45cm不透明隔断，前面的挡板宜用透明材料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电脑椅</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1.架子采用≥18×32mm异型扁管喷涂，烤漆后厚度≥1.5mm，实际铁管厚度≥1.3mm。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2.背板采用尼龙塑料加网布特网靠背，靠背连接件为工程塑料ABS坐板采用定型海绵加耐污弹力布饰面。坐板可翻起来。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教师椅</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人体工学靠背办公椅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面料材质：网布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类别：转椅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升降方式：气压升降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扶手类型：固定扶手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附加组件：带滚轮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靠背最大角度：不可调节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五星脚材质：锦纶/尼龙(聚酰胺纤维)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1、交换容量≥336G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2、包转发率≥126Mpps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3、固化10/100/1000M以太网端口≥24，固化1G SFP光接口≥4个；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4、设备自带云管理功能，即插即用，可随时查看网络健康度，告警及时推送，有日记事件供回溯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6、支持IPV4/IPV6静态路由，RIP、RIPng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7、支持特有的CPU保护策略，对发往CPU的数据流，进行流区分和优先级队列分级处理，并根据需要实施带宽限速，充分保护CPU不被非法流量占用、恶意攻击和资源消耗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高密吸顶AP</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802.11ax四路双频通用级高密放装型AR系列无线接入点，搭载AI Radio，支持极简以太全光方案；整机最大支持8条空间流，整机最高无线协商速率不低于4.134Gbps，可支持802.11a/b/g/n/ac和802.11ax工作，胖/瘦模式切换、802.3at供电和本地供电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信息点建设</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点位</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包含信息点接口面板，调试服务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超六类网线</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线规：23AWG纯铜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线径：7.6±0.35mm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接法：TIA568A/568B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传输速录：不低于10 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eastAsia="zh-CN"/>
              </w:rPr>
              <w:t>通风设备</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风管式</w:t>
            </w:r>
            <w:r>
              <w:rPr>
                <w:rFonts w:hint="eastAsia" w:ascii="宋体" w:hAnsi="宋体" w:eastAsia="宋体" w:cs="宋体"/>
                <w:color w:val="auto"/>
                <w:sz w:val="24"/>
                <w:szCs w:val="24"/>
                <w:highlight w:val="none"/>
                <w:lang w:eastAsia="zh-CN"/>
              </w:rPr>
              <w:t>通风设备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制冷量：不小于14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制热量：不小于15.8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能效等级：二级及以上</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带电辅热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电源：380V 3N- 50Hz</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一体式终端</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lang w:val="en-US" w:eastAsia="zh-CN"/>
              </w:rPr>
              <w:t>1.整机输入接口具备不少于以下接口数量：3路HDMI IN，5路USB口（至少包含2路USB3.0），1路TYPE-C接口，1路RJ45 IN，1路RS232；</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2.整机输出接口具备1路AUDIO OUT，1路J45 OUT</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3.整机屏幕采用110英寸IPS液晶屏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4.显示比例16:9，屏幕分辨率≥3840*2160，色彩度≥10bit ,可视角度≥178°</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5.屏亮度≥350cd/㎡，对比度≥1200:1，色域达到95%NTSC，</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6.超薄窄边框，整机屏占比≥92%以上，整机最薄处≤25mm</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7.整机采用Android 9.0系统，内置CPU性能≥四核A73，内置GPU性能≥双核Mali G52，RAM≥6G，ROM≥64G</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8.采用2.2声道，顶部发声设计，内置2×7W+2×18W扬声器</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9.无线模块支持802.11 a/b/g/n/ac，工作频率2.4GHz/5GHz；可支持插拔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10.支持手机投屏软件操控大屏，小屏控大屏满足近端操控需求</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11.手机和电脑支持混合投屏展示，可支持4个画面同屏展示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12.无线传屏软硬件均支持win10系统/MAC系统扩展屏显示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13.在同一个局域网下，电脑或手机使用可通过连接码进行投屏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14.电脑投屏，最大支持4k@30的分辨率投屏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15.可以仅对一个窗口进行无线投屏，其他窗口内容不做展示，保证数据的隐私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16.可通过传屏工具栏暂停投屏功能进行画面冻结暂停，投屏电脑可自主进行其他操作，不影响整机的冻结画面内容显示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17.可通过传屏工具栏传屏模式，快速切换传屏方式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18.手机扫描整机传屏二维码即可完成连接整机热点，无需单独在手机上输入WIFI账号密码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19.采用更加符合遥控操作的主页面，在主页面的底部显示≥4个图标</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20.整机无需外接任何视频会议终端，仅用整机即可召开视频会议，实现远端互联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21.内置欢迎界面，内置多种模板，并支持手机编辑欢迎界面</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22.内置应用商城，提供多种应用软件供客户选择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防病毒软件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不良信息过滤系统软件：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产品过滤技术：产品具备网址过滤、图像过滤、网址库升级、网页内容信息过滤、网页内容信息过滤扩展、预定义网址库自动添加、传输文件过滤、邮件编码过滤、邮件内容信息过滤、服务命令过滤、在线游戏过滤、定时抓屏等功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（2）设备使用管理：产品具备对设备使用时间进行管理的功能，管理员可以根据需要设定使用设备的时间表，在设定的允许使用设备的时间区间使用设备；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（3）日志全程记录：产品提供日志管理功能，详细记录操作者每次浏览的网上内容和上网时间，以及拦截黄色图像的次数和时间，可随时记录用户上网浏览内容和时间；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（4）实时屏幕监控：实时屏幕拍照，详细上网记录一览无遗，便于事后监督；安全密钥掌控完全隐形过滤，方便热键激活，有效防止非授权卸载；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（5）产品资源：产品自身包含黑、白名单及关键字资源，不低于10万条策略，并支持自定义过滤策略；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（6）自定义资源：产品支持用户手动设置黑白名单及关键字，用户自定义的资源过滤时优先级最高；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（7）资源/软件自动升级：软件自身模块及识别模块、黑/白名单IP地址库、关键字库、图像检测算法库能够在线自动/手动升级。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（8）不良信息过滤系统系统的技术完全符合国家工业和信息化部制定的基于PC终端的互联网内容过滤软件技术要求YDN138-2006。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辅材</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超六类水晶头，HDMI高清连接线，PE电源线，空调管路，出风口等</w:t>
            </w:r>
          </w:p>
        </w:tc>
      </w:tr>
    </w:tbl>
    <w:p>
      <w:pPr>
        <w:adjustRightInd w:val="0"/>
        <w:spacing w:line="460" w:lineRule="exact"/>
        <w:rPr>
          <w:rFonts w:hint="eastAsia" w:ascii="宋体" w:hAnsi="宋体" w:cs="宋体"/>
          <w:b/>
          <w:bCs/>
          <w:sz w:val="24"/>
          <w:szCs w:val="24"/>
        </w:rPr>
      </w:pPr>
      <w:r>
        <w:rPr>
          <w:rFonts w:hint="eastAsia" w:ascii="宋体" w:hAnsi="宋体" w:cs="宋体"/>
          <w:b/>
          <w:bCs/>
          <w:sz w:val="24"/>
          <w:szCs w:val="24"/>
        </w:rPr>
        <w:t>注：</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1.本项目采购的产品属于政府强制采购节能产品的，响应文件中须提供所投产品由国家确定的认证机构出具的、处于有效期之内的节能产品认证证书复印件，否则视为无效响应。（说明：国家确定的认证机构名单见《市场监管总局关于发布参与实施政府采购节能产品、环境标志产品认证机构名录的公告》2019年第16号）</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2.供应商完成本项目所需的一切费用均须包含在报价中，采购人不再另行支付。</w:t>
      </w:r>
    </w:p>
    <w:p>
      <w:pPr>
        <w:adjustRightInd w:val="0"/>
        <w:spacing w:line="460" w:lineRule="exact"/>
        <w:rPr>
          <w:rFonts w:ascii="宋体" w:hAnsi="宋体" w:cs="宋体"/>
          <w:b/>
          <w:bCs/>
          <w:sz w:val="24"/>
          <w:szCs w:val="24"/>
        </w:rPr>
      </w:pPr>
      <w:r>
        <w:rPr>
          <w:rFonts w:hint="eastAsia" w:ascii="宋体" w:hAnsi="宋体" w:cs="宋体"/>
          <w:b/>
          <w:bCs/>
          <w:sz w:val="24"/>
          <w:szCs w:val="24"/>
        </w:rPr>
        <w:t>3.以上所有技术要求，供应商必须完全满足或优于，否则视为无效响应。</w:t>
      </w: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3"/>
        <w:rPr>
          <w:rFonts w:hint="eastAsia"/>
          <w:lang w:eastAsia="zh-CN"/>
        </w:rPr>
        <w:sectPr>
          <w:headerReference r:id="rId13" w:type="default"/>
          <w:footerReference r:id="rId14" w:type="default"/>
          <w:pgSz w:w="11906" w:h="16838"/>
          <w:pgMar w:top="1440" w:right="1797" w:bottom="1440" w:left="1797" w:header="851" w:footer="992" w:gutter="0"/>
          <w:cols w:space="425" w:num="1"/>
          <w:docGrid w:type="linesAndChars" w:linePitch="312" w:charSpace="0"/>
        </w:sectPr>
      </w:pPr>
    </w:p>
    <w:p>
      <w:pPr>
        <w:rPr>
          <w:rFonts w:hint="eastAsia"/>
          <w:lang w:val="en-US" w:eastAsia="zh-CN"/>
        </w:rPr>
      </w:pPr>
      <w:r>
        <w:rPr>
          <w:rFonts w:hint="eastAsia"/>
          <w:lang w:val="en-US" w:eastAsia="zh-CN"/>
        </w:rPr>
        <w:t>参数附件一</w:t>
      </w:r>
    </w:p>
    <w:p>
      <w:pPr>
        <w:pStyle w:val="3"/>
        <w:rPr>
          <w:rFonts w:hint="eastAsia"/>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2"/>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1073" w:type="dxa"/>
            <w:vAlign w:val="center"/>
          </w:tcPr>
          <w:p>
            <w:pPr>
              <w:pStyle w:val="69"/>
              <w:widowControl w:val="0"/>
              <w:spacing w:line="240" w:lineRule="auto"/>
              <w:ind w:left="0" w:leftChars="0" w:right="0" w:firstLine="0"/>
              <w:jc w:val="both"/>
              <w:rPr>
                <w:rFonts w:ascii="黑体" w:hAnsi="黑体" w:eastAsia="黑体" w:cs="黑体"/>
                <w:snapToGrid w:val="0"/>
                <w:color w:val="000000"/>
                <w:kern w:val="0"/>
                <w:sz w:val="18"/>
                <w:szCs w:val="18"/>
                <w:lang w:val="en-US" w:eastAsia="en-US" w:bidi="ar-SA"/>
              </w:rPr>
            </w:pPr>
            <w:r>
              <w:rPr>
                <w:spacing w:val="-2"/>
              </w:rPr>
              <w:t>*CPU</w:t>
            </w:r>
            <w:r>
              <w:rPr>
                <w:spacing w:val="-37"/>
              </w:rPr>
              <w:t xml:space="preserve"> </w:t>
            </w:r>
            <w:r>
              <w:rPr>
                <w:spacing w:val="-2"/>
              </w:rPr>
              <w:t>信息</w:t>
            </w:r>
          </w:p>
        </w:tc>
        <w:tc>
          <w:tcPr>
            <w:tcW w:w="932" w:type="dxa"/>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rFonts w:hint="eastAsia" w:cs="黑体"/>
                <w:snapToGrid w:val="0"/>
                <w:color w:val="000000"/>
                <w:kern w:val="0"/>
                <w:sz w:val="18"/>
                <w:szCs w:val="18"/>
                <w:lang w:val="en-US" w:eastAsia="zh-CN" w:bidi="ar-SA"/>
              </w:rPr>
              <w:t>12700处理器</w:t>
            </w:r>
            <w:r>
              <w:rPr>
                <w:rFonts w:hint="eastAsia" w:ascii="黑体" w:hAnsi="黑体" w:eastAsia="黑体" w:cs="黑体"/>
                <w:snapToGrid w:val="0"/>
                <w:color w:val="000000"/>
                <w:kern w:val="0"/>
                <w:sz w:val="18"/>
                <w:szCs w:val="18"/>
                <w:lang w:val="en-US" w:eastAsia="zh-CN" w:bidi="ar-SA"/>
              </w:rPr>
              <w:t>，</w:t>
            </w:r>
            <w:r>
              <w:rPr>
                <w:rFonts w:hint="eastAsia" w:ascii="黑体" w:hAnsi="黑体" w:eastAsia="黑体" w:cs="黑体"/>
                <w:snapToGrid w:val="0"/>
                <w:color w:val="000000"/>
                <w:kern w:val="0"/>
                <w:sz w:val="18"/>
                <w:szCs w:val="18"/>
                <w:lang w:val="en-US" w:eastAsia="en-US" w:bidi="ar-SA"/>
              </w:rPr>
              <w:t>≥</w:t>
            </w:r>
            <w:r>
              <w:rPr>
                <w:rFonts w:hint="eastAsia" w:cs="黑体"/>
                <w:snapToGrid w:val="0"/>
                <w:color w:val="000000"/>
                <w:kern w:val="0"/>
                <w:sz w:val="18"/>
                <w:szCs w:val="18"/>
                <w:lang w:val="en-US" w:eastAsia="zh-CN" w:bidi="ar-SA"/>
              </w:rPr>
              <w:t>12</w:t>
            </w:r>
            <w:r>
              <w:rPr>
                <w:rFonts w:hint="eastAsia" w:ascii="黑体" w:hAnsi="黑体" w:eastAsia="黑体" w:cs="黑体"/>
                <w:snapToGrid w:val="0"/>
                <w:color w:val="000000"/>
                <w:kern w:val="0"/>
                <w:sz w:val="18"/>
                <w:szCs w:val="18"/>
                <w:lang w:val="en-US" w:eastAsia="en-US" w:bidi="ar-SA"/>
              </w:rPr>
              <w:t>核处理器、主频≥2.</w:t>
            </w:r>
            <w:r>
              <w:rPr>
                <w:rFonts w:hint="eastAsia" w:cs="黑体"/>
                <w:snapToGrid w:val="0"/>
                <w:color w:val="000000"/>
                <w:kern w:val="0"/>
                <w:sz w:val="18"/>
                <w:szCs w:val="18"/>
                <w:lang w:val="en-US" w:eastAsia="zh-CN" w:bidi="ar-SA"/>
              </w:rPr>
              <w:t>1</w:t>
            </w:r>
            <w:r>
              <w:rPr>
                <w:rFonts w:hint="eastAsia" w:ascii="黑体" w:hAnsi="黑体" w:eastAsia="黑体" w:cs="黑体"/>
                <w:snapToGrid w:val="0"/>
                <w:color w:val="000000"/>
                <w:kern w:val="0"/>
                <w:sz w:val="18"/>
                <w:szCs w:val="18"/>
                <w:lang w:val="en-US" w:eastAsia="en-US" w:bidi="ar-SA"/>
              </w:rPr>
              <w:t>GHz 、</w:t>
            </w:r>
            <w:r>
              <w:rPr>
                <w:rFonts w:hint="eastAsia" w:cs="黑体"/>
                <w:snapToGrid w:val="0"/>
                <w:color w:val="000000"/>
                <w:kern w:val="0"/>
                <w:sz w:val="18"/>
                <w:szCs w:val="18"/>
                <w:lang w:val="en-US" w:eastAsia="zh-CN" w:bidi="ar-SA"/>
              </w:rPr>
              <w:t>三</w:t>
            </w:r>
            <w:r>
              <w:rPr>
                <w:rFonts w:hint="eastAsia" w:ascii="黑体" w:hAnsi="黑体" w:eastAsia="黑体" w:cs="黑体"/>
                <w:snapToGrid w:val="0"/>
                <w:color w:val="000000"/>
                <w:kern w:val="0"/>
                <w:sz w:val="18"/>
                <w:szCs w:val="18"/>
                <w:lang w:val="en-US" w:eastAsia="en-US" w:bidi="ar-SA"/>
              </w:rPr>
              <w:t>级缓存≥</w:t>
            </w:r>
            <w:r>
              <w:rPr>
                <w:rFonts w:hint="eastAsia" w:cs="黑体"/>
                <w:snapToGrid w:val="0"/>
                <w:color w:val="000000"/>
                <w:kern w:val="0"/>
                <w:sz w:val="18"/>
                <w:szCs w:val="18"/>
                <w:lang w:val="en-US" w:eastAsia="zh-CN" w:bidi="ar-SA"/>
              </w:rPr>
              <w:t>25</w:t>
            </w:r>
            <w:r>
              <w:rPr>
                <w:rFonts w:hint="eastAsia" w:ascii="黑体" w:hAnsi="黑体" w:eastAsia="黑体" w:cs="黑体"/>
                <w:snapToGrid w:val="0"/>
                <w:color w:val="000000"/>
                <w:kern w:val="0"/>
                <w:sz w:val="18"/>
                <w:szCs w:val="18"/>
                <w:lang w:val="en-US" w:eastAsia="en-US" w:bidi="ar-SA"/>
              </w:rPr>
              <w:t>MB、≥</w:t>
            </w:r>
            <w:r>
              <w:rPr>
                <w:rFonts w:hint="eastAsia" w:cs="黑体"/>
                <w:snapToGrid w:val="0"/>
                <w:color w:val="000000"/>
                <w:kern w:val="0"/>
                <w:sz w:val="18"/>
                <w:szCs w:val="18"/>
                <w:lang w:val="en-US" w:eastAsia="zh-CN" w:bidi="ar-SA"/>
              </w:rPr>
              <w:t>20</w:t>
            </w:r>
            <w:r>
              <w:rPr>
                <w:rFonts w:hint="eastAsia" w:ascii="黑体" w:hAnsi="黑体" w:eastAsia="黑体" w:cs="黑体"/>
                <w:snapToGrid w:val="0"/>
                <w:color w:val="000000"/>
                <w:kern w:val="0"/>
                <w:sz w:val="18"/>
                <w:szCs w:val="18"/>
                <w:lang w:val="en-US" w:eastAsia="en-US" w:bidi="ar-SA"/>
              </w:rPr>
              <w:t>线程、70W TDP、最大支持内存速率DDR4-2666MHz、最大支持双内存通道数、CPU的位宽64bit；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restart"/>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lang w:val="en-US" w:eastAsia="en-US" w:bidi="ar-SA"/>
              </w:rPr>
            </w:pPr>
            <w:r>
              <w:rPr>
                <w:spacing w:val="-2"/>
              </w:rPr>
              <w:t>*内存</w:t>
            </w:r>
            <w:r>
              <w:rPr>
                <w:spacing w:val="-3"/>
              </w:rPr>
              <w:t>规格</w:t>
            </w:r>
          </w:p>
        </w:tc>
        <w:tc>
          <w:tcPr>
            <w:tcW w:w="1073" w:type="dxa"/>
            <w:vAlign w:val="center"/>
          </w:tcPr>
          <w:p>
            <w:pPr>
              <w:pStyle w:val="69"/>
              <w:widowControl w:val="0"/>
              <w:spacing w:line="240" w:lineRule="auto"/>
              <w:ind w:left="0" w:right="0" w:firstLine="0"/>
              <w:jc w:val="center"/>
            </w:pPr>
            <w:r>
              <w:rPr>
                <w:spacing w:val="-1"/>
                <w:position w:val="4"/>
              </w:rPr>
              <w:t>*内存配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置容量</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是</w:t>
            </w:r>
          </w:p>
        </w:tc>
        <w:tc>
          <w:tcPr>
            <w:tcW w:w="4186"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7"/>
              </w:rPr>
              <w:t>≥</w:t>
            </w:r>
            <w:r>
              <w:rPr>
                <w:rFonts w:hint="eastAsia"/>
                <w:spacing w:val="-7"/>
                <w:lang w:val="en-US" w:eastAsia="zh-CN"/>
              </w:rPr>
              <w:t>32</w:t>
            </w:r>
            <w:r>
              <w:rPr>
                <w:spacing w:val="-7"/>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position w:val="4"/>
              </w:rPr>
              <w:t>*内存类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型</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spacing w:val="-1"/>
              </w:rPr>
              <w:t>支持</w:t>
            </w:r>
            <w:r>
              <w:rPr>
                <w:spacing w:val="-37"/>
              </w:rPr>
              <w:t xml:space="preserve"> </w:t>
            </w:r>
            <w:r>
              <w:rPr>
                <w:spacing w:val="-1"/>
              </w:rPr>
              <w:t>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w:t>
            </w:r>
          </w:p>
        </w:tc>
        <w:tc>
          <w:tcPr>
            <w:tcW w:w="733"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rPr>
              <w:t>*内存条</w:t>
            </w:r>
            <w:r>
              <w:t xml:space="preserve">  </w:t>
            </w:r>
            <w:r>
              <w:rPr>
                <w:spacing w:val="-2"/>
              </w:rPr>
              <w:t>配置数量</w:t>
            </w:r>
            <w:r>
              <w:t xml:space="preserve"> </w:t>
            </w:r>
            <w:r>
              <w:rPr>
                <w:spacing w:val="-2"/>
              </w:rPr>
              <w:t>（板载内</w:t>
            </w:r>
            <w:r>
              <w:t xml:space="preserve"> </w:t>
            </w:r>
            <w:r>
              <w:rPr>
                <w:spacing w:val="-3"/>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及）</w:t>
            </w:r>
          </w:p>
        </w:tc>
        <w:tc>
          <w:tcPr>
            <w:tcW w:w="932"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1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*主板集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成模块</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集成资源扩展模块、计算处理模块、音频扩展模块等，主板的互联拓扑可通过处理器或交换电路实现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6</w:t>
            </w:r>
          </w:p>
        </w:tc>
        <w:tc>
          <w:tcPr>
            <w:tcW w:w="733" w:type="dxa"/>
            <w:shd w:val="clear" w:color="auto" w:fill="auto"/>
            <w:vAlign w:val="top"/>
          </w:tcPr>
          <w:p>
            <w:pPr>
              <w:pStyle w:val="69"/>
              <w:widowControl w:val="0"/>
              <w:spacing w:before="279"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38" w:line="235" w:lineRule="auto"/>
              <w:ind w:left="107" w:leftChars="0" w:right="167" w:rightChars="0" w:hanging="2" w:firstLineChars="0"/>
              <w:jc w:val="both"/>
              <w:rPr>
                <w:rFonts w:ascii="黑体" w:hAnsi="黑体" w:eastAsia="黑体" w:cs="黑体"/>
                <w:snapToGrid w:val="0"/>
                <w:color w:val="000000"/>
                <w:kern w:val="0"/>
                <w:sz w:val="18"/>
                <w:szCs w:val="18"/>
                <w:lang w:val="en-US" w:eastAsia="en-US" w:bidi="ar-SA"/>
              </w:rPr>
            </w:pPr>
            <w:r>
              <w:rPr>
                <w:spacing w:val="-1"/>
              </w:rPr>
              <w:t>*主板支</w:t>
            </w:r>
            <w:r>
              <w:rPr>
                <w:spacing w:val="-3"/>
              </w:rPr>
              <w:t>持的</w:t>
            </w:r>
            <w:r>
              <w:rPr>
                <w:spacing w:val="-37"/>
              </w:rPr>
              <w:t xml:space="preserve"> </w:t>
            </w:r>
            <w:r>
              <w:rPr>
                <w:spacing w:val="-3"/>
              </w:rPr>
              <w:t>CPU</w:t>
            </w:r>
            <w:r>
              <w:rPr>
                <w:spacing w:val="-2"/>
              </w:rPr>
              <w:t>和内存情</w:t>
            </w:r>
            <w:r>
              <w:t xml:space="preserve"> 况</w:t>
            </w:r>
          </w:p>
        </w:tc>
        <w:tc>
          <w:tcPr>
            <w:tcW w:w="932" w:type="dxa"/>
            <w:shd w:val="clear" w:color="auto" w:fill="auto"/>
            <w:vAlign w:val="center"/>
          </w:tcPr>
          <w:p>
            <w:pPr>
              <w:pStyle w:val="69"/>
              <w:widowControl w:val="0"/>
              <w:spacing w:before="59"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top"/>
          </w:tcPr>
          <w:p>
            <w:pPr>
              <w:pStyle w:val="69"/>
              <w:widowControl w:val="0"/>
              <w:spacing w:before="279" w:line="234" w:lineRule="auto"/>
              <w:ind w:left="115" w:leftChars="0" w:right="189" w:rightChars="0" w:hanging="4" w:firstLineChars="0"/>
              <w:rPr>
                <w:rFonts w:hint="default" w:ascii="黑体" w:hAnsi="黑体" w:eastAsia="黑体" w:cs="黑体"/>
                <w:snapToGrid w:val="0"/>
                <w:color w:val="000000"/>
                <w:kern w:val="0"/>
                <w:sz w:val="18"/>
                <w:szCs w:val="18"/>
                <w:lang w:val="en-US" w:eastAsia="zh-CN" w:bidi="ar-SA"/>
              </w:rPr>
            </w:pPr>
            <w:r>
              <w:rPr>
                <w:rFonts w:hint="eastAsia" w:cs="黑体"/>
                <w:snapToGrid w:val="0"/>
                <w:color w:val="000000"/>
                <w:kern w:val="0"/>
                <w:sz w:val="18"/>
                <w:szCs w:val="18"/>
                <w:lang w:val="en-US" w:eastAsia="zh-CN" w:bidi="ar-SA"/>
              </w:rPr>
              <w:t>主板支持12700、内存型号为32G:FD4AU3200CQGHC(江波龙)*2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*主板其</w:t>
            </w:r>
            <w:r>
              <w:rPr>
                <w:highlight w:val="none"/>
              </w:rPr>
              <w:t xml:space="preserve">  </w:t>
            </w:r>
            <w:r>
              <w:rPr>
                <w:spacing w:val="-3"/>
                <w:highlight w:val="none"/>
              </w:rPr>
              <w:t>他内置接</w:t>
            </w:r>
            <w:r>
              <w:rPr>
                <w:spacing w:val="2"/>
                <w:highlight w:val="none"/>
              </w:rPr>
              <w:t xml:space="preserve"> </w:t>
            </w:r>
            <w:r>
              <w:rPr>
                <w:highlight w:val="none"/>
              </w:rPr>
              <w:t>口</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 xml:space="preserve">主板内部接口数量如下： </w:t>
            </w:r>
          </w:p>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SATA×3 （支持SATA 3.0。其中一路用于拓展机械硬盘、一路用于拓展DVD光驱、一路空闲供用户自行决定）</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rPr>
              <w:t>M.2×2 （其中一路用于拓展固态硬盘（2280）、一路用于拓展wifi/蓝牙模块（2230））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*单内存</w:t>
            </w:r>
            <w:r>
              <w:rPr>
                <w:highlight w:val="none"/>
              </w:rPr>
              <w:t xml:space="preserve">  </w:t>
            </w:r>
            <w:r>
              <w:rPr>
                <w:spacing w:val="-2"/>
                <w:highlight w:val="none"/>
              </w:rPr>
              <w:t>插槽最大</w:t>
            </w:r>
            <w:r>
              <w:rPr>
                <w:highlight w:val="none"/>
              </w:rPr>
              <w:t xml:space="preserve"> </w:t>
            </w:r>
            <w:r>
              <w:rPr>
                <w:spacing w:val="-2"/>
                <w:highlight w:val="none"/>
              </w:rPr>
              <w:t>可支持容</w:t>
            </w:r>
            <w:r>
              <w:rPr>
                <w:highlight w:val="none"/>
              </w:rPr>
              <w:t xml:space="preserve"> </w:t>
            </w:r>
            <w:r>
              <w:rPr>
                <w:spacing w:val="-2"/>
                <w:highlight w:val="none"/>
              </w:rPr>
              <w:t>量（板载</w:t>
            </w:r>
            <w:r>
              <w:rPr>
                <w:highlight w:val="none"/>
              </w:rPr>
              <w:t xml:space="preserve"> </w:t>
            </w:r>
            <w:r>
              <w:rPr>
                <w:spacing w:val="-2"/>
                <w:highlight w:val="none"/>
              </w:rPr>
              <w:t>内存不涉</w:t>
            </w:r>
            <w:r>
              <w:rPr>
                <w:highlight w:val="none"/>
              </w:rPr>
              <w:t xml:space="preserve"> </w:t>
            </w:r>
            <w:r>
              <w:rPr>
                <w:spacing w:val="-4"/>
                <w:highlight w:val="none"/>
              </w:rPr>
              <w:t>及）</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7"/>
                <w:highlight w:val="none"/>
              </w:rPr>
              <w:t>单内存插槽最大可支持32GB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*内存插</w:t>
            </w:r>
            <w:r>
              <w:rPr>
                <w:highlight w:val="none"/>
              </w:rPr>
              <w:t xml:space="preserve">  </w:t>
            </w:r>
            <w:r>
              <w:rPr>
                <w:spacing w:val="-2"/>
                <w:highlight w:val="none"/>
              </w:rPr>
              <w:t>槽满配时</w:t>
            </w:r>
            <w:r>
              <w:rPr>
                <w:spacing w:val="1"/>
                <w:highlight w:val="none"/>
              </w:rPr>
              <w:t xml:space="preserve"> </w:t>
            </w:r>
            <w:r>
              <w:rPr>
                <w:spacing w:val="-2"/>
                <w:highlight w:val="none"/>
              </w:rPr>
              <w:t>提供的最</w:t>
            </w:r>
            <w:r>
              <w:rPr>
                <w:spacing w:val="1"/>
                <w:highlight w:val="none"/>
              </w:rPr>
              <w:t xml:space="preserve"> </w:t>
            </w:r>
            <w:r>
              <w:rPr>
                <w:spacing w:val="-2"/>
                <w:highlight w:val="none"/>
              </w:rPr>
              <w:t>高内存总</w:t>
            </w:r>
            <w:r>
              <w:rPr>
                <w:spacing w:val="1"/>
                <w:highlight w:val="none"/>
              </w:rPr>
              <w:t xml:space="preserve"> </w:t>
            </w:r>
            <w:r>
              <w:rPr>
                <w:spacing w:val="-3"/>
                <w:highlight w:val="none"/>
              </w:rPr>
              <w:t>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eastAsia"/>
                <w:spacing w:val="-6"/>
                <w:highlight w:val="none"/>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≥2</w:t>
            </w:r>
            <w:r>
              <w:rPr>
                <w:rFonts w:hint="eastAsia"/>
                <w:spacing w:val="-5"/>
                <w:highlight w:val="none"/>
                <w:lang w:val="en-US" w:eastAsia="zh-CN"/>
              </w:rPr>
              <w:t>56</w:t>
            </w:r>
            <w:r>
              <w:rPr>
                <w:spacing w:val="-5"/>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*机械硬</w:t>
            </w:r>
            <w:r>
              <w:rPr>
                <w:highlight w:val="none"/>
              </w:rPr>
              <w:t xml:space="preserve">  </w:t>
            </w:r>
            <w:r>
              <w:rPr>
                <w:spacing w:val="-2"/>
                <w:highlight w:val="none"/>
              </w:rPr>
              <w:t>盘总容量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5"/>
                <w:highlight w:val="none"/>
              </w:rPr>
              <w:t>≥</w:t>
            </w:r>
            <w:r>
              <w:rPr>
                <w:rFonts w:hint="eastAsia"/>
                <w:spacing w:val="-5"/>
                <w:highlight w:val="none"/>
                <w:lang w:val="en-US" w:eastAsia="zh-CN"/>
              </w:rPr>
              <w:t>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盘转速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72</w:t>
            </w:r>
            <w:r>
              <w:rPr>
                <w:spacing w:val="-4"/>
                <w:highlight w:val="none"/>
              </w:rPr>
              <w:t>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3.5</w:t>
            </w:r>
            <w:r>
              <w:rPr>
                <w:spacing w:val="-32"/>
                <w:highlight w:val="none"/>
              </w:rPr>
              <w:t xml:space="preserve"> </w:t>
            </w:r>
            <w:r>
              <w:rPr>
                <w:spacing w:val="-4"/>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M.2标准</w:t>
            </w:r>
            <w:r>
              <w:rPr>
                <w:spacing w:val="-2"/>
                <w:highlight w:val="none"/>
              </w:rPr>
              <w:t>插卡形态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*存储设</w:t>
            </w:r>
            <w:r>
              <w:rPr>
                <w:highlight w:val="none"/>
              </w:rPr>
              <w:t xml:space="preserve">  </w:t>
            </w:r>
            <w:r>
              <w:rPr>
                <w:spacing w:val="-2"/>
                <w:highlight w:val="none"/>
              </w:rPr>
              <w:t>备其他参</w:t>
            </w:r>
            <w:r>
              <w:rPr>
                <w:highlight w:val="none"/>
              </w:rPr>
              <w:t xml:space="preserve"> </w:t>
            </w:r>
            <w:r>
              <w:rPr>
                <w:spacing w:val="-3"/>
                <w:highlight w:val="none"/>
              </w:rPr>
              <w:t>数要求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2"/>
                <w:highlight w:val="none"/>
              </w:rPr>
              <w:t>a)固态盘符合</w:t>
            </w:r>
            <w:r>
              <w:rPr>
                <w:spacing w:val="-24"/>
                <w:highlight w:val="none"/>
              </w:rPr>
              <w:t xml:space="preserve"> </w:t>
            </w:r>
            <w:r>
              <w:rPr>
                <w:spacing w:val="-2"/>
                <w:highlight w:val="none"/>
              </w:rPr>
              <w:t>SJ/T11654</w:t>
            </w:r>
            <w:r>
              <w:rPr>
                <w:spacing w:val="-34"/>
                <w:highlight w:val="none"/>
              </w:rPr>
              <w:t xml:space="preserve"> </w:t>
            </w:r>
            <w:r>
              <w:rPr>
                <w:spacing w:val="-2"/>
                <w:highlight w:val="none"/>
              </w:rPr>
              <w:t>相关规</w:t>
            </w:r>
            <w:r>
              <w:rPr>
                <w:spacing w:val="-3"/>
                <w:highlight w:val="none"/>
              </w:rPr>
              <w:t>定；</w:t>
            </w:r>
          </w:p>
          <w:p>
            <w:pPr>
              <w:pStyle w:val="69"/>
              <w:widowControl w:val="0"/>
              <w:spacing w:line="240" w:lineRule="auto"/>
              <w:ind w:left="0" w:right="0" w:firstLine="0"/>
              <w:jc w:val="center"/>
              <w:rPr>
                <w:spacing w:val="-3"/>
                <w:highlight w:val="none"/>
              </w:rPr>
            </w:pPr>
            <w:r>
              <w:rPr>
                <w:spacing w:val="-4"/>
                <w:highlight w:val="none"/>
              </w:rPr>
              <w:t>b)机械硬盘准备时间不大于</w:t>
            </w:r>
            <w:r>
              <w:rPr>
                <w:spacing w:val="-30"/>
                <w:highlight w:val="none"/>
              </w:rPr>
              <w:t xml:space="preserve"> </w:t>
            </w:r>
            <w:r>
              <w:rPr>
                <w:spacing w:val="-4"/>
                <w:highlight w:val="none"/>
              </w:rPr>
              <w:t>30s；侧</w:t>
            </w:r>
            <w:r>
              <w:rPr>
                <w:spacing w:val="-3"/>
                <w:highlight w:val="none"/>
              </w:rPr>
              <w:t>面固定螺丝孔数量可为</w:t>
            </w:r>
            <w:r>
              <w:rPr>
                <w:spacing w:val="-33"/>
                <w:highlight w:val="none"/>
              </w:rPr>
              <w:t xml:space="preserve"> </w:t>
            </w:r>
            <w:r>
              <w:rPr>
                <w:spacing w:val="-3"/>
                <w:highlight w:val="none"/>
              </w:rPr>
              <w:t>4</w:t>
            </w:r>
            <w:r>
              <w:rPr>
                <w:spacing w:val="-37"/>
                <w:highlight w:val="none"/>
              </w:rPr>
              <w:t xml:space="preserve"> </w:t>
            </w:r>
            <w:r>
              <w:rPr>
                <w:spacing w:val="-3"/>
                <w:highlight w:val="none"/>
              </w:rPr>
              <w:t>孔或</w:t>
            </w:r>
            <w:r>
              <w:rPr>
                <w:spacing w:val="-38"/>
                <w:highlight w:val="none"/>
              </w:rPr>
              <w:t xml:space="preserve"> </w:t>
            </w:r>
            <w:r>
              <w:rPr>
                <w:spacing w:val="-3"/>
                <w:highlight w:val="none"/>
              </w:rPr>
              <w:t>6</w:t>
            </w:r>
            <w:r>
              <w:rPr>
                <w:spacing w:val="-37"/>
                <w:highlight w:val="none"/>
              </w:rPr>
              <w:t xml:space="preserve"> </w:t>
            </w:r>
            <w:r>
              <w:rPr>
                <w:spacing w:val="-3"/>
                <w:highlight w:val="none"/>
              </w:rPr>
              <w:t>孔；</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4"/>
                <w:highlight w:val="none"/>
                <w:lang w:val="en-US" w:eastAsia="zh-CN"/>
              </w:rPr>
              <w:t>c</w:t>
            </w:r>
            <w:r>
              <w:rPr>
                <w:spacing w:val="-4"/>
                <w:highlight w:val="none"/>
              </w:rPr>
              <w:t>)</w:t>
            </w:r>
            <w:r>
              <w:rPr>
                <w:spacing w:val="-5"/>
                <w:highlight w:val="none"/>
              </w:rPr>
              <w:t>工作状态环境温度满足</w:t>
            </w:r>
            <w:r>
              <w:rPr>
                <w:spacing w:val="-29"/>
                <w:highlight w:val="none"/>
              </w:rPr>
              <w:t xml:space="preserve"> </w:t>
            </w:r>
            <w:r>
              <w:rPr>
                <w:spacing w:val="-5"/>
                <w:highlight w:val="none"/>
              </w:rPr>
              <w:t>5℃~55℃</w:t>
            </w:r>
            <w:r>
              <w:rPr>
                <w:spacing w:val="-58"/>
                <w:highlight w:val="none"/>
              </w:rPr>
              <w:t xml:space="preserve"> </w:t>
            </w:r>
            <w:r>
              <w:rPr>
                <w:spacing w:val="-5"/>
                <w:highlight w:val="none"/>
              </w:rPr>
              <w:t>;</w:t>
            </w:r>
            <w:r>
              <w:rPr>
                <w:spacing w:val="-2"/>
                <w:highlight w:val="none"/>
              </w:rPr>
              <w:t>其它参数应符合</w:t>
            </w:r>
            <w:r>
              <w:rPr>
                <w:spacing w:val="-25"/>
                <w:highlight w:val="none"/>
              </w:rPr>
              <w:t xml:space="preserve"> </w:t>
            </w:r>
            <w:r>
              <w:rPr>
                <w:spacing w:val="-2"/>
                <w:highlight w:val="none"/>
              </w:rPr>
              <w:t>GB/T12628</w:t>
            </w:r>
            <w:r>
              <w:rPr>
                <w:spacing w:val="-40"/>
                <w:highlight w:val="none"/>
              </w:rPr>
              <w:t xml:space="preserve"> </w:t>
            </w:r>
            <w:r>
              <w:rPr>
                <w:spacing w:val="-2"/>
                <w:highlight w:val="none"/>
              </w:rPr>
              <w:t>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*显卡类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19</w:t>
            </w:r>
          </w:p>
        </w:tc>
        <w:tc>
          <w:tcPr>
            <w:tcW w:w="733" w:type="dxa"/>
            <w:shd w:val="clear" w:color="auto" w:fill="auto"/>
            <w:vAlign w:val="top"/>
          </w:tcPr>
          <w:p>
            <w:pPr>
              <w:pStyle w:val="69"/>
              <w:widowControl w:val="0"/>
              <w:spacing w:before="281"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160"/>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卡显存类</w:t>
            </w:r>
            <w:r>
              <w:rPr>
                <w:spacing w:val="2"/>
              </w:rPr>
              <w:t xml:space="preserve"> </w:t>
            </w:r>
            <w:r>
              <w:t>型</w:t>
            </w:r>
          </w:p>
        </w:tc>
        <w:tc>
          <w:tcPr>
            <w:tcW w:w="932" w:type="dxa"/>
            <w:shd w:val="clear" w:color="auto" w:fill="auto"/>
            <w:vAlign w:val="center"/>
          </w:tcPr>
          <w:p>
            <w:pPr>
              <w:pStyle w:val="69"/>
              <w:widowControl w:val="0"/>
              <w:spacing w:before="58"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center"/>
          </w:tcPr>
          <w:p>
            <w:pPr>
              <w:pStyle w:val="69"/>
              <w:widowControl w:val="0"/>
              <w:spacing w:before="282" w:line="241" w:lineRule="auto"/>
              <w:ind w:right="549" w:rightChars="0" w:firstLine="1246" w:firstLineChars="700"/>
              <w:jc w:val="both"/>
              <w:rPr>
                <w:rFonts w:hint="eastAsia" w:ascii="黑体" w:hAnsi="黑体" w:eastAsia="黑体" w:cs="黑体"/>
                <w:snapToGrid w:val="0"/>
                <w:color w:val="000000"/>
                <w:kern w:val="0"/>
                <w:sz w:val="18"/>
                <w:szCs w:val="18"/>
                <w:lang w:val="en-US" w:eastAsia="zh-CN"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20</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卡显存位</w:t>
            </w:r>
            <w:r>
              <w:rPr>
                <w:spacing w:val="2"/>
              </w:rPr>
              <w:t xml:space="preserve"> </w:t>
            </w:r>
            <w:r>
              <w:t>宽</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21</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卡显存容</w:t>
            </w:r>
            <w:r>
              <w:rPr>
                <w:spacing w:val="2"/>
              </w:rPr>
              <w:t xml:space="preserve"> </w:t>
            </w:r>
            <w:r>
              <w:t>量</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tabs>
                <w:tab w:val="left" w:pos="298"/>
              </w:tabs>
              <w:spacing w:line="240" w:lineRule="auto"/>
              <w:ind w:left="0" w:right="0" w:firstLine="0"/>
              <w:jc w:val="left"/>
              <w:rPr>
                <w:rFonts w:hint="eastAsia" w:eastAsia="宋体"/>
                <w:highlight w:val="none"/>
                <w:vertAlign w:val="baseline"/>
                <w:lang w:val="en-US" w:eastAsia="zh-CN"/>
              </w:rPr>
            </w:pPr>
            <w:r>
              <w:rPr>
                <w:rFonts w:ascii="黑体" w:hAnsi="黑体" w:eastAsia="黑体" w:cs="黑体"/>
                <w:snapToGrid w:val="0"/>
                <w:color w:val="000000"/>
                <w:spacing w:val="-3"/>
                <w:kern w:val="0"/>
                <w:sz w:val="18"/>
                <w:szCs w:val="18"/>
                <w:highlight w:val="none"/>
                <w:lang w:val="en-US" w:eastAsia="en-US" w:bidi="ar-SA"/>
              </w:rPr>
              <w:t>*</w:t>
            </w:r>
            <w:r>
              <w:rPr>
                <w:rFonts w:hint="eastAsia" w:ascii="黑体" w:hAnsi="黑体" w:eastAsia="黑体" w:cs="黑体"/>
                <w:snapToGrid w:val="0"/>
                <w:color w:val="000000"/>
                <w:spacing w:val="-3"/>
                <w:kern w:val="0"/>
                <w:sz w:val="18"/>
                <w:szCs w:val="18"/>
                <w:highlight w:val="none"/>
                <w:lang w:val="en-US" w:eastAsia="zh-CN" w:bidi="ar-SA"/>
              </w:rPr>
              <w:t>外设规格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*鼠标数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*键盘数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键数目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104</w:t>
            </w:r>
            <w:r>
              <w:rPr>
                <w:spacing w:val="-38"/>
                <w:highlight w:val="none"/>
              </w:rPr>
              <w:t xml:space="preserve"> </w:t>
            </w:r>
            <w:r>
              <w:rPr>
                <w:spacing w:val="-3"/>
                <w:highlight w:val="none"/>
              </w:rPr>
              <w:t>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*键盘键</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2.3mm</w:t>
            </w:r>
            <w:r>
              <w:rPr>
                <w:spacing w:val="16"/>
                <w:highlight w:val="none"/>
              </w:rPr>
              <w:t xml:space="preserve"> </w:t>
            </w:r>
            <w:r>
              <w:rPr>
                <w:spacing w:val="-2"/>
                <w:highlight w:val="none"/>
              </w:rPr>
              <w:t>~ 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键压力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按键压力在</w:t>
            </w:r>
            <w:r>
              <w:rPr>
                <w:spacing w:val="-35"/>
                <w:highlight w:val="none"/>
              </w:rPr>
              <w:t xml:space="preserve"> </w:t>
            </w:r>
            <w:r>
              <w:rPr>
                <w:spacing w:val="-1"/>
                <w:highlight w:val="none"/>
              </w:rPr>
              <w:t>0.54 N±0.14N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*有线键</w:t>
            </w:r>
            <w:r>
              <w:rPr>
                <w:highlight w:val="none"/>
              </w:rPr>
              <w:t xml:space="preserve">  </w:t>
            </w:r>
            <w:r>
              <w:rPr>
                <w:spacing w:val="-2"/>
                <w:highlight w:val="none"/>
              </w:rPr>
              <w:t>盘连接线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*有线鼠</w:t>
            </w:r>
            <w:r>
              <w:rPr>
                <w:highlight w:val="none"/>
              </w:rPr>
              <w:t xml:space="preserve">  </w:t>
            </w:r>
            <w:r>
              <w:rPr>
                <w:spacing w:val="-1"/>
                <w:highlight w:val="none"/>
              </w:rPr>
              <w:t>标连接线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*鼠标</w:t>
            </w:r>
            <w:r>
              <w:rPr>
                <w:spacing w:val="-39"/>
                <w:highlight w:val="none"/>
              </w:rPr>
              <w:t xml:space="preserve"> </w:t>
            </w:r>
            <w:r>
              <w:rPr>
                <w:spacing w:val="-2"/>
                <w:highlight w:val="none"/>
              </w:rPr>
              <w:t>DPI</w:t>
            </w:r>
            <w:r>
              <w:rPr>
                <w:highlight w:val="none"/>
              </w:rPr>
              <w:t xml:space="preserve"> </w:t>
            </w: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800</w:t>
            </w:r>
            <w:r>
              <w:rPr>
                <w:rFonts w:hint="eastAsia"/>
                <w:spacing w:val="-4"/>
                <w:highlight w:val="none"/>
                <w:lang w:eastAsia="zh-CN"/>
              </w:rPr>
              <w:t>～</w:t>
            </w:r>
            <w:r>
              <w:rPr>
                <w:spacing w:val="-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他要求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GB/T26245</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3"/>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3"/>
                <w:highlight w:val="none"/>
              </w:rPr>
              <w:t>接口规格</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*USB</w:t>
            </w:r>
            <w:r>
              <w:rPr>
                <w:spacing w:val="-37"/>
                <w:highlight w:val="none"/>
              </w:rPr>
              <w:t xml:space="preserve"> </w:t>
            </w:r>
            <w:r>
              <w:rPr>
                <w:spacing w:val="-2"/>
                <w:highlight w:val="none"/>
              </w:rPr>
              <w:t>接口</w:t>
            </w:r>
            <w:r>
              <w:rPr>
                <w:highlight w:val="none"/>
              </w:rPr>
              <w:t xml:space="preserve"> </w:t>
            </w: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前面板共7个USB接口，其中：</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USB3.0 7个（其中一个为TypeC）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*整机</w:t>
            </w:r>
            <w:r>
              <w:rPr>
                <w:highlight w:val="none"/>
              </w:rPr>
              <w:t xml:space="preserve"> </w:t>
            </w:r>
            <w:r>
              <w:rPr>
                <w:spacing w:val="-3"/>
                <w:highlight w:val="none"/>
              </w:rPr>
              <w:t>基础</w:t>
            </w:r>
            <w:r>
              <w:rPr>
                <w:highlight w:val="none"/>
              </w:rPr>
              <w:t xml:space="preserve"> </w:t>
            </w:r>
            <w:r>
              <w:rPr>
                <w:spacing w:val="-3"/>
                <w:highlight w:val="none"/>
              </w:rPr>
              <w:t>规格</w:t>
            </w: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*整机外</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7"/>
                <w:highlight w:val="none"/>
              </w:rPr>
              <w:t>a) 产品表面</w:t>
            </w:r>
            <w:r>
              <w:rPr>
                <w:rFonts w:hint="eastAsia"/>
                <w:spacing w:val="-7"/>
                <w:highlight w:val="none"/>
                <w:lang w:val="en-US" w:eastAsia="zh-CN"/>
              </w:rPr>
              <w:t>没</w:t>
            </w:r>
            <w:r>
              <w:rPr>
                <w:spacing w:val="-7"/>
                <w:highlight w:val="none"/>
              </w:rPr>
              <w:t>有凹痕、划伤、裂缝、</w:t>
            </w:r>
            <w:r>
              <w:rPr>
                <w:highlight w:val="none"/>
              </w:rPr>
              <w:t xml:space="preserve"> </w:t>
            </w:r>
            <w:r>
              <w:rPr>
                <w:spacing w:val="-2"/>
                <w:highlight w:val="none"/>
              </w:rPr>
              <w:t>变形和污染等。表面涂层均匀，</w:t>
            </w:r>
            <w:r>
              <w:rPr>
                <w:rFonts w:hint="eastAsia"/>
                <w:spacing w:val="-2"/>
                <w:highlight w:val="none"/>
                <w:lang w:val="en-US" w:eastAsia="zh-CN"/>
              </w:rPr>
              <w:t>没有</w:t>
            </w:r>
            <w:r>
              <w:rPr>
                <w:spacing w:val="-2"/>
                <w:highlight w:val="none"/>
              </w:rPr>
              <w:t>起泡</w:t>
            </w:r>
            <w:r>
              <w:rPr>
                <w:rFonts w:hint="eastAsia"/>
                <w:spacing w:val="-2"/>
                <w:highlight w:val="none"/>
                <w:lang w:eastAsia="zh-CN"/>
              </w:rPr>
              <w:t>、</w:t>
            </w:r>
            <w:r>
              <w:rPr>
                <w:spacing w:val="-2"/>
                <w:highlight w:val="none"/>
              </w:rPr>
              <w:t>龟裂、脱落和磨损，金属零部</w:t>
            </w:r>
            <w:r>
              <w:rPr>
                <w:spacing w:val="-1"/>
                <w:highlight w:val="none"/>
              </w:rPr>
              <w:t>件无锈蚀及其它机械损伤；</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b) 产品表面说明功能的文字</w:t>
            </w:r>
            <w:r>
              <w:rPr>
                <w:rFonts w:hint="eastAsia"/>
                <w:spacing w:val="-3"/>
                <w:highlight w:val="none"/>
                <w:lang w:eastAsia="zh-CN"/>
              </w:rPr>
              <w:t>、</w:t>
            </w:r>
            <w:r>
              <w:rPr>
                <w:spacing w:val="-3"/>
                <w:highlight w:val="none"/>
              </w:rPr>
              <w:t>符号</w:t>
            </w:r>
            <w:r>
              <w:rPr>
                <w:rFonts w:hint="eastAsia"/>
                <w:spacing w:val="-3"/>
                <w:highlight w:val="none"/>
                <w:lang w:eastAsia="zh-CN"/>
              </w:rPr>
              <w:t>、</w:t>
            </w:r>
            <w:r>
              <w:rPr>
                <w:spacing w:val="-1"/>
                <w:highlight w:val="none"/>
              </w:rPr>
              <w:t>标志，清晰、端正、牢固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*状态指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示灯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有电源指示灯，位于电源按键上，可以指示开机运行状态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构</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a) 机箱应符合 GB/T 4208、GB/T 26246</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的相关规定；</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b) 产品内部结构应符合通用部件的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安装需求；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c) 所有输入输出接口应符合相关国</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家或行业标准；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d) 产品零部件应紧固无松动，可插拔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部件应可靠连接，开关、按钮和其它</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控制部件应灵活可靠，布局应方便使</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e) 所有 I/O 连接器及需插接线缆的部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位应预留采购人操作空间，方便插拔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解锁与插拔线缆；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f) 可插拔板卡插槽部位应预留安装、</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拆卸或更换板卡空间；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g) 拆装可能接触到的金属剪口或金</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属尖角部位应做防划伤处理，以保证</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h) 整机内部走线应规整，固线结构和</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位置要合理可靠并做防割线处理，需</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便于理线和插拔操作，走线应不影响</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系统各主要部件组装和拆卸；</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i) 如需通过孔走线，过线孔应做防割</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线处理；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j) 各插头位置和插拔方向应合理，应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做到插拔无障碍设计，具备防呆设计，</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有效避免误操作；</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k) 各主要部件拆装无障碍，使用常规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工具拆装，无特殊拆装工具需求；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l) 各主要部件拆装步骤要少，各自拆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装需避免相互干扰；</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m) 对于整机或零部件外表面为高亮</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面的，应粘贴保护膜，保护膜需粘贴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牢固，运输、组装等过程不易脱落，</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撕下无残留；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*机箱防</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护要求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5"/>
                <w:highlight w:val="none"/>
              </w:rPr>
              <w:t>机箱应符合</w:t>
            </w:r>
            <w:r>
              <w:rPr>
                <w:spacing w:val="-27"/>
                <w:highlight w:val="none"/>
              </w:rPr>
              <w:t xml:space="preserve"> </w:t>
            </w:r>
            <w:r>
              <w:rPr>
                <w:spacing w:val="-5"/>
                <w:highlight w:val="none"/>
              </w:rPr>
              <w:t>GB/T4208</w:t>
            </w:r>
            <w:r>
              <w:rPr>
                <w:spacing w:val="-22"/>
                <w:highlight w:val="none"/>
              </w:rPr>
              <w:t xml:space="preserve"> </w:t>
            </w:r>
            <w:r>
              <w:rPr>
                <w:spacing w:val="-5"/>
                <w:highlight w:val="none"/>
              </w:rPr>
              <w:t>中IP20</w:t>
            </w:r>
            <w:r>
              <w:rPr>
                <w:spacing w:val="-29"/>
                <w:highlight w:val="none"/>
              </w:rPr>
              <w:t xml:space="preserve"> </w:t>
            </w:r>
            <w:r>
              <w:rPr>
                <w:spacing w:val="-5"/>
                <w:highlight w:val="none"/>
              </w:rPr>
              <w:t>防护要</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*整机噪</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音</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产品工作在空闲状态下，产品的声功率级应不超过</w:t>
            </w:r>
            <w:r>
              <w:rPr>
                <w:spacing w:val="-43"/>
                <w:highlight w:val="none"/>
              </w:rPr>
              <w:t xml:space="preserve"> </w:t>
            </w:r>
            <w:r>
              <w:rPr>
                <w:spacing w:val="-1"/>
                <w:highlight w:val="none"/>
              </w:rPr>
              <w:t>4.5 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*整机散</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热</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在环境温度 25℃及处理器满载情况</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下，产品表面温度应符合如下要求：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a) 出风口在机箱后面板情况下，出风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口温度不高于 55℃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b) 可触及面温度不高于 45℃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c) 显示器表面温度：显示屏不高于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38℃ , 显示屏上下灯带位置温度（如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涉及）不高于 40℃ , 出风口温度不高</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于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*整机能</w:t>
            </w:r>
            <w:r>
              <w:rPr>
                <w:highlight w:val="none"/>
              </w:rPr>
              <w:t xml:space="preserve">  </w:t>
            </w:r>
            <w:r>
              <w:rPr>
                <w:spacing w:val="-2"/>
                <w:highlight w:val="none"/>
              </w:rPr>
              <w:t>效限定值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产品能效限定值应达到</w:t>
            </w:r>
            <w:r>
              <w:rPr>
                <w:spacing w:val="-40"/>
                <w:highlight w:val="none"/>
              </w:rPr>
              <w:t xml:space="preserve"> </w:t>
            </w:r>
            <w:r>
              <w:rPr>
                <w:spacing w:val="-1"/>
                <w:highlight w:val="none"/>
              </w:rPr>
              <w:t>GB</w:t>
            </w:r>
            <w:r>
              <w:rPr>
                <w:spacing w:val="-40"/>
                <w:highlight w:val="none"/>
              </w:rPr>
              <w:t xml:space="preserve"> </w:t>
            </w:r>
            <w:r>
              <w:rPr>
                <w:spacing w:val="-1"/>
                <w:highlight w:val="none"/>
              </w:rPr>
              <w:t>28380-2012</w:t>
            </w:r>
            <w:r>
              <w:rPr>
                <w:highlight w:val="none"/>
              </w:rPr>
              <w:t xml:space="preserve"> </w:t>
            </w:r>
            <w:r>
              <w:rPr>
                <w:spacing w:val="-2"/>
                <w:highlight w:val="none"/>
              </w:rPr>
              <w:t>标准中能效等级</w:t>
            </w:r>
            <w:r>
              <w:rPr>
                <w:spacing w:val="-34"/>
                <w:highlight w:val="none"/>
              </w:rPr>
              <w:t xml:space="preserve"> </w:t>
            </w:r>
            <w:r>
              <w:rPr>
                <w:spacing w:val="-2"/>
                <w:highlight w:val="none"/>
              </w:rPr>
              <w:t>2</w:t>
            </w:r>
            <w:r>
              <w:rPr>
                <w:spacing w:val="-37"/>
                <w:highlight w:val="none"/>
              </w:rPr>
              <w:t xml:space="preserve"> </w:t>
            </w:r>
            <w:r>
              <w:rPr>
                <w:spacing w:val="-2"/>
                <w:highlight w:val="none"/>
              </w:rPr>
              <w:t>级及以上</w:t>
            </w:r>
            <w:r>
              <w:rPr>
                <w:rFonts w:hint="eastAsia"/>
                <w:spacing w:val="-2"/>
                <w:highlight w:val="none"/>
                <w:lang w:eastAsia="zh-CN"/>
              </w:rPr>
              <w:t>（能效1级）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*机身材</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灰色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*机箱尺</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寸容量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机箱体积</w:t>
            </w:r>
            <w:r>
              <w:rPr>
                <w:rFonts w:hint="eastAsia"/>
                <w:spacing w:val="-2"/>
                <w:highlight w:val="none"/>
                <w:lang w:val="en-US" w:eastAsia="zh-CN"/>
              </w:rPr>
              <w:t>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性能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*CPU</w:t>
            </w:r>
            <w:r>
              <w:rPr>
                <w:spacing w:val="-37"/>
                <w:highlight w:val="none"/>
              </w:rPr>
              <w:t xml:space="preserve"> </w:t>
            </w:r>
            <w:r>
              <w:rPr>
                <w:spacing w:val="-2"/>
                <w:highlight w:val="none"/>
              </w:rPr>
              <w:t>物理</w:t>
            </w:r>
            <w:r>
              <w:rPr>
                <w:highlight w:val="none"/>
              </w:rPr>
              <w:t xml:space="preserve"> </w:t>
            </w:r>
            <w:r>
              <w:rPr>
                <w:spacing w:val="-3"/>
                <w:highlight w:val="none"/>
              </w:rPr>
              <w:t>核数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主频</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2.1</w:t>
            </w:r>
            <w:r>
              <w:rPr>
                <w:spacing w:val="-4"/>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11"/>
                <w:highlight w:val="none"/>
              </w:rPr>
              <w:t xml:space="preserve"> </w:t>
            </w:r>
            <w:r>
              <w:rPr>
                <w:spacing w:val="-3"/>
                <w:highlight w:val="none"/>
              </w:rPr>
              <w:t>末</w:t>
            </w:r>
            <w:r>
              <w:rPr>
                <w:highlight w:val="none"/>
              </w:rPr>
              <w:t xml:space="preserve">  </w:t>
            </w:r>
            <w:r>
              <w:rPr>
                <w:spacing w:val="-3"/>
                <w:highlight w:val="none"/>
              </w:rPr>
              <w:t>级缓存容</w:t>
            </w:r>
            <w:r>
              <w:rPr>
                <w:spacing w:val="2"/>
                <w:highlight w:val="none"/>
              </w:rPr>
              <w:t xml:space="preserve"> </w:t>
            </w:r>
            <w:r>
              <w:rPr>
                <w:highlight w:val="none"/>
              </w:rPr>
              <w:t>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25</w:t>
            </w:r>
            <w:r>
              <w:rPr>
                <w:spacing w:val="-7"/>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支持</w:t>
            </w:r>
            <w:r>
              <w:rPr>
                <w:highlight w:val="none"/>
              </w:rPr>
              <w:t xml:space="preserve"> </w:t>
            </w:r>
            <w:r>
              <w:rPr>
                <w:spacing w:val="-3"/>
                <w:highlight w:val="none"/>
              </w:rPr>
              <w:t>的内存最</w:t>
            </w:r>
            <w:r>
              <w:rPr>
                <w:highlight w:val="none"/>
              </w:rPr>
              <w:t xml:space="preserve"> </w:t>
            </w:r>
            <w:r>
              <w:rPr>
                <w:spacing w:val="-4"/>
                <w:highlight w:val="none"/>
              </w:rPr>
              <w:t>高速率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*内存</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*内存读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写速率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*显示分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*显卡显</w:t>
            </w:r>
            <w:r>
              <w:rPr>
                <w:highlight w:val="none"/>
              </w:rPr>
              <w:t xml:space="preserve">  </w:t>
            </w:r>
            <w:r>
              <w:rPr>
                <w:spacing w:val="-3"/>
                <w:highlight w:val="none"/>
              </w:rPr>
              <w:t>示芯片核</w:t>
            </w:r>
            <w:r>
              <w:rPr>
                <w:spacing w:val="1"/>
                <w:highlight w:val="none"/>
              </w:rPr>
              <w:t xml:space="preserve"> </w:t>
            </w:r>
            <w:r>
              <w:rPr>
                <w:spacing w:val="-4"/>
                <w:highlight w:val="none"/>
              </w:rPr>
              <w:t>心频率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*显存等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效频率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*显卡可</w:t>
            </w:r>
            <w:r>
              <w:rPr>
                <w:highlight w:val="none"/>
              </w:rPr>
              <w:t xml:space="preserve">  </w:t>
            </w:r>
            <w:r>
              <w:rPr>
                <w:spacing w:val="-2"/>
                <w:highlight w:val="none"/>
              </w:rPr>
              <w:t>支持多屏</w:t>
            </w:r>
            <w:r>
              <w:rPr>
                <w:highlight w:val="none"/>
              </w:rPr>
              <w:t xml:space="preserve"> </w:t>
            </w:r>
            <w:r>
              <w:rPr>
                <w:spacing w:val="-2"/>
                <w:highlight w:val="none"/>
              </w:rPr>
              <w:t>同时显示</w:t>
            </w:r>
            <w:r>
              <w:rPr>
                <w:highlight w:val="none"/>
              </w:rPr>
              <w:t xml:space="preserve"> </w:t>
            </w:r>
            <w:r>
              <w:rPr>
                <w:spacing w:val="-4"/>
                <w:highlight w:val="none"/>
              </w:rPr>
              <w:t>数量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显卡支持</w:t>
            </w:r>
            <w:r>
              <w:rPr>
                <w:spacing w:val="-31"/>
                <w:highlight w:val="none"/>
              </w:rPr>
              <w:t xml:space="preserve"> </w:t>
            </w:r>
            <w:r>
              <w:rPr>
                <w:spacing w:val="-2"/>
                <w:highlight w:val="none"/>
              </w:rPr>
              <w:t>2</w:t>
            </w:r>
            <w:r>
              <w:rPr>
                <w:spacing w:val="-40"/>
                <w:highlight w:val="none"/>
              </w:rPr>
              <w:t xml:space="preserve"> </w:t>
            </w:r>
            <w:r>
              <w:rPr>
                <w:spacing w:val="-2"/>
                <w:highlight w:val="none"/>
              </w:rPr>
              <w:t>块屏幕同时显示，分辨率不低于</w:t>
            </w:r>
            <w:r>
              <w:rPr>
                <w:spacing w:val="-28"/>
                <w:highlight w:val="none"/>
              </w:rPr>
              <w:t xml:space="preserve"> </w:t>
            </w:r>
            <w:r>
              <w:rPr>
                <w:spacing w:val="-2"/>
                <w:highlight w:val="none"/>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刷新率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位深</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≥8</w:t>
            </w:r>
            <w:r>
              <w:rPr>
                <w:spacing w:val="-39"/>
                <w:highlight w:val="none"/>
              </w:rPr>
              <w:t xml:space="preserve"> </w:t>
            </w:r>
            <w:r>
              <w:rPr>
                <w:spacing w:val="-9"/>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≥99%</w:t>
            </w:r>
            <w:r>
              <w:rPr>
                <w:spacing w:val="13"/>
                <w:highlight w:val="none"/>
              </w:rPr>
              <w:t xml:space="preserve"> </w:t>
            </w:r>
            <w:r>
              <w:rPr>
                <w:spacing w:val="-5"/>
                <w:highlight w:val="none"/>
              </w:rPr>
              <w:t>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色准</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△E</w:t>
            </w:r>
            <w:r>
              <w:rPr>
                <w:spacing w:val="22"/>
                <w:highlight w:val="none"/>
              </w:rPr>
              <w:t xml:space="preserve"> </w:t>
            </w:r>
            <w:r>
              <w:rPr>
                <w:spacing w:val="-9"/>
                <w:highlight w:val="none"/>
              </w:rPr>
              <w:t>≤</w:t>
            </w:r>
            <w:r>
              <w:rPr>
                <w:spacing w:val="1"/>
                <w:highlight w:val="none"/>
              </w:rPr>
              <w:t xml:space="preserve"> </w:t>
            </w:r>
            <w:r>
              <w:rPr>
                <w:spacing w:val="-9"/>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4"/>
                <w:highlight w:val="none"/>
              </w:rPr>
              <w:t>响应时间</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default"/>
                <w:spacing w:val="-6"/>
                <w:highlight w:val="none"/>
                <w:lang w:val="en-US"/>
              </w:rPr>
              <w:t>8</w:t>
            </w:r>
            <w:r>
              <w:rPr>
                <w:spacing w:val="-6"/>
                <w:highlight w:val="none"/>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亮度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≥250</w:t>
            </w:r>
            <w:r>
              <w:rPr>
                <w:spacing w:val="-36"/>
                <w:highlight w:val="none"/>
              </w:rPr>
              <w:t xml:space="preserve"> </w:t>
            </w:r>
            <w:r>
              <w:rPr>
                <w:spacing w:val="-6"/>
                <w:highlight w:val="none"/>
              </w:rPr>
              <w:t>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亮度一致</w:t>
            </w:r>
            <w:r>
              <w:rPr>
                <w:highlight w:val="none"/>
              </w:rPr>
              <w:t xml:space="preserve"> 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对比度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w:t>
            </w:r>
            <w:r>
              <w:rPr>
                <w:rFonts w:hint="eastAsia"/>
                <w:spacing w:val="-2"/>
                <w:highlight w:val="none"/>
                <w:lang w:val="en-US" w:eastAsia="zh-CN"/>
              </w:rPr>
              <w:t>7</w:t>
            </w:r>
            <w:r>
              <w:rPr>
                <w:spacing w:val="-2"/>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3"/>
                <w:highlight w:val="none"/>
              </w:rPr>
              <w:t>其他参数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SJ/T11292</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卡速率</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最高速率不低于</w:t>
            </w:r>
            <w:r>
              <w:rPr>
                <w:spacing w:val="-18"/>
                <w:highlight w:val="none"/>
              </w:rPr>
              <w:t xml:space="preserve"> </w:t>
            </w:r>
            <w:r>
              <w:rPr>
                <w:spacing w:val="-2"/>
                <w:highlight w:val="none"/>
              </w:rPr>
              <w:t>1000Mbps，支持</w:t>
            </w:r>
            <w:r>
              <w:rPr>
                <w:spacing w:val="-3"/>
                <w:highlight w:val="none"/>
              </w:rPr>
              <w:t>10Mbps、100Mbps、1000Mbps</w:t>
            </w:r>
            <w:r>
              <w:rPr>
                <w:spacing w:val="-25"/>
                <w:highlight w:val="none"/>
              </w:rPr>
              <w:t xml:space="preserve"> </w:t>
            </w:r>
            <w:r>
              <w:rPr>
                <w:spacing w:val="-3"/>
                <w:highlight w:val="none"/>
              </w:rPr>
              <w:t>速率自适</w:t>
            </w:r>
            <w:r>
              <w:rPr>
                <w:highlight w:val="none"/>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76</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*内存扩</w:t>
            </w:r>
          </w:p>
          <w:p>
            <w:pPr>
              <w:pStyle w:val="69"/>
              <w:widowControl w:val="0"/>
              <w:spacing w:line="240" w:lineRule="auto"/>
              <w:ind w:left="0" w:right="0" w:firstLine="0"/>
              <w:jc w:val="center"/>
              <w:rPr>
                <w:highlight w:val="none"/>
              </w:rPr>
            </w:pPr>
            <w:r>
              <w:rPr>
                <w:spacing w:val="-4"/>
                <w:highlight w:val="none"/>
              </w:rPr>
              <w:t>展接口</w:t>
            </w:r>
          </w:p>
          <w:p>
            <w:pPr>
              <w:pStyle w:val="69"/>
              <w:widowControl w:val="0"/>
              <w:spacing w:line="240" w:lineRule="auto"/>
              <w:ind w:left="0" w:right="0" w:firstLine="0"/>
              <w:jc w:val="center"/>
              <w:rPr>
                <w:highlight w:val="none"/>
              </w:rPr>
            </w:pPr>
            <w:r>
              <w:rPr>
                <w:spacing w:val="-10"/>
                <w:highlight w:val="none"/>
              </w:rPr>
              <w:t>(板载内</w:t>
            </w:r>
          </w:p>
          <w:p>
            <w:pPr>
              <w:pStyle w:val="69"/>
              <w:widowControl w:val="0"/>
              <w:spacing w:line="240" w:lineRule="auto"/>
              <w:ind w:left="0" w:right="0" w:firstLine="0"/>
              <w:jc w:val="center"/>
              <w:rPr>
                <w:highlight w:val="none"/>
              </w:rPr>
            </w:pPr>
            <w:r>
              <w:rPr>
                <w:spacing w:val="-3"/>
                <w:highlight w:val="none"/>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及)</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≥2</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9"/>
                <w:highlight w:val="none"/>
              </w:rPr>
              <w:t xml:space="preserve"> </w:t>
            </w:r>
            <w:r>
              <w:rPr>
                <w:spacing w:val="-2"/>
                <w:highlight w:val="none"/>
              </w:rPr>
              <w:t>USB</w:t>
            </w:r>
            <w:r>
              <w:rPr>
                <w:highlight w:val="none"/>
              </w:rPr>
              <w:t xml:space="preserve"> </w:t>
            </w:r>
            <w:r>
              <w:rPr>
                <w:spacing w:val="-2"/>
                <w:highlight w:val="none"/>
              </w:rPr>
              <w:t>瞬间过流</w:t>
            </w:r>
            <w:r>
              <w:rPr>
                <w:spacing w:val="1"/>
                <w:highlight w:val="none"/>
              </w:rPr>
              <w:t xml:space="preserve"> </w:t>
            </w:r>
            <w:r>
              <w:rPr>
                <w:spacing w:val="-3"/>
                <w:highlight w:val="none"/>
              </w:rPr>
              <w:t>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支持有瞬间过流保护功能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*主板防</w:t>
            </w:r>
            <w:r>
              <w:rPr>
                <w:highlight w:val="none"/>
              </w:rPr>
              <w:t xml:space="preserve">  </w:t>
            </w:r>
            <w:r>
              <w:rPr>
                <w:spacing w:val="-2"/>
                <w:highlight w:val="none"/>
              </w:rPr>
              <w:t>静电保护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支持防静电保护功能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*I/O</w:t>
            </w:r>
            <w:r>
              <w:rPr>
                <w:spacing w:val="-37"/>
                <w:highlight w:val="none"/>
              </w:rPr>
              <w:t xml:space="preserve"> </w:t>
            </w:r>
            <w:r>
              <w:rPr>
                <w:spacing w:val="-2"/>
                <w:highlight w:val="none"/>
              </w:rPr>
              <w:t>接口</w:t>
            </w:r>
            <w:r>
              <w:rPr>
                <w:highlight w:val="none"/>
              </w:rPr>
              <w:t xml:space="preserve"> </w:t>
            </w:r>
            <w:r>
              <w:rPr>
                <w:spacing w:val="-5"/>
                <w:highlight w:val="none"/>
              </w:rPr>
              <w:t>功能</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提供基于标准</w:t>
            </w:r>
            <w:r>
              <w:rPr>
                <w:spacing w:val="-38"/>
                <w:highlight w:val="none"/>
              </w:rPr>
              <w:t xml:space="preserve"> </w:t>
            </w:r>
            <w:r>
              <w:rPr>
                <w:spacing w:val="-3"/>
                <w:highlight w:val="none"/>
              </w:rPr>
              <w:t>USB</w:t>
            </w:r>
            <w:r>
              <w:rPr>
                <w:spacing w:val="-40"/>
                <w:highlight w:val="none"/>
              </w:rPr>
              <w:t xml:space="preserve"> </w:t>
            </w:r>
            <w:r>
              <w:rPr>
                <w:spacing w:val="-3"/>
                <w:highlight w:val="none"/>
              </w:rPr>
              <w:t>接口外设连接功能、</w:t>
            </w:r>
            <w:r>
              <w:rPr>
                <w:highlight w:val="none"/>
              </w:rPr>
              <w:t xml:space="preserve"> </w:t>
            </w:r>
            <w:r>
              <w:rPr>
                <w:spacing w:val="-2"/>
                <w:highlight w:val="none"/>
              </w:rPr>
              <w:t>基于音频输入输出接口的音频扩展功能、基于</w:t>
            </w:r>
            <w:r>
              <w:rPr>
                <w:spacing w:val="-37"/>
                <w:highlight w:val="none"/>
              </w:rPr>
              <w:t xml:space="preserve"> </w:t>
            </w:r>
            <w:r>
              <w:rPr>
                <w:spacing w:val="-2"/>
                <w:highlight w:val="none"/>
              </w:rPr>
              <w:t>PCIe</w:t>
            </w:r>
            <w:r>
              <w:rPr>
                <w:spacing w:val="-37"/>
                <w:highlight w:val="none"/>
              </w:rPr>
              <w:t xml:space="preserve"> </w:t>
            </w:r>
            <w:r>
              <w:rPr>
                <w:spacing w:val="-2"/>
                <w:highlight w:val="none"/>
              </w:rPr>
              <w:t>接口板卡扩展功能、基</w:t>
            </w:r>
            <w:r>
              <w:rPr>
                <w:spacing w:val="-4"/>
                <w:highlight w:val="none"/>
              </w:rPr>
              <w:t>于</w:t>
            </w:r>
            <w:r>
              <w:rPr>
                <w:spacing w:val="-35"/>
                <w:highlight w:val="none"/>
              </w:rPr>
              <w:t xml:space="preserve"> </w:t>
            </w:r>
            <w:r>
              <w:rPr>
                <w:spacing w:val="-4"/>
                <w:highlight w:val="none"/>
              </w:rPr>
              <w:t>HDMI</w:t>
            </w:r>
            <w:r>
              <w:rPr>
                <w:spacing w:val="-35"/>
                <w:highlight w:val="none"/>
              </w:rPr>
              <w:t xml:space="preserve"> </w:t>
            </w:r>
            <w:r>
              <w:rPr>
                <w:spacing w:val="-4"/>
                <w:highlight w:val="none"/>
              </w:rPr>
              <w:t>或</w:t>
            </w:r>
            <w:r>
              <w:rPr>
                <w:spacing w:val="-43"/>
                <w:highlight w:val="none"/>
              </w:rPr>
              <w:t xml:space="preserve"> </w:t>
            </w:r>
            <w:r>
              <w:rPr>
                <w:spacing w:val="-4"/>
                <w:highlight w:val="none"/>
              </w:rPr>
              <w:t>VGA</w:t>
            </w:r>
            <w:r>
              <w:rPr>
                <w:spacing w:val="-33"/>
                <w:highlight w:val="none"/>
              </w:rPr>
              <w:t xml:space="preserve"> </w:t>
            </w:r>
            <w:r>
              <w:rPr>
                <w:spacing w:val="-4"/>
                <w:highlight w:val="none"/>
              </w:rPr>
              <w:t>或</w:t>
            </w:r>
            <w:r>
              <w:rPr>
                <w:spacing w:val="-36"/>
                <w:highlight w:val="none"/>
              </w:rPr>
              <w:t xml:space="preserve"> </w:t>
            </w:r>
            <w:r>
              <w:rPr>
                <w:spacing w:val="-4"/>
                <w:highlight w:val="none"/>
              </w:rPr>
              <w:t>Type-C</w:t>
            </w:r>
            <w:r>
              <w:rPr>
                <w:spacing w:val="-33"/>
                <w:highlight w:val="none"/>
              </w:rPr>
              <w:t xml:space="preserve"> </w:t>
            </w:r>
            <w:r>
              <w:rPr>
                <w:spacing w:val="-4"/>
                <w:highlight w:val="none"/>
              </w:rPr>
              <w:t>或</w:t>
            </w:r>
            <w:r>
              <w:rPr>
                <w:spacing w:val="-36"/>
                <w:highlight w:val="none"/>
              </w:rPr>
              <w:t xml:space="preserve"> </w:t>
            </w:r>
            <w:r>
              <w:rPr>
                <w:spacing w:val="-4"/>
                <w:highlight w:val="none"/>
              </w:rPr>
              <w:t>DVI</w:t>
            </w:r>
            <w:r>
              <w:rPr>
                <w:spacing w:val="-33"/>
                <w:highlight w:val="none"/>
              </w:rPr>
              <w:t xml:space="preserve"> </w:t>
            </w:r>
            <w:r>
              <w:rPr>
                <w:spacing w:val="-4"/>
                <w:highlight w:val="none"/>
              </w:rPr>
              <w:t>或</w:t>
            </w:r>
            <w:r>
              <w:rPr>
                <w:spacing w:val="-37"/>
                <w:highlight w:val="none"/>
              </w:rPr>
              <w:t xml:space="preserve"> </w:t>
            </w:r>
            <w:r>
              <w:rPr>
                <w:spacing w:val="-4"/>
                <w:highlight w:val="none"/>
              </w:rPr>
              <w:t>DP</w:t>
            </w:r>
            <w:r>
              <w:rPr>
                <w:spacing w:val="-2"/>
                <w:highlight w:val="none"/>
              </w:rPr>
              <w:t>等接口外接显示器扩展功能、基于存</w:t>
            </w:r>
            <w:r>
              <w:rPr>
                <w:spacing w:val="-1"/>
                <w:highlight w:val="none"/>
              </w:rPr>
              <w:t>储接口对产品进行增容功能等。产品</w:t>
            </w:r>
            <w:r>
              <w:rPr>
                <w:spacing w:val="-5"/>
                <w:highlight w:val="none"/>
              </w:rPr>
              <w:t>I/O</w:t>
            </w:r>
            <w:r>
              <w:rPr>
                <w:spacing w:val="-35"/>
                <w:highlight w:val="none"/>
              </w:rPr>
              <w:t xml:space="preserve"> </w:t>
            </w:r>
            <w:r>
              <w:rPr>
                <w:spacing w:val="-5"/>
                <w:highlight w:val="none"/>
              </w:rPr>
              <w:t>接口，具备外接标准</w:t>
            </w:r>
            <w:r>
              <w:rPr>
                <w:spacing w:val="-37"/>
                <w:highlight w:val="none"/>
              </w:rPr>
              <w:t xml:space="preserve"> </w:t>
            </w:r>
            <w:r>
              <w:rPr>
                <w:spacing w:val="-5"/>
                <w:highlight w:val="none"/>
              </w:rPr>
              <w:t>USB</w:t>
            </w:r>
            <w:r>
              <w:rPr>
                <w:spacing w:val="-36"/>
                <w:highlight w:val="none"/>
              </w:rPr>
              <w:t xml:space="preserve"> </w:t>
            </w:r>
            <w:r>
              <w:rPr>
                <w:spacing w:val="-5"/>
                <w:highlight w:val="none"/>
              </w:rPr>
              <w:t>设备、</w:t>
            </w:r>
            <w:r>
              <w:rPr>
                <w:spacing w:val="-1"/>
                <w:highlight w:val="none"/>
              </w:rPr>
              <w:t>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*显卡外</w:t>
            </w:r>
            <w:r>
              <w:rPr>
                <w:highlight w:val="none"/>
              </w:rPr>
              <w:t xml:space="preserve">  </w:t>
            </w:r>
            <w:r>
              <w:rPr>
                <w:spacing w:val="-2"/>
                <w:highlight w:val="none"/>
              </w:rPr>
              <w:t>接显示接</w:t>
            </w:r>
            <w:r>
              <w:rPr>
                <w:highlight w:val="none"/>
              </w:rPr>
              <w:t xml:space="preserve"> 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集成显卡：HDMI×1；VGA×1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显示器与显卡外接显示接口匹配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支架</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不</w:t>
            </w:r>
            <w:r>
              <w:rPr>
                <w:rFonts w:hint="eastAsia"/>
                <w:spacing w:val="-1"/>
                <w:highlight w:val="none"/>
                <w:lang w:val="en-US" w:eastAsia="zh-CN"/>
              </w:rPr>
              <w:t>需要</w:t>
            </w:r>
            <w:r>
              <w:rPr>
                <w:rFonts w:hint="eastAsia"/>
                <w:spacing w:val="-1"/>
                <w:highlight w:val="none"/>
              </w:rPr>
              <w:t>支持升降旋转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参数调节</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4"/>
                <w:highlight w:val="none"/>
              </w:rPr>
              <w:t>a)提供</w:t>
            </w:r>
            <w:r>
              <w:rPr>
                <w:spacing w:val="-24"/>
                <w:highlight w:val="none"/>
              </w:rPr>
              <w:t xml:space="preserve"> </w:t>
            </w:r>
            <w:r>
              <w:rPr>
                <w:spacing w:val="-4"/>
                <w:highlight w:val="none"/>
              </w:rPr>
              <w:t>OSD</w:t>
            </w:r>
            <w:r>
              <w:rPr>
                <w:spacing w:val="-33"/>
                <w:highlight w:val="none"/>
              </w:rPr>
              <w:t xml:space="preserve"> </w:t>
            </w:r>
            <w:r>
              <w:rPr>
                <w:spacing w:val="-4"/>
                <w:highlight w:val="none"/>
              </w:rPr>
              <w:t>选单按钮用于调节色彩、</w:t>
            </w:r>
            <w:r>
              <w:rPr>
                <w:highlight w:val="none"/>
              </w:rPr>
              <w:t xml:space="preserve"> </w:t>
            </w:r>
            <w:r>
              <w:rPr>
                <w:spacing w:val="-2"/>
                <w:highlight w:val="none"/>
              </w:rPr>
              <w:t>模式等；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b)支持色温、亮度、对比度调节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*存储功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通过</w:t>
            </w:r>
            <w:r>
              <w:rPr>
                <w:spacing w:val="-29"/>
                <w:highlight w:val="none"/>
              </w:rPr>
              <w:t xml:space="preserve"> </w:t>
            </w:r>
            <w:r>
              <w:rPr>
                <w:spacing w:val="-4"/>
                <w:highlight w:val="none"/>
              </w:rPr>
              <w:t>PCIe</w:t>
            </w:r>
            <w:r>
              <w:rPr>
                <w:spacing w:val="-24"/>
                <w:highlight w:val="none"/>
              </w:rPr>
              <w:t xml:space="preserve"> </w:t>
            </w:r>
            <w:r>
              <w:rPr>
                <w:spacing w:val="-4"/>
                <w:highlight w:val="none"/>
              </w:rPr>
              <w:t>固态存储</w:t>
            </w:r>
            <w:r>
              <w:rPr>
                <w:spacing w:val="-1"/>
                <w:highlight w:val="none"/>
              </w:rPr>
              <w:t>提供存储功能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both"/>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支持网络连接、网络开启/关闭功能；</w:t>
            </w:r>
          </w:p>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支持访问网络和数据交换功能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输</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支持数据传输能力，</w:t>
            </w:r>
            <w:r>
              <w:rPr>
                <w:rFonts w:hint="eastAsia"/>
                <w:spacing w:val="-1"/>
                <w:highlight w:val="none"/>
                <w:lang w:val="en-US" w:eastAsia="zh-CN"/>
              </w:rPr>
              <w:t>软件可提供</w:t>
            </w:r>
            <w:r>
              <w:rPr>
                <w:rFonts w:hint="eastAsia"/>
                <w:spacing w:val="-1"/>
                <w:highlight w:val="none"/>
              </w:rPr>
              <w:t>异常日志记录功能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*有线网</w:t>
            </w:r>
            <w:r>
              <w:rPr>
                <w:highlight w:val="none"/>
              </w:rPr>
              <w:t xml:space="preserve">  </w:t>
            </w:r>
            <w:r>
              <w:rPr>
                <w:spacing w:val="-3"/>
                <w:highlight w:val="none"/>
              </w:rPr>
              <w:t>卡接口类</w:t>
            </w:r>
            <w:r>
              <w:rPr>
                <w:spacing w:val="2"/>
                <w:highlight w:val="none"/>
              </w:rPr>
              <w:t xml:space="preserve"> </w:t>
            </w: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34"/>
                <w:highlight w:val="none"/>
              </w:rPr>
              <w:t xml:space="preserve"> </w:t>
            </w:r>
            <w:r>
              <w:rPr>
                <w:spacing w:val="-4"/>
                <w:highlight w:val="none"/>
              </w:rPr>
              <w:t>RJ45</w:t>
            </w:r>
            <w:r>
              <w:rPr>
                <w:spacing w:val="-39"/>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备拆装</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网络设备支持物理拆装，包括无线网</w:t>
            </w:r>
            <w:r>
              <w:rPr>
                <w:spacing w:val="-2"/>
                <w:highlight w:val="none"/>
              </w:rPr>
              <w:t>卡和蓝牙模块等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4"/>
                <w:highlight w:val="none"/>
              </w:rPr>
              <w:t>接口功能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3.5mm。其中一个支持4段式，其余为3段式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6"/>
                <w:highlight w:val="none"/>
              </w:rPr>
              <w:t>支持</w:t>
            </w:r>
            <w:r>
              <w:rPr>
                <w:spacing w:val="-43"/>
                <w:highlight w:val="none"/>
              </w:rPr>
              <w:t xml:space="preserve"> </w:t>
            </w:r>
            <w:r>
              <w:rPr>
                <w:spacing w:val="-6"/>
                <w:highlight w:val="none"/>
              </w:rPr>
              <w:t>VGA、HDMI</w:t>
            </w:r>
            <w:r>
              <w:rPr>
                <w:spacing w:val="-7"/>
                <w:highlight w:val="none"/>
              </w:rPr>
              <w:t>显示接口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91</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highlight w:val="none"/>
              </w:rPr>
              <w:t>*HDMI、</w:t>
            </w:r>
          </w:p>
          <w:p>
            <w:pPr>
              <w:pStyle w:val="69"/>
              <w:widowControl w:val="0"/>
              <w:spacing w:line="240" w:lineRule="auto"/>
              <w:ind w:left="0" w:right="0" w:firstLine="0"/>
              <w:jc w:val="center"/>
              <w:rPr>
                <w:highlight w:val="none"/>
              </w:rPr>
            </w:pPr>
            <w:r>
              <w:rPr>
                <w:spacing w:val="-3"/>
                <w:highlight w:val="none"/>
              </w:rPr>
              <w:t>DP、</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Type-C</w:t>
            </w:r>
            <w:r>
              <w:rPr>
                <w:spacing w:val="-32"/>
                <w:highlight w:val="none"/>
              </w:rPr>
              <w:t xml:space="preserve"> </w:t>
            </w:r>
            <w:r>
              <w:rPr>
                <w:spacing w:val="-3"/>
                <w:highlight w:val="none"/>
              </w:rPr>
              <w:t>显</w:t>
            </w:r>
            <w:r>
              <w:rPr>
                <w:spacing w:val="-4"/>
                <w:highlight w:val="none"/>
              </w:rPr>
              <w:t>示接口要</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w:t>
            </w:r>
            <w:r>
              <w:rPr>
                <w:spacing w:val="-36"/>
                <w:highlight w:val="none"/>
              </w:rPr>
              <w:t xml:space="preserve"> </w:t>
            </w:r>
            <w:r>
              <w:rPr>
                <w:spacing w:val="-3"/>
                <w:highlight w:val="none"/>
              </w:rPr>
              <w:t>HDMI</w:t>
            </w:r>
            <w:r>
              <w:rPr>
                <w:spacing w:val="-35"/>
                <w:highlight w:val="none"/>
              </w:rPr>
              <w:t xml:space="preserve"> </w:t>
            </w:r>
            <w:r>
              <w:rPr>
                <w:spacing w:val="-40"/>
                <w:highlight w:val="none"/>
              </w:rPr>
              <w:t xml:space="preserve"> </w:t>
            </w:r>
            <w:r>
              <w:rPr>
                <w:spacing w:val="-3"/>
                <w:highlight w:val="none"/>
              </w:rPr>
              <w:t>作为显示</w:t>
            </w:r>
            <w:r>
              <w:rPr>
                <w:spacing w:val="-1"/>
                <w:highlight w:val="none"/>
              </w:rPr>
              <w:t>接口</w:t>
            </w:r>
            <w:r>
              <w:rPr>
                <w:rFonts w:hint="eastAsia"/>
                <w:spacing w:val="-1"/>
                <w:highlight w:val="none"/>
                <w:lang w:eastAsia="zh-CN"/>
              </w:rPr>
              <w:t>，</w:t>
            </w:r>
            <w:r>
              <w:rPr>
                <w:spacing w:val="-1"/>
                <w:highlight w:val="none"/>
              </w:rPr>
              <w:t>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*电源</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*电源线</w:t>
            </w:r>
            <w:r>
              <w:rPr>
                <w:highlight w:val="none"/>
              </w:rPr>
              <w:t xml:space="preserve">  </w:t>
            </w:r>
            <w:r>
              <w:rPr>
                <w:spacing w:val="-3"/>
                <w:highlight w:val="none"/>
              </w:rPr>
              <w:t>适配能力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电源适配器电线组件符合</w:t>
            </w:r>
            <w:r>
              <w:rPr>
                <w:spacing w:val="-33"/>
                <w:highlight w:val="none"/>
              </w:rPr>
              <w:t xml:space="preserve"> </w:t>
            </w:r>
            <w:r>
              <w:rPr>
                <w:spacing w:val="-2"/>
                <w:highlight w:val="none"/>
              </w:rPr>
              <w:t>GB/T</w:t>
            </w:r>
            <w:r>
              <w:rPr>
                <w:spacing w:val="-5"/>
                <w:highlight w:val="none"/>
              </w:rPr>
              <w:t>15934</w:t>
            </w:r>
            <w:r>
              <w:rPr>
                <w:spacing w:val="-19"/>
                <w:highlight w:val="none"/>
              </w:rPr>
              <w:t xml:space="preserve"> </w:t>
            </w:r>
            <w:r>
              <w:rPr>
                <w:spacing w:val="-5"/>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*操作</w:t>
            </w:r>
            <w:r>
              <w:rPr>
                <w:spacing w:val="-6"/>
                <w:highlight w:val="none"/>
              </w:rPr>
              <w:t>系统</w:t>
            </w:r>
            <w:r>
              <w:rPr>
                <w:spacing w:val="-4"/>
                <w:highlight w:val="none"/>
              </w:rPr>
              <w:t>及软</w:t>
            </w:r>
            <w:r>
              <w:rPr>
                <w:spacing w:val="-3"/>
                <w:highlight w:val="none"/>
              </w:rPr>
              <w:t>件功</w:t>
            </w:r>
            <w:r>
              <w:rPr>
                <w:highlight w:val="none"/>
              </w:rPr>
              <w:t>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*中文信</w:t>
            </w:r>
            <w:r>
              <w:rPr>
                <w:highlight w:val="none"/>
              </w:rPr>
              <w:t xml:space="preserve">  </w:t>
            </w:r>
            <w:r>
              <w:rPr>
                <w:spacing w:val="-3"/>
                <w:highlight w:val="none"/>
              </w:rPr>
              <w:t>息处理要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符合</w:t>
            </w:r>
            <w:r>
              <w:rPr>
                <w:spacing w:val="-33"/>
                <w:highlight w:val="none"/>
              </w:rPr>
              <w:t xml:space="preserve"> </w:t>
            </w:r>
            <w:r>
              <w:rPr>
                <w:spacing w:val="-4"/>
                <w:highlight w:val="none"/>
              </w:rPr>
              <w:t>GB18030</w:t>
            </w:r>
            <w:r>
              <w:rPr>
                <w:spacing w:val="-26"/>
                <w:highlight w:val="none"/>
              </w:rPr>
              <w:t xml:space="preserve"> </w:t>
            </w:r>
            <w:r>
              <w:rPr>
                <w:spacing w:val="-4"/>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统备份及</w:t>
            </w:r>
            <w:r>
              <w:rPr>
                <w:spacing w:val="1"/>
                <w:highlight w:val="none"/>
              </w:rPr>
              <w:t xml:space="preserve"> </w:t>
            </w:r>
            <w:r>
              <w:rPr>
                <w:spacing w:val="-2"/>
                <w:highlight w:val="none"/>
              </w:rPr>
              <w:t>还原功能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*固件备</w:t>
            </w:r>
            <w:r>
              <w:rPr>
                <w:highlight w:val="none"/>
              </w:rPr>
              <w:t xml:space="preserve">  </w:t>
            </w:r>
            <w:r>
              <w:rPr>
                <w:spacing w:val="-2"/>
                <w:highlight w:val="none"/>
              </w:rPr>
              <w:t>份还原能</w:t>
            </w:r>
            <w:r>
              <w:rPr>
                <w:highlight w:val="none"/>
              </w:rPr>
              <w:t xml:space="preserve"> 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lang w:val="en-US" w:eastAsia="zh-CN"/>
              </w:rPr>
              <w:t>软件</w:t>
            </w:r>
            <w:r>
              <w:rPr>
                <w:spacing w:val="-2"/>
                <w:highlight w:val="none"/>
              </w:rPr>
              <w:t>支持备份及还原固件的功能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统及驱动</w:t>
            </w:r>
            <w:r>
              <w:rPr>
                <w:spacing w:val="1"/>
                <w:highlight w:val="none"/>
              </w:rPr>
              <w:t xml:space="preserve"> </w:t>
            </w:r>
            <w:r>
              <w:rPr>
                <w:spacing w:val="-3"/>
                <w:highlight w:val="none"/>
              </w:rPr>
              <w:t>升级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支持通过网络、闪存盘等方式对操作</w:t>
            </w:r>
            <w:r>
              <w:rPr>
                <w:spacing w:val="-2"/>
                <w:highlight w:val="none"/>
              </w:rPr>
              <w:t>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支持通过网络、闪存盘等方式对固件</w:t>
            </w:r>
            <w:r>
              <w:rPr>
                <w:spacing w:val="-2"/>
                <w:highlight w:val="none"/>
              </w:rPr>
              <w:t>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*BIOS</w:t>
            </w:r>
            <w:r>
              <w:rPr>
                <w:spacing w:val="-27"/>
                <w:highlight w:val="none"/>
              </w:rPr>
              <w:t xml:space="preserve"> </w:t>
            </w:r>
            <w:r>
              <w:rPr>
                <w:spacing w:val="-4"/>
                <w:highlight w:val="none"/>
              </w:rPr>
              <w:t>支</w:t>
            </w:r>
            <w:r>
              <w:rPr>
                <w:highlight w:val="none"/>
              </w:rPr>
              <w:t xml:space="preserve"> </w:t>
            </w:r>
            <w:r>
              <w:rPr>
                <w:spacing w:val="-2"/>
                <w:highlight w:val="none"/>
              </w:rPr>
              <w:t>持关闭通</w:t>
            </w:r>
            <w:r>
              <w:rPr>
                <w:highlight w:val="none"/>
              </w:rPr>
              <w:t xml:space="preserve"> </w:t>
            </w:r>
            <w:r>
              <w:rPr>
                <w:spacing w:val="-3"/>
                <w:highlight w:val="none"/>
              </w:rPr>
              <w:t>讯接口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22"/>
                <w:highlight w:val="none"/>
              </w:rPr>
              <w:t xml:space="preserve"> </w:t>
            </w:r>
            <w:r>
              <w:rPr>
                <w:spacing w:val="-4"/>
                <w:highlight w:val="none"/>
              </w:rPr>
              <w:t>BIOS</w:t>
            </w:r>
            <w:r>
              <w:rPr>
                <w:spacing w:val="-32"/>
                <w:highlight w:val="none"/>
              </w:rPr>
              <w:t xml:space="preserve"> </w:t>
            </w:r>
            <w:r>
              <w:rPr>
                <w:spacing w:val="-4"/>
                <w:highlight w:val="none"/>
              </w:rPr>
              <w:t>关闭以太网及</w:t>
            </w:r>
            <w:r>
              <w:rPr>
                <w:spacing w:val="-36"/>
                <w:highlight w:val="none"/>
              </w:rPr>
              <w:t xml:space="preserve"> </w:t>
            </w:r>
            <w:r>
              <w:rPr>
                <w:spacing w:val="-4"/>
                <w:highlight w:val="none"/>
              </w:rPr>
              <w:t>USB</w:t>
            </w:r>
            <w:r>
              <w:rPr>
                <w:spacing w:val="-37"/>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看信息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支持查看固件版本、内存信息、主板信息、处理器信息和系统时间信息等</w:t>
            </w:r>
            <w:r>
              <w:rPr>
                <w:spacing w:val="-4"/>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2"/>
                <w:highlight w:val="none"/>
              </w:rPr>
              <w:t>置启动顺</w:t>
            </w:r>
            <w:r>
              <w:rPr>
                <w:highlight w:val="none"/>
              </w:rPr>
              <w:t xml:space="preserve"> 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支持设置启动顺序功能，并按照设置</w:t>
            </w:r>
            <w:r>
              <w:rPr>
                <w:spacing w:val="-3"/>
                <w:highlight w:val="none"/>
              </w:rPr>
              <w:t>的启动顺序启动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置口令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支持设置口令、修改口令、验证口令</w:t>
            </w:r>
            <w:r>
              <w:rPr>
                <w:spacing w:val="-5"/>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3"/>
                <w:highlight w:val="none"/>
              </w:rPr>
              <w:t>置网络引</w:t>
            </w:r>
            <w:r>
              <w:rPr>
                <w:spacing w:val="1"/>
                <w:highlight w:val="none"/>
              </w:rPr>
              <w:t xml:space="preserve"> </w:t>
            </w:r>
            <w:r>
              <w:rPr>
                <w:highlight w:val="none"/>
              </w:rPr>
              <w:t>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4"/>
                <w:highlight w:val="none"/>
              </w:rPr>
              <w:t>设备</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TBW</w:t>
            </w:r>
            <w:r>
              <w:rPr>
                <w:spacing w:val="28"/>
                <w:highlight w:val="none"/>
              </w:rPr>
              <w:t xml:space="preserve"> </w:t>
            </w:r>
            <w:r>
              <w:rPr>
                <w:spacing w:val="-4"/>
                <w:highlight w:val="none"/>
              </w:rPr>
              <w:t>≥ 80TB（条件：240GB</w:t>
            </w:r>
            <w:r>
              <w:rPr>
                <w:spacing w:val="-38"/>
                <w:highlight w:val="none"/>
              </w:rPr>
              <w:t xml:space="preserve"> </w:t>
            </w:r>
            <w:r>
              <w:rPr>
                <w:spacing w:val="-4"/>
                <w:highlight w:val="none"/>
              </w:rPr>
              <w:t>硬盘容</w:t>
            </w:r>
            <w:r>
              <w:rPr>
                <w:spacing w:val="-5"/>
                <w:highlight w:val="none"/>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通电时间≥5</w:t>
            </w:r>
            <w:r>
              <w:rPr>
                <w:spacing w:val="-35"/>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*显示</w:t>
            </w:r>
            <w:r>
              <w:rPr>
                <w:spacing w:val="-4"/>
                <w:highlight w:val="none"/>
              </w:rPr>
              <w:t>设备</w:t>
            </w:r>
            <w:r>
              <w:rPr>
                <w:spacing w:val="-5"/>
                <w:highlight w:val="none"/>
              </w:rPr>
              <w:t>可靠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屏幕失效</w:t>
            </w:r>
            <w:r>
              <w:rPr>
                <w:highlight w:val="none"/>
              </w:rPr>
              <w:t xml:space="preserve"> 点</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GB/T9813.2</w:t>
            </w:r>
            <w:r>
              <w:rPr>
                <w:spacing w:val="-27"/>
                <w:highlight w:val="none"/>
              </w:rPr>
              <w:t xml:space="preserve"> </w:t>
            </w:r>
            <w:r>
              <w:rPr>
                <w:spacing w:val="-2"/>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*外设</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≥1000</w:t>
            </w:r>
            <w:r>
              <w:rPr>
                <w:spacing w:val="-29"/>
                <w:highlight w:val="none"/>
              </w:rPr>
              <w:t xml:space="preserve"> </w:t>
            </w:r>
            <w:r>
              <w:rPr>
                <w:spacing w:val="-6"/>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*鼠标按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≥500</w:t>
            </w:r>
            <w:r>
              <w:rPr>
                <w:spacing w:val="-30"/>
                <w:highlight w:val="none"/>
              </w:rPr>
              <w:t xml:space="preserve"> </w:t>
            </w:r>
            <w:r>
              <w:rPr>
                <w:spacing w:val="-7"/>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*键盘鼠</w:t>
            </w:r>
            <w:r>
              <w:rPr>
                <w:highlight w:val="none"/>
              </w:rPr>
              <w:t xml:space="preserve">  </w:t>
            </w:r>
            <w:r>
              <w:rPr>
                <w:spacing w:val="-1"/>
                <w:highlight w:val="none"/>
              </w:rPr>
              <w:t>标线材寿</w:t>
            </w:r>
            <w:r>
              <w:rPr>
                <w:highlight w:val="none"/>
              </w:rPr>
              <w:t xml:space="preserve"> 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键盘鼠标所用线材经±60</w:t>
            </w:r>
            <w:r>
              <w:rPr>
                <w:spacing w:val="-62"/>
                <w:highlight w:val="none"/>
              </w:rPr>
              <w:t xml:space="preserve"> </w:t>
            </w:r>
            <w:r>
              <w:rPr>
                <w:spacing w:val="-2"/>
                <w:highlight w:val="none"/>
              </w:rPr>
              <w:t>°弯折不低</w:t>
            </w:r>
            <w:r>
              <w:rPr>
                <w:highlight w:val="none"/>
              </w:rPr>
              <w:t xml:space="preserve"> </w:t>
            </w:r>
            <w:r>
              <w:rPr>
                <w:spacing w:val="-2"/>
                <w:highlight w:val="none"/>
              </w:rPr>
              <w:t>于</w:t>
            </w:r>
            <w:r>
              <w:rPr>
                <w:spacing w:val="-34"/>
                <w:highlight w:val="none"/>
              </w:rPr>
              <w:t xml:space="preserve"> </w:t>
            </w:r>
            <w:r>
              <w:rPr>
                <w:spacing w:val="-2"/>
                <w:highlight w:val="none"/>
              </w:rPr>
              <w:t>3000</w:t>
            </w:r>
            <w:r>
              <w:rPr>
                <w:spacing w:val="-38"/>
                <w:highlight w:val="none"/>
              </w:rPr>
              <w:t xml:space="preserve"> </w:t>
            </w:r>
            <w:r>
              <w:rPr>
                <w:spacing w:val="-2"/>
                <w:highlight w:val="none"/>
              </w:rPr>
              <w:t>次，功能、外观完好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*风扇寿</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≥4</w:t>
            </w:r>
            <w:r>
              <w:rPr>
                <w:spacing w:val="-32"/>
                <w:highlight w:val="none"/>
              </w:rPr>
              <w:t xml:space="preserve"> </w:t>
            </w:r>
            <w:r>
              <w:rPr>
                <w:spacing w:val="-8"/>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*整机</w:t>
            </w:r>
            <w:r>
              <w:rPr>
                <w:spacing w:val="-5"/>
                <w:highlight w:val="none"/>
              </w:rPr>
              <w:t>可靠</w:t>
            </w:r>
            <w:r>
              <w:rPr>
                <w:spacing w:val="-4"/>
                <w:highlight w:val="none"/>
              </w:rPr>
              <w:t>性要</w:t>
            </w: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*电磁兼</w:t>
            </w:r>
            <w:r>
              <w:rPr>
                <w:highlight w:val="none"/>
              </w:rPr>
              <w:t xml:space="preserve">  </w:t>
            </w:r>
            <w:r>
              <w:rPr>
                <w:spacing w:val="-2"/>
                <w:highlight w:val="none"/>
              </w:rPr>
              <w:t>容性要求</w:t>
            </w:r>
            <w:r>
              <w:rPr>
                <w:highlight w:val="none"/>
              </w:rPr>
              <w:t xml:space="preserve"> </w:t>
            </w:r>
            <w:r>
              <w:rPr>
                <w:spacing w:val="-2"/>
                <w:highlight w:val="none"/>
              </w:rPr>
              <w:t>的抗扰度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GB/T9254.2</w:t>
            </w:r>
            <w:r>
              <w:rPr>
                <w:spacing w:val="-27"/>
                <w:highlight w:val="none"/>
              </w:rPr>
              <w:t xml:space="preserve"> </w:t>
            </w:r>
            <w:r>
              <w:rPr>
                <w:spacing w:val="-2"/>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气候环境</w:t>
            </w:r>
            <w:r>
              <w:rPr>
                <w:spacing w:val="1"/>
                <w:highlight w:val="none"/>
              </w:rPr>
              <w:t xml:space="preserve"> </w:t>
            </w:r>
            <w:r>
              <w:rPr>
                <w:spacing w:val="-2"/>
                <w:highlight w:val="none"/>
              </w:rPr>
              <w:t>适应性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spacing w:val="-2"/>
                <w:highlight w:val="none"/>
              </w:rPr>
              <w:t>件要的振动适应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冲击适应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碰撞适应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运输包装</w:t>
            </w:r>
            <w:r>
              <w:rPr>
                <w:spacing w:val="1"/>
                <w:highlight w:val="none"/>
              </w:rPr>
              <w:t xml:space="preserve"> </w:t>
            </w:r>
            <w:r>
              <w:rPr>
                <w:spacing w:val="-2"/>
                <w:highlight w:val="none"/>
              </w:rPr>
              <w:t>件跌落适</w:t>
            </w:r>
            <w:r>
              <w:rPr>
                <w:spacing w:val="1"/>
                <w:highlight w:val="none"/>
              </w:rPr>
              <w:t xml:space="preserve"> </w:t>
            </w:r>
            <w:r>
              <w:rPr>
                <w:spacing w:val="-3"/>
                <w:highlight w:val="none"/>
              </w:rPr>
              <w:t>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position w:val="4"/>
                <w:highlight w:val="none"/>
              </w:rPr>
              <w:t>*MTBF</w:t>
            </w:r>
            <w:r>
              <w:rPr>
                <w:spacing w:val="-33"/>
                <w:position w:val="4"/>
                <w:highlight w:val="none"/>
              </w:rPr>
              <w:t xml:space="preserve"> </w:t>
            </w:r>
            <w:r>
              <w:rPr>
                <w:spacing w:val="-2"/>
                <w:position w:val="4"/>
                <w:highlight w:val="none"/>
              </w:rPr>
              <w:t>测</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试</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MTBF(m1)≥3</w:t>
            </w:r>
            <w:r>
              <w:rPr>
                <w:spacing w:val="-27"/>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*常用软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支持流式软件、版式软件、浏览器、邮件采购人端、解压软件、多媒体、</w:t>
            </w:r>
            <w:r>
              <w:rPr>
                <w:spacing w:val="-2"/>
                <w:highlight w:val="none"/>
              </w:rPr>
              <w:t>图形图像处理等常用软件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2"/>
                <w:highlight w:val="none"/>
              </w:rPr>
              <w:t xml:space="preserve"> </w:t>
            </w:r>
            <w:r>
              <w:rPr>
                <w:spacing w:val="-2"/>
                <w:highlight w:val="none"/>
              </w:rPr>
              <w:t>3</w:t>
            </w:r>
            <w:r>
              <w:rPr>
                <w:spacing w:val="-39"/>
                <w:highlight w:val="none"/>
              </w:rPr>
              <w:t xml:space="preserve"> </w:t>
            </w:r>
            <w:r>
              <w:rPr>
                <w:spacing w:val="-2"/>
                <w:highlight w:val="none"/>
              </w:rPr>
              <w:t>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*中间件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4"/>
                <w:highlight w:val="none"/>
              </w:rPr>
              <w:t xml:space="preserve"> </w:t>
            </w:r>
            <w:r>
              <w:rPr>
                <w:spacing w:val="-2"/>
                <w:highlight w:val="none"/>
              </w:rPr>
              <w:t>3</w:t>
            </w:r>
            <w:r>
              <w:rPr>
                <w:spacing w:val="-39"/>
                <w:highlight w:val="none"/>
              </w:rPr>
              <w:t xml:space="preserve"> </w:t>
            </w:r>
            <w:r>
              <w:rPr>
                <w:spacing w:val="-2"/>
                <w:highlight w:val="none"/>
              </w:rPr>
              <w:t>个及以上厂商中间件产品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*平台软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0"/>
                <w:highlight w:val="none"/>
              </w:rPr>
              <w:t xml:space="preserve"> </w:t>
            </w:r>
            <w:r>
              <w:rPr>
                <w:spacing w:val="-2"/>
                <w:highlight w:val="none"/>
              </w:rPr>
              <w:t>3</w:t>
            </w:r>
            <w:r>
              <w:rPr>
                <w:spacing w:val="-39"/>
                <w:highlight w:val="none"/>
              </w:rPr>
              <w:t xml:space="preserve"> </w:t>
            </w:r>
            <w:r>
              <w:rPr>
                <w:spacing w:val="-2"/>
                <w:highlight w:val="none"/>
              </w:rPr>
              <w:t>个及以上厂商云计算及大数据</w:t>
            </w:r>
            <w:r>
              <w:rPr>
                <w:spacing w:val="-6"/>
                <w:highlight w:val="none"/>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3"/>
                <w:highlight w:val="none"/>
              </w:rPr>
              <w:t>包装</w:t>
            </w:r>
          </w:p>
          <w:p>
            <w:pPr>
              <w:pStyle w:val="69"/>
              <w:widowControl w:val="0"/>
              <w:spacing w:line="240" w:lineRule="auto"/>
              <w:ind w:left="0" w:right="0" w:firstLine="0"/>
              <w:jc w:val="center"/>
              <w:rPr>
                <w:highlight w:val="none"/>
              </w:rPr>
            </w:pPr>
            <w:r>
              <w:rPr>
                <w:spacing w:val="-4"/>
                <w:highlight w:val="none"/>
              </w:rPr>
              <w:t>及运</w:t>
            </w:r>
          </w:p>
          <w:p>
            <w:pPr>
              <w:pStyle w:val="69"/>
              <w:widowControl w:val="0"/>
              <w:spacing w:line="240" w:lineRule="auto"/>
              <w:ind w:left="0" w:right="0" w:firstLine="0"/>
              <w:jc w:val="center"/>
              <w:rPr>
                <w:highlight w:val="none"/>
              </w:rPr>
            </w:pPr>
            <w:r>
              <w:rPr>
                <w:spacing w:val="-4"/>
                <w:highlight w:val="none"/>
              </w:rPr>
              <w:t>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*包装</w:t>
            </w:r>
            <w:r>
              <w:rPr>
                <w:spacing w:val="-4"/>
                <w:highlight w:val="none"/>
              </w:rPr>
              <w:t>及运输要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7"/>
                <w:highlight w:val="none"/>
              </w:rPr>
              <w:t>*标志、包</w:t>
            </w:r>
            <w:r>
              <w:rPr>
                <w:highlight w:val="none"/>
              </w:rPr>
              <w:t xml:space="preserve"> </w:t>
            </w:r>
            <w:r>
              <w:rPr>
                <w:spacing w:val="-2"/>
                <w:highlight w:val="none"/>
              </w:rPr>
              <w:t>装、运输</w:t>
            </w:r>
            <w:r>
              <w:rPr>
                <w:highlight w:val="none"/>
              </w:rPr>
              <w:t xml:space="preserve"> </w:t>
            </w:r>
            <w:r>
              <w:rPr>
                <w:spacing w:val="-3"/>
                <w:highlight w:val="none"/>
              </w:rPr>
              <w:t>和贮存</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20"/>
                <w:highlight w:val="none"/>
              </w:rPr>
              <w:t xml:space="preserve"> </w:t>
            </w:r>
            <w:r>
              <w:rPr>
                <w:spacing w:val="-2"/>
                <w:highlight w:val="none"/>
              </w:rPr>
              <w:t>GB/T 9813.1</w:t>
            </w:r>
            <w:r>
              <w:rPr>
                <w:spacing w:val="-36"/>
                <w:highlight w:val="none"/>
              </w:rPr>
              <w:t xml:space="preserve"> </w:t>
            </w:r>
            <w:r>
              <w:rPr>
                <w:spacing w:val="-2"/>
                <w:highlight w:val="none"/>
              </w:rPr>
              <w:t>和商品包装政府采</w:t>
            </w:r>
            <w:r>
              <w:rPr>
                <w:spacing w:val="-1"/>
                <w:highlight w:val="none"/>
              </w:rPr>
              <w:t>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w:t>
            </w:r>
            <w:r>
              <w:rPr>
                <w:rFonts w:hint="eastAsia"/>
                <w:spacing w:val="-2"/>
                <w:highlight w:val="none"/>
                <w:lang w:val="en-US" w:eastAsia="zh-CN"/>
              </w:rPr>
              <w:t>服务</w:t>
            </w:r>
            <w:r>
              <w:rPr>
                <w:spacing w:val="-4"/>
                <w:highlight w:val="none"/>
              </w:rPr>
              <w:t>要</w:t>
            </w:r>
          </w:p>
          <w:p>
            <w:pPr>
              <w:widowControl w:val="0"/>
              <w:spacing w:line="240" w:lineRule="auto"/>
              <w:ind w:left="0" w:right="0" w:firstLine="0"/>
              <w:jc w:val="center"/>
              <w:rPr>
                <w:rFonts w:ascii="Arial"/>
                <w:sz w:val="21"/>
                <w:highlight w:val="none"/>
              </w:rPr>
            </w:pPr>
            <w:r>
              <w:rPr>
                <w:highlight w:val="none"/>
              </w:rPr>
              <w:t>求</w:t>
            </w: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*服务</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*配置检</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查工具</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供应商提供自检测试工具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123</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应</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a)供应商提供电话、电子邮件、远程</w:t>
            </w:r>
            <w:r>
              <w:rPr>
                <w:spacing w:val="8"/>
                <w:highlight w:val="none"/>
              </w:rPr>
              <w:t xml:space="preserve"> </w:t>
            </w:r>
            <w:r>
              <w:rPr>
                <w:spacing w:val="-1"/>
                <w:highlight w:val="none"/>
              </w:rPr>
              <w:t>连接等多种形式服务；</w:t>
            </w:r>
          </w:p>
          <w:p>
            <w:pPr>
              <w:pStyle w:val="69"/>
              <w:widowControl w:val="0"/>
              <w:spacing w:line="240" w:lineRule="auto"/>
              <w:ind w:left="0" w:right="0" w:firstLine="0"/>
              <w:jc w:val="center"/>
              <w:rPr>
                <w:highlight w:val="none"/>
              </w:rPr>
            </w:pPr>
            <w:r>
              <w:rPr>
                <w:spacing w:val="-2"/>
                <w:highlight w:val="none"/>
              </w:rPr>
              <w:t>b)供应商提供同城</w:t>
            </w:r>
            <w:r>
              <w:rPr>
                <w:spacing w:val="-42"/>
                <w:highlight w:val="none"/>
              </w:rPr>
              <w:t xml:space="preserve"> </w:t>
            </w:r>
            <w:r>
              <w:rPr>
                <w:spacing w:val="-2"/>
                <w:highlight w:val="none"/>
              </w:rPr>
              <w:t>4h、异地</w:t>
            </w:r>
            <w:r>
              <w:rPr>
                <w:spacing w:val="-31"/>
                <w:highlight w:val="none"/>
              </w:rPr>
              <w:t xml:space="preserve"> </w:t>
            </w:r>
            <w:r>
              <w:rPr>
                <w:spacing w:val="-2"/>
                <w:highlight w:val="none"/>
              </w:rPr>
              <w:t>12h</w:t>
            </w:r>
            <w:r>
              <w:rPr>
                <w:spacing w:val="-33"/>
                <w:highlight w:val="none"/>
              </w:rPr>
              <w:t xml:space="preserve"> </w:t>
            </w:r>
            <w:r>
              <w:rPr>
                <w:spacing w:val="-2"/>
                <w:highlight w:val="none"/>
              </w:rPr>
              <w:t>技术</w:t>
            </w:r>
            <w:r>
              <w:rPr>
                <w:highlight w:val="none"/>
              </w:rPr>
              <w:t xml:space="preserve"> </w:t>
            </w:r>
            <w:r>
              <w:rPr>
                <w:spacing w:val="-4"/>
                <w:highlight w:val="none"/>
              </w:rPr>
              <w:t>响应服务，2</w:t>
            </w:r>
            <w:r>
              <w:rPr>
                <w:spacing w:val="-36"/>
                <w:highlight w:val="none"/>
              </w:rPr>
              <w:t xml:space="preserve"> </w:t>
            </w:r>
            <w:r>
              <w:rPr>
                <w:spacing w:val="-4"/>
                <w:highlight w:val="none"/>
              </w:rPr>
              <w:t>个工作日解决问题，对于</w:t>
            </w:r>
            <w:r>
              <w:rPr>
                <w:spacing w:val="-1"/>
                <w:highlight w:val="none"/>
              </w:rPr>
              <w:t>未能解决的问题和故障应提供可行的升级方案，并提供周转设备或更换设</w:t>
            </w:r>
            <w:r>
              <w:rPr>
                <w:spacing w:val="-4"/>
                <w:highlight w:val="none"/>
              </w:rPr>
              <w:t>备；</w:t>
            </w:r>
          </w:p>
          <w:p>
            <w:pPr>
              <w:pStyle w:val="69"/>
              <w:widowControl w:val="0"/>
              <w:spacing w:line="240" w:lineRule="auto"/>
              <w:ind w:left="0" w:right="0" w:firstLine="0"/>
              <w:jc w:val="center"/>
              <w:rPr>
                <w:highlight w:val="none"/>
              </w:rPr>
            </w:pPr>
            <w:r>
              <w:rPr>
                <w:spacing w:val="-1"/>
                <w:highlight w:val="none"/>
              </w:rPr>
              <w:t>c)建立全国技术服务体系和服务团体，符合专业服务体系标准要求，提供原厂中文服务；</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d)服务周期内提供产品的维修、换件</w:t>
            </w:r>
            <w:r>
              <w:rPr>
                <w:spacing w:val="9"/>
                <w:highlight w:val="none"/>
              </w:rPr>
              <w:t xml:space="preserve"> </w:t>
            </w:r>
            <w:r>
              <w:rPr>
                <w:spacing w:val="-2"/>
                <w:highlight w:val="none"/>
              </w:rPr>
              <w:t>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 设备停产后应继续提供质量保障服务（含备品备件</w:t>
            </w:r>
            <w:r>
              <w:rPr>
                <w:spacing w:val="3"/>
                <w:highlight w:val="none"/>
              </w:rPr>
              <w:t>），</w:t>
            </w:r>
            <w:r>
              <w:rPr>
                <w:spacing w:val="-1"/>
                <w:highlight w:val="none"/>
              </w:rPr>
              <w:t>服务终止时间</w:t>
            </w:r>
            <w:r>
              <w:rPr>
                <w:highlight w:val="none"/>
              </w:rPr>
              <w:t xml:space="preserve"> </w:t>
            </w:r>
            <w:r>
              <w:rPr>
                <w:spacing w:val="-1"/>
                <w:highlight w:val="none"/>
              </w:rPr>
              <w:t>与最后一批设备交付时间间隔不低于</w:t>
            </w:r>
            <w:r>
              <w:rPr>
                <w:spacing w:val="-5"/>
                <w:highlight w:val="none"/>
              </w:rPr>
              <w:t>6</w:t>
            </w:r>
            <w:r>
              <w:rPr>
                <w:spacing w:val="-38"/>
                <w:highlight w:val="none"/>
              </w:rPr>
              <w:t xml:space="preserve"> </w:t>
            </w:r>
            <w:r>
              <w:rPr>
                <w:spacing w:val="-5"/>
                <w:highlight w:val="none"/>
              </w:rPr>
              <w:t>年；</w:t>
            </w:r>
          </w:p>
          <w:p>
            <w:pPr>
              <w:pStyle w:val="69"/>
              <w:widowControl w:val="0"/>
              <w:spacing w:line="240" w:lineRule="auto"/>
              <w:ind w:left="0" w:right="0" w:firstLine="0"/>
              <w:jc w:val="center"/>
              <w:rPr>
                <w:highlight w:val="none"/>
              </w:rPr>
            </w:pPr>
            <w:r>
              <w:rPr>
                <w:spacing w:val="-2"/>
                <w:highlight w:val="none"/>
              </w:rPr>
              <w:t>b) 产品停止服务时间提前</w:t>
            </w:r>
            <w:r>
              <w:rPr>
                <w:spacing w:val="-29"/>
                <w:highlight w:val="none"/>
              </w:rPr>
              <w:t xml:space="preserve"> </w:t>
            </w:r>
            <w:r>
              <w:rPr>
                <w:spacing w:val="-2"/>
                <w:highlight w:val="none"/>
              </w:rPr>
              <w:t>1</w:t>
            </w:r>
            <w:r>
              <w:rPr>
                <w:spacing w:val="-38"/>
                <w:highlight w:val="none"/>
              </w:rPr>
              <w:t xml:space="preserve"> </w:t>
            </w:r>
            <w:r>
              <w:rPr>
                <w:spacing w:val="-2"/>
                <w:highlight w:val="none"/>
              </w:rPr>
              <w:t>年告</w:t>
            </w:r>
            <w:r>
              <w:rPr>
                <w:spacing w:val="-6"/>
                <w:highlight w:val="none"/>
              </w:rPr>
              <w:t>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明确产品发布日期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125</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*预装操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作系统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预装符合桌面操作系统政府采购需求标准的正版操作系统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*培训服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*典型问</w:t>
            </w:r>
            <w:r>
              <w:rPr>
                <w:highlight w:val="none"/>
              </w:rPr>
              <w:t xml:space="preserve">  </w:t>
            </w:r>
            <w:r>
              <w:rPr>
                <w:spacing w:val="-2"/>
                <w:highlight w:val="none"/>
              </w:rPr>
              <w:t>题解决手</w:t>
            </w:r>
            <w:r>
              <w:rPr>
                <w:spacing w:val="1"/>
                <w:highlight w:val="none"/>
              </w:rPr>
              <w:t xml:space="preserve"> </w:t>
            </w:r>
            <w:r>
              <w:rPr>
                <w:highlight w:val="none"/>
              </w:rPr>
              <w:t>册</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供应商提供典型问题解决说明文档或</w:t>
            </w:r>
            <w:r>
              <w:rPr>
                <w:spacing w:val="-3"/>
                <w:highlight w:val="none"/>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*厂家升</w:t>
            </w:r>
            <w:r>
              <w:rPr>
                <w:highlight w:val="none"/>
              </w:rPr>
              <w:t xml:space="preserve">  </w:t>
            </w:r>
            <w:r>
              <w:rPr>
                <w:spacing w:val="-2"/>
                <w:highlight w:val="none"/>
              </w:rPr>
              <w:t>级软件与</w:t>
            </w:r>
            <w:r>
              <w:rPr>
                <w:highlight w:val="none"/>
              </w:rPr>
              <w:t xml:space="preserve"> </w:t>
            </w:r>
            <w:r>
              <w:rPr>
                <w:spacing w:val="-2"/>
                <w:highlight w:val="none"/>
              </w:rPr>
              <w:t>扩容服务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供应商提供上门升级部件/软件与扩</w:t>
            </w:r>
            <w:r>
              <w:rPr>
                <w:spacing w:val="-2"/>
                <w:highlight w:val="none"/>
              </w:rPr>
              <w:t>容的增值服务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*整机质</w:t>
            </w:r>
            <w:r>
              <w:rPr>
                <w:highlight w:val="none"/>
              </w:rPr>
              <w:t xml:space="preserve">  </w:t>
            </w:r>
            <w:r>
              <w:rPr>
                <w:spacing w:val="-3"/>
                <w:highlight w:val="none"/>
              </w:rPr>
              <w:t>量服务要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免费服务周期（含换件和维修）不</w:t>
            </w:r>
            <w:r>
              <w:rPr>
                <w:spacing w:val="-6"/>
                <w:highlight w:val="none"/>
              </w:rPr>
              <w:t>小于</w:t>
            </w:r>
            <w:r>
              <w:rPr>
                <w:spacing w:val="-36"/>
                <w:highlight w:val="none"/>
              </w:rPr>
              <w:t xml:space="preserve"> </w:t>
            </w:r>
            <w:r>
              <w:rPr>
                <w:spacing w:val="-6"/>
                <w:highlight w:val="none"/>
              </w:rPr>
              <w:t>3</w:t>
            </w:r>
            <w:r>
              <w:rPr>
                <w:spacing w:val="-38"/>
                <w:highlight w:val="none"/>
              </w:rPr>
              <w:t xml:space="preserve"> </w:t>
            </w:r>
            <w:r>
              <w:rPr>
                <w:spacing w:val="-6"/>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*合格证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书要求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*开箱组</w:t>
            </w:r>
            <w:r>
              <w:rPr>
                <w:highlight w:val="none"/>
              </w:rPr>
              <w:t xml:space="preserve">  </w:t>
            </w:r>
            <w:r>
              <w:rPr>
                <w:spacing w:val="-2"/>
                <w:highlight w:val="none"/>
              </w:rPr>
              <w:t>装/使用</w:t>
            </w:r>
            <w:r>
              <w:rPr>
                <w:highlight w:val="none"/>
              </w:rPr>
              <w:t xml:space="preserve">  </w:t>
            </w:r>
            <w:r>
              <w:rPr>
                <w:spacing w:val="-2"/>
                <w:highlight w:val="none"/>
              </w:rPr>
              <w:t>指导要求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供应商提供开箱组装/使用指导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*驱动下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供应商提供驱动光盘或下载方式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*兼容适</w:t>
            </w:r>
            <w:r>
              <w:rPr>
                <w:highlight w:val="none"/>
              </w:rPr>
              <w:t xml:space="preserve">  </w:t>
            </w:r>
            <w:r>
              <w:rPr>
                <w:spacing w:val="-2"/>
                <w:highlight w:val="none"/>
              </w:rPr>
              <w:t>配软件下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供应商提供兼容适配软件下载渠道</w:t>
            </w:r>
            <w:r>
              <w:rPr>
                <w:spacing w:val="-4"/>
                <w:highlight w:val="none"/>
              </w:rPr>
              <w:t>（光盘、网站）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跨架构平</w:t>
            </w:r>
            <w:r>
              <w:rPr>
                <w:highlight w:val="none"/>
              </w:rPr>
              <w:t xml:space="preserve"> </w:t>
            </w:r>
            <w:r>
              <w:rPr>
                <w:spacing w:val="-2"/>
                <w:highlight w:val="none"/>
              </w:rPr>
              <w:t>台应用兼</w:t>
            </w:r>
            <w:r>
              <w:rPr>
                <w:highlight w:val="none"/>
              </w:rPr>
              <w:t xml:space="preserve"> 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供应商提供跨架构平台的应用兼容工具，支持一种或者一种以上不同架构</w:t>
            </w:r>
            <w:r>
              <w:rPr>
                <w:spacing w:val="-3"/>
                <w:highlight w:val="none"/>
              </w:rPr>
              <w:t>平台的应用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链合规性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*产品部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件保障</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供应商保障产品主要部件，提供</w:t>
            </w:r>
            <w:r>
              <w:rPr>
                <w:spacing w:val="-28"/>
                <w:highlight w:val="none"/>
              </w:rPr>
              <w:t xml:space="preserve"> </w:t>
            </w:r>
            <w:r>
              <w:rPr>
                <w:spacing w:val="-2"/>
                <w:highlight w:val="none"/>
              </w:rPr>
              <w:t>6</w:t>
            </w:r>
            <w:r>
              <w:rPr>
                <w:spacing w:val="-38"/>
                <w:highlight w:val="none"/>
              </w:rPr>
              <w:t xml:space="preserve"> </w:t>
            </w:r>
            <w:r>
              <w:rPr>
                <w:spacing w:val="-2"/>
                <w:highlight w:val="none"/>
              </w:rPr>
              <w:t>年</w:t>
            </w:r>
            <w:r>
              <w:rPr>
                <w:spacing w:val="-1"/>
                <w:highlight w:val="none"/>
              </w:rPr>
              <w:t>的备件服务能力（自购买之日起</w:t>
            </w:r>
            <w:r>
              <w:rPr>
                <w:spacing w:val="1"/>
                <w:highlight w:val="none"/>
              </w:rPr>
              <w:t>），</w:t>
            </w:r>
            <w:r>
              <w:rPr>
                <w:spacing w:val="-1"/>
                <w:highlight w:val="none"/>
              </w:rPr>
              <w:t>或提供可兼容原设备的升级换代产品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链质</w:t>
            </w:r>
            <w:r>
              <w:rPr>
                <w:highlight w:val="none"/>
              </w:rPr>
              <w:t>量</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*抗干扰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当产品部件出现供应风险时，供应商</w:t>
            </w:r>
            <w:r>
              <w:rPr>
                <w:spacing w:val="-1"/>
                <w:highlight w:val="none"/>
              </w:rPr>
              <w:t>通知采购人并提供风险应对方案确保产品的服务保障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*供应能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力证明</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供应商提供供应链稳定承诺书，确保产品的部件在产品服务周期内稳定供</w:t>
            </w:r>
            <w:r>
              <w:rPr>
                <w:highlight w:val="none"/>
              </w:rPr>
              <w:t>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*关键</w:t>
            </w:r>
            <w:r>
              <w:rPr>
                <w:spacing w:val="-3"/>
                <w:highlight w:val="none"/>
              </w:rPr>
              <w:t>部件安全</w:t>
            </w:r>
            <w:r>
              <w:rPr>
                <w:highlight w:val="none"/>
              </w:rPr>
              <w:t xml:space="preserve"> </w:t>
            </w:r>
            <w:r>
              <w:rPr>
                <w:spacing w:val="-3"/>
                <w:highlight w:val="none"/>
              </w:rPr>
              <w:t>要求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8"/>
                <w:szCs w:val="8"/>
                <w:highlight w:val="none"/>
                <w:lang w:val="en-US" w:eastAsia="en-US" w:bidi="ar-SA"/>
              </w:rPr>
            </w:pPr>
            <w:r>
              <w:rPr>
                <w:spacing w:val="-1"/>
                <w:highlight w:val="none"/>
              </w:rPr>
              <w:t>*关键部</w:t>
            </w:r>
            <w:r>
              <w:rPr>
                <w:highlight w:val="none"/>
              </w:rPr>
              <w:t xml:space="preserve">  </w:t>
            </w:r>
            <w:r>
              <w:rPr>
                <w:spacing w:val="-2"/>
                <w:highlight w:val="none"/>
              </w:rPr>
              <w:t>件安全要</w:t>
            </w:r>
            <w:r>
              <w:rPr>
                <w:spacing w:val="1"/>
                <w:highlight w:val="none"/>
              </w:rPr>
              <w:t xml:space="preserve"> </w:t>
            </w:r>
            <w:r>
              <w:rPr>
                <w:spacing w:val="-1"/>
                <w:highlight w:val="none"/>
              </w:rPr>
              <w:t>求</w:t>
            </w:r>
            <w:r>
              <w:rPr>
                <w:spacing w:val="-1"/>
                <w:position w:val="8"/>
                <w:sz w:val="8"/>
                <w:szCs w:val="8"/>
                <w:highlight w:val="none"/>
              </w:rPr>
              <w:t>3</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default" w:ascii="黑体" w:hAnsi="黑体" w:eastAsia="黑体" w:cs="黑体"/>
                <w:snapToGrid w:val="0"/>
                <w:color w:val="000000"/>
                <w:kern w:val="0"/>
                <w:sz w:val="18"/>
                <w:szCs w:val="18"/>
                <w:highlight w:val="none"/>
                <w:lang w:val="en-US" w:eastAsia="zh-CN" w:bidi="ar-SA"/>
              </w:rPr>
            </w:pPr>
            <w:r>
              <w:rPr>
                <w:rFonts w:hint="eastAsia"/>
                <w:spacing w:val="-1"/>
                <w:highlight w:val="none"/>
                <w:lang w:val="en-US" w:eastAsia="zh-CN"/>
              </w:rPr>
              <w:t>CPU采用12700处理器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center"/>
              <w:rPr>
                <w:highlight w:val="none"/>
              </w:rPr>
            </w:pPr>
            <w:r>
              <w:rPr>
                <w:spacing w:val="-2"/>
                <w:highlight w:val="none"/>
              </w:rPr>
              <w:t>*整机</w:t>
            </w:r>
            <w:r>
              <w:rPr>
                <w:spacing w:val="-8"/>
                <w:highlight w:val="none"/>
              </w:rPr>
              <w:t>安全</w:t>
            </w: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*密码算</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法实现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CPU</w:t>
            </w:r>
            <w:r>
              <w:rPr>
                <w:spacing w:val="-16"/>
                <w:highlight w:val="none"/>
              </w:rPr>
              <w:t xml:space="preserve"> </w:t>
            </w:r>
            <w:r>
              <w:rPr>
                <w:spacing w:val="-4"/>
                <w:highlight w:val="none"/>
              </w:rPr>
              <w:t>芯片应符合</w:t>
            </w:r>
            <w:r>
              <w:rPr>
                <w:spacing w:val="-38"/>
                <w:highlight w:val="none"/>
              </w:rPr>
              <w:t xml:space="preserve"> </w:t>
            </w:r>
            <w:r>
              <w:rPr>
                <w:spacing w:val="-4"/>
                <w:highlight w:val="none"/>
              </w:rPr>
              <w:t>GM/T0008</w:t>
            </w:r>
            <w:r>
              <w:rPr>
                <w:spacing w:val="-27"/>
                <w:highlight w:val="none"/>
              </w:rPr>
              <w:t xml:space="preserve"> </w:t>
            </w:r>
            <w:r>
              <w:rPr>
                <w:spacing w:val="-4"/>
                <w:highlight w:val="none"/>
              </w:rPr>
              <w:t>的相关规</w:t>
            </w:r>
            <w:r>
              <w:rPr>
                <w:spacing w:val="-6"/>
                <w:highlight w:val="none"/>
              </w:rPr>
              <w:t>定，或芯片密码模块应符合</w:t>
            </w:r>
            <w:r>
              <w:rPr>
                <w:spacing w:val="-29"/>
                <w:highlight w:val="none"/>
              </w:rPr>
              <w:t xml:space="preserve"> </w:t>
            </w:r>
            <w:r>
              <w:rPr>
                <w:spacing w:val="-6"/>
                <w:highlight w:val="none"/>
              </w:rPr>
              <w:t>GB/T</w:t>
            </w:r>
            <w:r>
              <w:rPr>
                <w:spacing w:val="-36"/>
                <w:highlight w:val="none"/>
              </w:rPr>
              <w:t xml:space="preserve"> </w:t>
            </w:r>
            <w:r>
              <w:rPr>
                <w:spacing w:val="-6"/>
                <w:highlight w:val="none"/>
              </w:rPr>
              <w:t>37092</w:t>
            </w:r>
            <w:r>
              <w:rPr>
                <w:highlight w:val="none"/>
              </w:rPr>
              <w:t xml:space="preserve"> </w:t>
            </w:r>
            <w:r>
              <w:rPr>
                <w:spacing w:val="-3"/>
                <w:highlight w:val="none"/>
              </w:rPr>
              <w:t>或</w:t>
            </w:r>
            <w:r>
              <w:rPr>
                <w:spacing w:val="-25"/>
                <w:highlight w:val="none"/>
              </w:rPr>
              <w:t xml:space="preserve"> </w:t>
            </w:r>
            <w:r>
              <w:rPr>
                <w:spacing w:val="-3"/>
                <w:highlight w:val="none"/>
              </w:rPr>
              <w:t>GM/T 0028</w:t>
            </w:r>
            <w:r>
              <w:rPr>
                <w:spacing w:val="-26"/>
                <w:highlight w:val="none"/>
              </w:rPr>
              <w:t xml:space="preserve"> </w:t>
            </w:r>
            <w:r>
              <w:rPr>
                <w:spacing w:val="-3"/>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140</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*信息安</w:t>
            </w:r>
            <w:r>
              <w:rPr>
                <w:highlight w:val="none"/>
              </w:rPr>
              <w:t xml:space="preserve">  </w:t>
            </w:r>
            <w:r>
              <w:rPr>
                <w:spacing w:val="-3"/>
                <w:highlight w:val="none"/>
              </w:rPr>
              <w:t>全基本要</w:t>
            </w:r>
            <w:r>
              <w:rPr>
                <w:spacing w:val="2"/>
                <w:highlight w:val="none"/>
              </w:rPr>
              <w:t xml:space="preserve"> </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3"/>
                <w:highlight w:val="none"/>
              </w:rPr>
              <w:t>a) 产品应符合</w:t>
            </w:r>
            <w:r>
              <w:rPr>
                <w:spacing w:val="-26"/>
                <w:highlight w:val="none"/>
              </w:rPr>
              <w:t xml:space="preserve"> </w:t>
            </w:r>
            <w:r>
              <w:rPr>
                <w:spacing w:val="-3"/>
                <w:highlight w:val="none"/>
              </w:rPr>
              <w:t>GB/T 39276</w:t>
            </w:r>
            <w:r>
              <w:rPr>
                <w:spacing w:val="-26"/>
                <w:highlight w:val="none"/>
              </w:rPr>
              <w:t xml:space="preserve"> </w:t>
            </w:r>
            <w:r>
              <w:rPr>
                <w:spacing w:val="-3"/>
                <w:highlight w:val="none"/>
              </w:rPr>
              <w:t>的</w:t>
            </w:r>
            <w:r>
              <w:rPr>
                <w:spacing w:val="-42"/>
                <w:highlight w:val="none"/>
              </w:rPr>
              <w:t xml:space="preserve"> </w:t>
            </w:r>
            <w:r>
              <w:rPr>
                <w:spacing w:val="-3"/>
                <w:highlight w:val="none"/>
              </w:rPr>
              <w:t>5.2</w:t>
            </w:r>
            <w:r>
              <w:rPr>
                <w:spacing w:val="-26"/>
                <w:highlight w:val="none"/>
              </w:rPr>
              <w:t xml:space="preserve"> </w:t>
            </w:r>
            <w:r>
              <w:rPr>
                <w:spacing w:val="-3"/>
                <w:highlight w:val="none"/>
              </w:rPr>
              <w:t>的</w:t>
            </w:r>
            <w:r>
              <w:rPr>
                <w:spacing w:val="-2"/>
                <w:highlight w:val="none"/>
              </w:rPr>
              <w:t>规定；</w:t>
            </w:r>
          </w:p>
          <w:p>
            <w:pPr>
              <w:pStyle w:val="69"/>
              <w:widowControl w:val="0"/>
              <w:spacing w:line="240" w:lineRule="auto"/>
              <w:ind w:left="0" w:right="0" w:firstLine="0"/>
              <w:jc w:val="center"/>
              <w:rPr>
                <w:highlight w:val="none"/>
              </w:rPr>
            </w:pPr>
            <w:r>
              <w:rPr>
                <w:spacing w:val="-1"/>
                <w:highlight w:val="none"/>
              </w:rPr>
              <w:t>b) 生产厂商应建立漏洞跟踪表，保证产品版本涉及到的漏洞(如驱动程序</w:t>
            </w:r>
          </w:p>
          <w:p>
            <w:pPr>
              <w:pStyle w:val="69"/>
              <w:widowControl w:val="0"/>
              <w:spacing w:line="240" w:lineRule="auto"/>
              <w:ind w:left="0" w:right="0" w:firstLine="0"/>
              <w:jc w:val="center"/>
              <w:rPr>
                <w:highlight w:val="none"/>
              </w:rPr>
            </w:pPr>
            <w:r>
              <w:rPr>
                <w:spacing w:val="-2"/>
                <w:highlight w:val="none"/>
              </w:rPr>
              <w:t>等)可查看；</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产品不得包含已知的恶意代码或</w:t>
            </w:r>
            <w:r>
              <w:rPr>
                <w:spacing w:val="-3"/>
                <w:highlight w:val="none"/>
              </w:rPr>
              <w:t>漏洞，不存在未声明的指令、功能、</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*固件安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全启动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支持固件安全启动功能，固件启动过程中只有通过启动校验才能正常启动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*限用物</w:t>
            </w:r>
            <w:r>
              <w:rPr>
                <w:highlight w:val="none"/>
              </w:rPr>
              <w:t xml:space="preserve">  </w:t>
            </w:r>
            <w:r>
              <w:rPr>
                <w:spacing w:val="-2"/>
                <w:highlight w:val="none"/>
              </w:rPr>
              <w:t>质的限量</w:t>
            </w:r>
            <w:r>
              <w:rPr>
                <w:spacing w:val="1"/>
                <w:highlight w:val="none"/>
              </w:rPr>
              <w:t xml:space="preserve"> </w:t>
            </w:r>
            <w:r>
              <w:rPr>
                <w:spacing w:val="-3"/>
                <w:highlight w:val="none"/>
              </w:rPr>
              <w:t>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32"/>
                <w:highlight w:val="none"/>
              </w:rPr>
              <w:t xml:space="preserve"> </w:t>
            </w:r>
            <w:r>
              <w:rPr>
                <w:spacing w:val="-3"/>
                <w:highlight w:val="none"/>
              </w:rPr>
              <w:t>GB/T 26572</w:t>
            </w:r>
            <w:r>
              <w:rPr>
                <w:spacing w:val="-22"/>
                <w:highlight w:val="none"/>
              </w:rPr>
              <w:t xml:space="preserve"> </w:t>
            </w:r>
            <w:r>
              <w:rPr>
                <w:spacing w:val="-3"/>
                <w:highlight w:val="none"/>
              </w:rPr>
              <w:t>中规定</w:t>
            </w:r>
          </w:p>
        </w:tc>
      </w:tr>
    </w:tbl>
    <w:p>
      <w:pPr>
        <w:rPr>
          <w:rFonts w:hint="default"/>
          <w:lang w:val="en-US" w:eastAsia="zh-CN"/>
        </w:rPr>
      </w:pPr>
    </w:p>
    <w:p>
      <w:pPr>
        <w:rPr>
          <w:rFonts w:hint="eastAsia"/>
          <w:lang w:val="en-US" w:eastAsia="zh-CN"/>
        </w:rPr>
      </w:pPr>
      <w:r>
        <w:rPr>
          <w:rFonts w:hint="eastAsia"/>
          <w:lang w:val="en-US" w:eastAsia="zh-CN"/>
        </w:rPr>
        <w:t>参数附件二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屏占比</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89</w:t>
            </w:r>
            <w:r>
              <w:rPr>
                <w:spacing w:val="-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尺寸</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w:t>
            </w:r>
            <w:r>
              <w:rPr>
                <w:rFonts w:hint="eastAsia"/>
                <w:spacing w:val="-8"/>
                <w:highlight w:val="none"/>
                <w:lang w:val="en-US" w:eastAsia="zh-CN"/>
              </w:rPr>
              <w:t>23.8</w:t>
            </w:r>
            <w:r>
              <w:rPr>
                <w:spacing w:val="-8"/>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屏幕比例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外观颜色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防蓝光</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支持防蓝光模式，蓝光加权辐射亮度比≤0.0012W/(·cd·sr)（瓦每坎特拉每球面度）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低频闪</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防炫目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显示屏镜面反射率≤10%</w:t>
            </w:r>
          </w:p>
        </w:tc>
      </w:tr>
    </w:tbl>
    <w:p>
      <w:pPr>
        <w:pStyle w:val="3"/>
        <w:rPr>
          <w:rFonts w:hint="eastAsia"/>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（二）商务条款</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1、交付的时间和地点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1.1交付的时间</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合同签订之日起90个日历日内，成交供应商应保证在要求时间内完成全部货物的供货、安装、调试、培训和验收工作，符合国家标准、行业规范和合同等相关文件的要求。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1.2交货期限延误处理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1.3交货、安装地点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江西旅游商贸职业学院内采购人指定地点。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2、付款条件</w:t>
      </w:r>
      <w:r>
        <w:rPr>
          <w:rFonts w:hint="eastAsia"/>
          <w:b w:val="0"/>
          <w:bCs/>
          <w:color w:val="auto"/>
          <w:sz w:val="24"/>
          <w:szCs w:val="24"/>
          <w:lang w:eastAsia="zh-CN"/>
        </w:rPr>
        <w:tab/>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2.1履约保证金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2.2付款要求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合同项下所有货物安装调试完成后正常运行，并经验收合格后支付合同总价的100%。</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3、包装和运输</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3.1货物的拆箱、安装等工作由成交供应商负责，但必须在采购人或用户指定人员的参与下进行。成交供应商拆箱、安装前必须先经采购人或用户同意方可进行。</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4、售后服务和培训要求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4.1质量保证期</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在项目验收通过后，成交供应商必须提供为期12个月的质量保证期(国家法规另有规定和制造企业优于的除外)，在质保期内，成交供应商应提供上门维修或更换服务，所需费用包含在供应商报价中。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4.2售后服务标准和培训要求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成交供应商须提供7×24小时售后服务，货物发生故障时，成交供应商需在接到采购人通知后1小时内响应，4小时内到达现场，8小时内排除故障（如不能按时到场，采购人有权请有资质的维保单位进行维修，所需费用由成交供应商承担），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（2）质量保证期满后，设备需维修的，成交供应商应本着微利服务原则，按最低价格收取维修费。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（3）成交供应商必须对其所提供的设备及采用的相关技术进行现场演示培训，以满足使用单位在日常使用、操作等方面的需求，所需费用包含在供应商报价中。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（4）采购品目中，若涉及有计算机软件品目，则成交供应商需在质保期内提供升级服务（如有升级版本对外发布），但不涉及定制开发，所需费用包含在供应商报价中。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（5）成交供应商的其它售后服务承诺属于本合同的一部分，如果有不同约定的，以服务水平和层级更高的为准。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5、保险</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包含财产保险（货物运输保险等）、人身保险、责任保险（公众责任保险、雇主责任保险等）、信用保险等。均应包含在投标总价中。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6.1报价要求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6.2安装及货物验收要求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6.2.2交付验收标准：依次序对照适用标准为：</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（1）符合中华人民共和国国家安全质量标准、环保标准或行业标准；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（2）符合谈判文件和响应承诺中采购人认可的合理最佳配置、参数及各项要求；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（3）货物来源符合官方标准。上述标准必须是有关官方机构发布的最新版本的标准；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（4）如谈判文件的技术要求或谈判文件中承诺的技术要求，高于国家或行业标准，以高的标准进行验收。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6.2.4技术服务：在进行最终验收之前，成交供应商必须将所有相关技术资料（包含并不仅限于：所提供产品的使用说明书、合格证、服务手册等）交采购人留存备案。</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6.3其他要求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adjustRightInd w:val="0"/>
        <w:snapToGrid w:val="0"/>
        <w:spacing w:before="156" w:beforeLines="50" w:beforeAutospacing="0" w:line="240" w:lineRule="auto"/>
        <w:ind w:left="0" w:leftChars="0" w:firstLine="0" w:firstLineChars="0"/>
        <w:rPr>
          <w:rFonts w:hint="eastAsia"/>
          <w:b/>
          <w:color w:val="auto"/>
          <w:sz w:val="24"/>
          <w:szCs w:val="24"/>
          <w:lang w:eastAsia="zh-CN"/>
        </w:rPr>
      </w:pPr>
    </w:p>
    <w:p>
      <w:pPr>
        <w:adjustRightInd w:val="0"/>
        <w:snapToGrid w:val="0"/>
        <w:spacing w:before="156" w:beforeLines="50" w:beforeAutospacing="0" w:line="240" w:lineRule="auto"/>
        <w:ind w:left="0" w:leftChars="0" w:firstLine="0" w:firstLineChars="0"/>
        <w:rPr>
          <w:b/>
          <w:color w:val="auto"/>
          <w:sz w:val="24"/>
          <w:szCs w:val="24"/>
          <w:lang w:eastAsia="zh-CN"/>
        </w:rPr>
      </w:pPr>
      <w:r>
        <w:rPr>
          <w:rFonts w:hint="eastAsia"/>
          <w:b/>
          <w:color w:val="auto"/>
          <w:sz w:val="24"/>
          <w:szCs w:val="24"/>
          <w:lang w:eastAsia="zh-CN"/>
        </w:rPr>
        <w:t>注：以上所有商务要求，供应商必须完全满足或优于，否则视为无效响应。</w:t>
      </w:r>
    </w:p>
    <w:p>
      <w:pPr>
        <w:adjustRightInd w:val="0"/>
        <w:spacing w:line="360" w:lineRule="auto"/>
        <w:rPr>
          <w:rFonts w:ascii="宋体" w:hAnsi="宋体" w:cs="宋体"/>
          <w:b/>
          <w:bCs/>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28</w:t>
    </w:r>
    <w:r>
      <w:rPr>
        <w:rStyle w:val="24"/>
      </w:rPr>
      <w:fldChar w:fldCharType="end"/>
    </w: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52</w:t>
    </w:r>
    <w:r>
      <w:rPr>
        <w:rStyle w:val="24"/>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29</w:t>
    </w:r>
    <w:r>
      <w:rPr>
        <w:rStyle w:val="24"/>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30</w:t>
    </w:r>
    <w:r>
      <w:rPr>
        <w:rStyle w:val="24"/>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39</w:t>
    </w:r>
    <w:r>
      <w:rPr>
        <w:rStyle w:val="24"/>
      </w:rPr>
      <w:fldChar w:fldCharType="end"/>
    </w:r>
  </w:p>
  <w:p>
    <w:pPr>
      <w:pStyle w:val="13"/>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42</w:t>
    </w:r>
    <w:r>
      <w:rPr>
        <w:rStyle w:val="24"/>
      </w:rPr>
      <w:fldChar w:fldCharType="end"/>
    </w:r>
  </w:p>
  <w:p>
    <w:pPr>
      <w:pStyle w:val="13"/>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591A"/>
    <w:multiLevelType w:val="singleLevel"/>
    <w:tmpl w:val="8336591A"/>
    <w:lvl w:ilvl="0" w:tentative="0">
      <w:start w:val="1"/>
      <w:numFmt w:val="decimal"/>
      <w:suff w:val="nothing"/>
      <w:lvlText w:val="%1、"/>
      <w:lvlJc w:val="left"/>
    </w:lvl>
  </w:abstractNum>
  <w:abstractNum w:abstractNumId="1">
    <w:nsid w:val="E0C7BF8E"/>
    <w:multiLevelType w:val="singleLevel"/>
    <w:tmpl w:val="E0C7BF8E"/>
    <w:lvl w:ilvl="0" w:tentative="0">
      <w:start w:val="1"/>
      <w:numFmt w:val="chineseCounting"/>
      <w:suff w:val="nothing"/>
      <w:lvlText w:val="（%1）"/>
      <w:lvlJc w:val="left"/>
      <w:rPr>
        <w:rFonts w:hint="eastAsia"/>
      </w:rPr>
    </w:lvl>
  </w:abstractNum>
  <w:abstractNum w:abstractNumId="2">
    <w:nsid w:val="FEE24DD7"/>
    <w:multiLevelType w:val="singleLevel"/>
    <w:tmpl w:val="FEE24DD7"/>
    <w:lvl w:ilvl="0" w:tentative="0">
      <w:start w:val="1"/>
      <w:numFmt w:val="lowerLetter"/>
      <w:lvlText w:val="%1)"/>
      <w:lvlJc w:val="left"/>
      <w:pPr>
        <w:tabs>
          <w:tab w:val="left" w:pos="312"/>
        </w:tabs>
      </w:pPr>
    </w:lvl>
  </w:abstractNum>
  <w:abstractNum w:abstractNumId="3">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1A4AF931"/>
    <w:multiLevelType w:val="singleLevel"/>
    <w:tmpl w:val="1A4AF931"/>
    <w:lvl w:ilvl="0" w:tentative="0">
      <w:start w:val="1"/>
      <w:numFmt w:val="decimal"/>
      <w:suff w:val="nothing"/>
      <w:lvlText w:val="%1、"/>
      <w:lvlJc w:val="left"/>
    </w:lvl>
  </w:abstractNum>
  <w:abstractNum w:abstractNumId="5">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78B4C0"/>
    <w:multiLevelType w:val="singleLevel"/>
    <w:tmpl w:val="3678B4C0"/>
    <w:lvl w:ilvl="0" w:tentative="0">
      <w:start w:val="1"/>
      <w:numFmt w:val="decimal"/>
      <w:lvlText w:val="%1."/>
      <w:lvlJc w:val="left"/>
      <w:pPr>
        <w:ind w:left="425" w:hanging="425"/>
      </w:pPr>
      <w:rPr>
        <w:rFonts w:hint="default"/>
      </w:rPr>
    </w:lvl>
  </w:abstractNum>
  <w:abstractNum w:abstractNumId="8">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9">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6"/>
  </w:num>
  <w:num w:numId="2">
    <w:abstractNumId w:val="5"/>
  </w:num>
  <w:num w:numId="3">
    <w:abstractNumId w:val="4"/>
  </w:num>
  <w:num w:numId="4">
    <w:abstractNumId w:val="9"/>
  </w:num>
  <w:num w:numId="5">
    <w:abstractNumId w:val="3"/>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MGY0NGI5ZmVmNDE5NDE0MGQ3NTYyZmVlOTdkYzk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1D24A54"/>
    <w:rsid w:val="02814CA2"/>
    <w:rsid w:val="02AC2CA8"/>
    <w:rsid w:val="065E5B67"/>
    <w:rsid w:val="06AB5D29"/>
    <w:rsid w:val="08433173"/>
    <w:rsid w:val="0A671314"/>
    <w:rsid w:val="0B2049C4"/>
    <w:rsid w:val="0C9B396C"/>
    <w:rsid w:val="0D1D13C6"/>
    <w:rsid w:val="0E9A7384"/>
    <w:rsid w:val="0EEFDFEC"/>
    <w:rsid w:val="10231E9A"/>
    <w:rsid w:val="110F5083"/>
    <w:rsid w:val="11277566"/>
    <w:rsid w:val="118E0364"/>
    <w:rsid w:val="11AA5D49"/>
    <w:rsid w:val="12A1516E"/>
    <w:rsid w:val="13A43840"/>
    <w:rsid w:val="1593671A"/>
    <w:rsid w:val="1595782B"/>
    <w:rsid w:val="16861E0C"/>
    <w:rsid w:val="16D4295C"/>
    <w:rsid w:val="170D17CF"/>
    <w:rsid w:val="17F07F20"/>
    <w:rsid w:val="18573427"/>
    <w:rsid w:val="187663A7"/>
    <w:rsid w:val="1A3C2DD2"/>
    <w:rsid w:val="1E730B4D"/>
    <w:rsid w:val="1ED11E43"/>
    <w:rsid w:val="1F295B17"/>
    <w:rsid w:val="1FF131F4"/>
    <w:rsid w:val="1FFA3BC8"/>
    <w:rsid w:val="210916D6"/>
    <w:rsid w:val="23FC78B3"/>
    <w:rsid w:val="245552B5"/>
    <w:rsid w:val="249370E4"/>
    <w:rsid w:val="24C715DB"/>
    <w:rsid w:val="26962EAC"/>
    <w:rsid w:val="26D546F4"/>
    <w:rsid w:val="273E356B"/>
    <w:rsid w:val="27900D22"/>
    <w:rsid w:val="2A746BC9"/>
    <w:rsid w:val="2AC37DFE"/>
    <w:rsid w:val="2BB1233D"/>
    <w:rsid w:val="2BF1214F"/>
    <w:rsid w:val="2D06796C"/>
    <w:rsid w:val="2D1F2468"/>
    <w:rsid w:val="2E680382"/>
    <w:rsid w:val="2ECF7BF1"/>
    <w:rsid w:val="2EDFE1B4"/>
    <w:rsid w:val="2F857674"/>
    <w:rsid w:val="30711B20"/>
    <w:rsid w:val="31516F37"/>
    <w:rsid w:val="31C2748D"/>
    <w:rsid w:val="31E029EE"/>
    <w:rsid w:val="327B56DF"/>
    <w:rsid w:val="327E49A2"/>
    <w:rsid w:val="34287D97"/>
    <w:rsid w:val="345A768F"/>
    <w:rsid w:val="34DA5B25"/>
    <w:rsid w:val="352B1921"/>
    <w:rsid w:val="36FBEF37"/>
    <w:rsid w:val="376B4137"/>
    <w:rsid w:val="376D3C7A"/>
    <w:rsid w:val="38136ADB"/>
    <w:rsid w:val="388E3F0A"/>
    <w:rsid w:val="38CC1583"/>
    <w:rsid w:val="38FD56AF"/>
    <w:rsid w:val="393E23D4"/>
    <w:rsid w:val="3B4F0A4D"/>
    <w:rsid w:val="3B7B7937"/>
    <w:rsid w:val="3C284F8B"/>
    <w:rsid w:val="3C35204E"/>
    <w:rsid w:val="3C6D715E"/>
    <w:rsid w:val="3DAE48D9"/>
    <w:rsid w:val="410878A2"/>
    <w:rsid w:val="42466083"/>
    <w:rsid w:val="435076E2"/>
    <w:rsid w:val="43507EC0"/>
    <w:rsid w:val="45022427"/>
    <w:rsid w:val="45A856D6"/>
    <w:rsid w:val="45AC29E0"/>
    <w:rsid w:val="45EA6757"/>
    <w:rsid w:val="46A71FCC"/>
    <w:rsid w:val="4718642D"/>
    <w:rsid w:val="4881449B"/>
    <w:rsid w:val="4889705D"/>
    <w:rsid w:val="49AD08A7"/>
    <w:rsid w:val="4A5F451E"/>
    <w:rsid w:val="4A802994"/>
    <w:rsid w:val="4B6C5D13"/>
    <w:rsid w:val="4BB0538D"/>
    <w:rsid w:val="4BBC28CB"/>
    <w:rsid w:val="4C510020"/>
    <w:rsid w:val="4D0739A9"/>
    <w:rsid w:val="4ECA4DA0"/>
    <w:rsid w:val="4F6C1761"/>
    <w:rsid w:val="4FEF2818"/>
    <w:rsid w:val="509C72EF"/>
    <w:rsid w:val="51025EB1"/>
    <w:rsid w:val="520D170E"/>
    <w:rsid w:val="531F4639"/>
    <w:rsid w:val="53381997"/>
    <w:rsid w:val="538736A4"/>
    <w:rsid w:val="53A232C2"/>
    <w:rsid w:val="548553C4"/>
    <w:rsid w:val="55123868"/>
    <w:rsid w:val="556B7BAB"/>
    <w:rsid w:val="56EE2B1B"/>
    <w:rsid w:val="57AB00D0"/>
    <w:rsid w:val="584A63CE"/>
    <w:rsid w:val="59846056"/>
    <w:rsid w:val="5A573B6A"/>
    <w:rsid w:val="5A745219"/>
    <w:rsid w:val="5E86007C"/>
    <w:rsid w:val="5ECF14AC"/>
    <w:rsid w:val="5FEAC82E"/>
    <w:rsid w:val="614A3B1F"/>
    <w:rsid w:val="626F0A1D"/>
    <w:rsid w:val="653F60A6"/>
    <w:rsid w:val="65724D97"/>
    <w:rsid w:val="6688643D"/>
    <w:rsid w:val="66994EC8"/>
    <w:rsid w:val="66EAE5F1"/>
    <w:rsid w:val="672A0C0B"/>
    <w:rsid w:val="67BFC216"/>
    <w:rsid w:val="67FE22CF"/>
    <w:rsid w:val="68544EBB"/>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annotation text"/>
    <w:basedOn w:val="1"/>
    <w:semiHidden/>
    <w:qFormat/>
    <w:uiPriority w:val="0"/>
    <w:pPr>
      <w:jc w:val="left"/>
    </w:pPr>
  </w:style>
  <w:style w:type="paragraph" w:styleId="7">
    <w:name w:val="Block Text"/>
    <w:basedOn w:val="1"/>
    <w:qFormat/>
    <w:uiPriority w:val="99"/>
    <w:pPr>
      <w:ind w:left="1171" w:right="91" w:hanging="1080"/>
    </w:pPr>
    <w:rPr>
      <w:rFonts w:eastAsia="楷体_GB2312"/>
    </w:rPr>
  </w:style>
  <w:style w:type="paragraph" w:styleId="8">
    <w:name w:val="toc 3"/>
    <w:basedOn w:val="1"/>
    <w:next w:val="1"/>
    <w:qFormat/>
    <w:uiPriority w:val="39"/>
    <w:pPr>
      <w:ind w:left="840" w:leftChars="400"/>
    </w:pPr>
  </w:style>
  <w:style w:type="paragraph" w:styleId="9">
    <w:name w:val="Plain Text"/>
    <w:basedOn w:val="1"/>
    <w:next w:val="1"/>
    <w:link w:val="39"/>
    <w:qFormat/>
    <w:uiPriority w:val="0"/>
    <w:pPr>
      <w:spacing w:line="360" w:lineRule="auto"/>
    </w:pPr>
    <w:rPr>
      <w:rFonts w:ascii="楷体_GB2312" w:hAnsi="Courier New" w:eastAsia="楷体_GB2312"/>
      <w:sz w:val="24"/>
    </w:rPr>
  </w:style>
  <w:style w:type="paragraph" w:styleId="10">
    <w:name w:val="Date"/>
    <w:basedOn w:val="1"/>
    <w:next w:val="1"/>
    <w:link w:val="42"/>
    <w:qFormat/>
    <w:uiPriority w:val="0"/>
    <w:rPr>
      <w:sz w:val="28"/>
    </w:rPr>
  </w:style>
  <w:style w:type="paragraph" w:styleId="11">
    <w:name w:val="Body Text Indent 2"/>
    <w:basedOn w:val="1"/>
    <w:qFormat/>
    <w:uiPriority w:val="0"/>
    <w:pPr>
      <w:spacing w:line="312" w:lineRule="auto"/>
      <w:ind w:firstLine="480" w:firstLineChars="200"/>
    </w:pPr>
    <w:rPr>
      <w:sz w:val="24"/>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913"/>
      </w:tabs>
      <w:ind w:firstLine="422" w:firstLineChars="200"/>
    </w:pPr>
    <w:rPr>
      <w:b/>
    </w:rPr>
  </w:style>
  <w:style w:type="paragraph" w:styleId="16">
    <w:name w:val="toc 2"/>
    <w:basedOn w:val="1"/>
    <w:next w:val="1"/>
    <w:qFormat/>
    <w:uiPriority w:val="39"/>
    <w:pPr>
      <w:tabs>
        <w:tab w:val="left" w:pos="941"/>
        <w:tab w:val="right" w:leader="dot" w:pos="9923"/>
      </w:tabs>
      <w:ind w:left="420" w:leftChars="200" w:right="283" w:rightChars="135"/>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annotation subject"/>
    <w:basedOn w:val="6"/>
    <w:next w:val="6"/>
    <w:semiHidden/>
    <w:qFormat/>
    <w:uiPriority w:val="0"/>
    <w:rPr>
      <w:b/>
      <w:bCs/>
    </w:rPr>
  </w:style>
  <w:style w:type="paragraph" w:styleId="19">
    <w:name w:val="Body Text First Indent"/>
    <w:basedOn w:val="2"/>
    <w:next w:val="1"/>
    <w:unhideWhenUsed/>
    <w:qFormat/>
    <w:uiPriority w:val="99"/>
    <w:pPr>
      <w:tabs>
        <w:tab w:val="left" w:pos="567"/>
      </w:tabs>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字符"/>
    <w:link w:val="9"/>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字符"/>
    <w:basedOn w:val="22"/>
    <w:link w:val="10"/>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字符"/>
    <w:link w:val="3"/>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51</Pages>
  <Words>4635</Words>
  <Characters>26421</Characters>
  <Lines>220</Lines>
  <Paragraphs>61</Paragraphs>
  <TotalTime>63</TotalTime>
  <ScaleCrop>false</ScaleCrop>
  <LinksUpToDate>false</LinksUpToDate>
  <CharactersWithSpaces>30995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2023-10-27T05:40:00Z</dcterms:created>
  <dc:creator>hxw</dc:creator>
  <cp:lastModifiedBy>任沛菘</cp:lastModifiedBy>
  <cp:lastPrinted>2015-03-09T09:41:00Z</cp:lastPrinted>
  <dcterms:modified xsi:type="dcterms:W3CDTF">2024-05-08T01:45:38Z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334D9F5BB7E44D9B9F69C197C790E079</vt:lpwstr>
  </property>
</Properties>
</file>