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工</w:t>
      </w:r>
      <w:bookmarkStart w:id="2" w:name="_GoBack"/>
      <w:bookmarkEnd w:id="2"/>
      <w:r>
        <w:rPr>
          <w:rFonts w:hint="eastAsia" w:ascii="仿宋" w:hAnsi="仿宋" w:eastAsia="仿宋"/>
          <w:color w:val="auto"/>
          <w:sz w:val="28"/>
          <w:szCs w:val="28"/>
          <w:highlight w:val="none"/>
        </w:rPr>
        <w:t>程清单</w:t>
      </w:r>
    </w:p>
    <w:tbl>
      <w:tblPr>
        <w:tblStyle w:val="3"/>
        <w:tblW w:w="8864" w:type="dxa"/>
        <w:tblInd w:w="94" w:type="dxa"/>
        <w:tblLayout w:type="autofit"/>
        <w:tblCellMar>
          <w:top w:w="0" w:type="dxa"/>
          <w:left w:w="108" w:type="dxa"/>
          <w:bottom w:w="0" w:type="dxa"/>
          <w:right w:w="108" w:type="dxa"/>
        </w:tblCellMar>
      </w:tblPr>
      <w:tblGrid>
        <w:gridCol w:w="488"/>
        <w:gridCol w:w="1395"/>
        <w:gridCol w:w="1378"/>
        <w:gridCol w:w="1705"/>
        <w:gridCol w:w="560"/>
        <w:gridCol w:w="1055"/>
        <w:gridCol w:w="534"/>
        <w:gridCol w:w="708"/>
        <w:gridCol w:w="1041"/>
      </w:tblGrid>
      <w:tr>
        <w:tblPrEx>
          <w:tblCellMar>
            <w:top w:w="0" w:type="dxa"/>
            <w:left w:w="108" w:type="dxa"/>
            <w:bottom w:w="0" w:type="dxa"/>
            <w:right w:w="108" w:type="dxa"/>
          </w:tblCellMar>
        </w:tblPrEx>
        <w:trPr>
          <w:trHeight w:val="1020" w:hRule="atLeast"/>
        </w:trPr>
        <w:tc>
          <w:tcPr>
            <w:tcW w:w="8864" w:type="dxa"/>
            <w:gridSpan w:val="9"/>
            <w:tcBorders>
              <w:top w:val="nil"/>
              <w:left w:val="nil"/>
              <w:bottom w:val="nil"/>
              <w:right w:val="nil"/>
            </w:tcBorders>
            <w:noWrap/>
            <w:vAlign w:val="center"/>
          </w:tcPr>
          <w:p>
            <w:pPr>
              <w:widowControl/>
              <w:jc w:val="center"/>
              <w:rPr>
                <w:rFonts w:ascii="仿宋" w:hAnsi="仿宋" w:eastAsia="仿宋" w:cs="Arial"/>
                <w:color w:val="auto"/>
                <w:kern w:val="0"/>
                <w:sz w:val="40"/>
                <w:szCs w:val="40"/>
                <w:highlight w:val="none"/>
              </w:rPr>
            </w:pPr>
            <w:r>
              <w:rPr>
                <w:rFonts w:hint="eastAsia" w:ascii="仿宋" w:hAnsi="仿宋" w:eastAsia="仿宋" w:cs="Arial"/>
                <w:color w:val="auto"/>
                <w:kern w:val="0"/>
                <w:sz w:val="40"/>
                <w:szCs w:val="40"/>
                <w:highlight w:val="none"/>
              </w:rPr>
              <w:t>分部分项工程和单价措施项目清单与计价表</w:t>
            </w:r>
          </w:p>
        </w:tc>
      </w:tr>
      <w:tr>
        <w:tblPrEx>
          <w:tblCellMar>
            <w:top w:w="0" w:type="dxa"/>
            <w:left w:w="108" w:type="dxa"/>
            <w:bottom w:w="0" w:type="dxa"/>
            <w:right w:w="108" w:type="dxa"/>
          </w:tblCellMar>
        </w:tblPrEx>
        <w:trPr>
          <w:trHeight w:val="405" w:hRule="atLeast"/>
        </w:trPr>
        <w:tc>
          <w:tcPr>
            <w:tcW w:w="7115" w:type="dxa"/>
            <w:gridSpan w:val="7"/>
            <w:tcBorders>
              <w:top w:val="nil"/>
              <w:left w:val="nil"/>
              <w:bottom w:val="single" w:color="000000" w:sz="4" w:space="0"/>
              <w:right w:val="nil"/>
            </w:tcBorders>
            <w:noWrap w:val="0"/>
            <w:vAlign w:val="center"/>
          </w:tcPr>
          <w:p>
            <w:pPr>
              <w:widowControl/>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工程名称：第五教学楼集中维修  标段：</w:t>
            </w:r>
          </w:p>
        </w:tc>
        <w:tc>
          <w:tcPr>
            <w:tcW w:w="1749" w:type="dxa"/>
            <w:gridSpan w:val="2"/>
            <w:tcBorders>
              <w:top w:val="nil"/>
              <w:left w:val="nil"/>
              <w:bottom w:val="single" w:color="000000" w:sz="4" w:space="0"/>
              <w:right w:val="nil"/>
            </w:tcBorders>
            <w:noWrap/>
            <w:vAlign w:val="center"/>
          </w:tcPr>
          <w:p>
            <w:pPr>
              <w:widowControl/>
              <w:jc w:val="righ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第1页  共4页</w:t>
            </w:r>
          </w:p>
        </w:tc>
      </w:tr>
      <w:tr>
        <w:tblPrEx>
          <w:tblCellMar>
            <w:top w:w="0" w:type="dxa"/>
            <w:left w:w="108" w:type="dxa"/>
            <w:bottom w:w="0" w:type="dxa"/>
            <w:right w:w="108" w:type="dxa"/>
          </w:tblCellMar>
        </w:tblPrEx>
        <w:trPr>
          <w:trHeight w:val="405" w:hRule="atLeast"/>
        </w:trPr>
        <w:tc>
          <w:tcPr>
            <w:tcW w:w="488" w:type="dxa"/>
            <w:vMerge w:val="restart"/>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序号</w:t>
            </w:r>
          </w:p>
        </w:tc>
        <w:tc>
          <w:tcPr>
            <w:tcW w:w="1395"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项目编码</w:t>
            </w:r>
          </w:p>
        </w:tc>
        <w:tc>
          <w:tcPr>
            <w:tcW w:w="1378"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项目名称</w:t>
            </w:r>
          </w:p>
        </w:tc>
        <w:tc>
          <w:tcPr>
            <w:tcW w:w="1705"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项目特征描述</w:t>
            </w:r>
          </w:p>
        </w:tc>
        <w:tc>
          <w:tcPr>
            <w:tcW w:w="56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计量</w:t>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t>单位</w:t>
            </w:r>
          </w:p>
        </w:tc>
        <w:tc>
          <w:tcPr>
            <w:tcW w:w="1055"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工程量</w:t>
            </w:r>
          </w:p>
        </w:tc>
        <w:tc>
          <w:tcPr>
            <w:tcW w:w="2283" w:type="dxa"/>
            <w:gridSpan w:val="3"/>
            <w:tcBorders>
              <w:top w:val="single" w:color="000000" w:sz="4" w:space="0"/>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金额(元)</w:t>
            </w:r>
          </w:p>
        </w:tc>
      </w:tr>
      <w:tr>
        <w:tblPrEx>
          <w:tblCellMar>
            <w:top w:w="0" w:type="dxa"/>
            <w:left w:w="108" w:type="dxa"/>
            <w:bottom w:w="0" w:type="dxa"/>
            <w:right w:w="108" w:type="dxa"/>
          </w:tblCellMar>
        </w:tblPrEx>
        <w:trPr>
          <w:trHeight w:val="450" w:hRule="atLeast"/>
        </w:trPr>
        <w:tc>
          <w:tcPr>
            <w:tcW w:w="488" w:type="dxa"/>
            <w:vMerge w:val="continue"/>
            <w:tcBorders>
              <w:top w:val="nil"/>
              <w:left w:val="single" w:color="auto"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139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137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170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56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105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534" w:type="dxa"/>
            <w:tcBorders>
              <w:top w:val="nil"/>
              <w:left w:val="nil"/>
              <w:bottom w:val="single" w:color="000000" w:sz="4" w:space="0"/>
              <w:right w:val="single" w:color="000000" w:sz="4" w:space="0"/>
            </w:tcBorders>
            <w:noWrap w:val="0"/>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综合</w:t>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t>单价</w:t>
            </w:r>
          </w:p>
        </w:tc>
        <w:tc>
          <w:tcPr>
            <w:tcW w:w="708"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合价</w:t>
            </w:r>
          </w:p>
        </w:tc>
        <w:tc>
          <w:tcPr>
            <w:tcW w:w="1041" w:type="dxa"/>
            <w:tcBorders>
              <w:top w:val="nil"/>
              <w:left w:val="nil"/>
              <w:bottom w:val="single" w:color="000000" w:sz="4" w:space="0"/>
              <w:right w:val="single" w:color="000000" w:sz="4" w:space="0"/>
            </w:tcBorders>
            <w:noWrap w:val="0"/>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其中</w:t>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t>暂估价</w:t>
            </w:r>
          </w:p>
        </w:tc>
      </w:tr>
      <w:tr>
        <w:tblPrEx>
          <w:tblCellMar>
            <w:top w:w="0" w:type="dxa"/>
            <w:left w:w="108" w:type="dxa"/>
            <w:bottom w:w="0" w:type="dxa"/>
            <w:right w:w="108" w:type="dxa"/>
          </w:tblCellMar>
        </w:tblPrEx>
        <w:trPr>
          <w:trHeight w:val="4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分部分项工程费</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10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011608001001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铲除油漆面</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1.铲除油漆涂料裱糊面 抹灰面油漆涂料;</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14000.000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10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011608001002</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铲除油漆面</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1.铲除油漆涂料裱糊面 抹灰面真石漆涂料;</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6060.000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3</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011605001001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平面块料拆除</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1.块料面层铲除 楼地面 石材面;</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320.000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4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4</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011612001001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管道拆除</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1.桥架拆除;</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1200.000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5</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011610002001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金属门窗拆除</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1.门窗拆除 钢门窗;</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樘</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185.000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6</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011613001001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灯具拆除</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1.一般灯具拆除 暗开关;</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套</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1750.000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7</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011605001002</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平面块料拆除</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1.块料面层铲除 楼地面 地面砖;</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230.000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8</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011612001003</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管道拆除</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1.塑料管拆除(mm) φ100以外;</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260.000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9</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011613001002</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灯具拆除</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1.一般灯具拆除 吸顶灯;</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套</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120.000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10</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011405001001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金属面油漆</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1.金属面 红丹防锈漆一遍;</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94.340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11</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011607002001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防水层拆除</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1.屋面拆除 卷材防水层;</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231.840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12</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011604001001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平面隔热层拆除</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1.屋面铲除 水泥面层 隔热层;</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25.230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13</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011406001001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抹灰面油漆</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1.乳胶漆 室内 墙面 二遍;</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28000.000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14</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010903002001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墙面涂膜防水</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1.聚氨酯防水涂膜 2mm厚 立面;</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6060.000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45" w:hRule="atLeast"/>
        </w:trPr>
        <w:tc>
          <w:tcPr>
            <w:tcW w:w="488"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1395"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1378"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1705"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560"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1055"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534"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708"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1041"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r>
      <w:tr>
        <w:tblPrEx>
          <w:tblCellMar>
            <w:top w:w="0" w:type="dxa"/>
            <w:left w:w="108" w:type="dxa"/>
            <w:bottom w:w="0" w:type="dxa"/>
            <w:right w:w="108" w:type="dxa"/>
          </w:tblCellMar>
        </w:tblPrEx>
        <w:trPr>
          <w:trHeight w:val="1020" w:hRule="atLeast"/>
        </w:trPr>
        <w:tc>
          <w:tcPr>
            <w:tcW w:w="8864" w:type="dxa"/>
            <w:gridSpan w:val="9"/>
            <w:tcBorders>
              <w:top w:val="nil"/>
              <w:left w:val="nil"/>
              <w:bottom w:val="nil"/>
              <w:right w:val="nil"/>
            </w:tcBorders>
            <w:noWrap/>
            <w:vAlign w:val="center"/>
          </w:tcPr>
          <w:p>
            <w:pPr>
              <w:widowControl/>
              <w:jc w:val="center"/>
              <w:rPr>
                <w:rFonts w:ascii="仿宋" w:hAnsi="仿宋" w:eastAsia="仿宋" w:cs="Arial"/>
                <w:color w:val="auto"/>
                <w:kern w:val="0"/>
                <w:sz w:val="40"/>
                <w:szCs w:val="40"/>
                <w:highlight w:val="none"/>
              </w:rPr>
            </w:pPr>
            <w:r>
              <w:rPr>
                <w:rFonts w:hint="eastAsia" w:ascii="仿宋" w:hAnsi="仿宋" w:eastAsia="仿宋" w:cs="Arial"/>
                <w:color w:val="auto"/>
                <w:kern w:val="0"/>
                <w:sz w:val="40"/>
                <w:szCs w:val="40"/>
                <w:highlight w:val="none"/>
              </w:rPr>
              <w:t>分部分项工程和单价措施项目清单与计价表</w:t>
            </w:r>
          </w:p>
        </w:tc>
      </w:tr>
      <w:tr>
        <w:tblPrEx>
          <w:tblCellMar>
            <w:top w:w="0" w:type="dxa"/>
            <w:left w:w="108" w:type="dxa"/>
            <w:bottom w:w="0" w:type="dxa"/>
            <w:right w:w="108" w:type="dxa"/>
          </w:tblCellMar>
        </w:tblPrEx>
        <w:trPr>
          <w:trHeight w:val="405" w:hRule="atLeast"/>
        </w:trPr>
        <w:tc>
          <w:tcPr>
            <w:tcW w:w="7115" w:type="dxa"/>
            <w:gridSpan w:val="7"/>
            <w:tcBorders>
              <w:top w:val="nil"/>
              <w:left w:val="nil"/>
              <w:bottom w:val="single" w:color="000000" w:sz="4" w:space="0"/>
              <w:right w:val="nil"/>
            </w:tcBorders>
            <w:noWrap w:val="0"/>
            <w:vAlign w:val="center"/>
          </w:tcPr>
          <w:p>
            <w:pPr>
              <w:widowControl/>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工程名称：第五教学楼集中维修  标段：</w:t>
            </w:r>
          </w:p>
        </w:tc>
        <w:tc>
          <w:tcPr>
            <w:tcW w:w="1749" w:type="dxa"/>
            <w:gridSpan w:val="2"/>
            <w:tcBorders>
              <w:top w:val="nil"/>
              <w:left w:val="nil"/>
              <w:bottom w:val="single" w:color="000000" w:sz="4" w:space="0"/>
              <w:right w:val="nil"/>
            </w:tcBorders>
            <w:noWrap/>
            <w:vAlign w:val="center"/>
          </w:tcPr>
          <w:p>
            <w:pPr>
              <w:widowControl/>
              <w:jc w:val="righ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第2页  共4页</w:t>
            </w:r>
          </w:p>
        </w:tc>
      </w:tr>
      <w:tr>
        <w:tblPrEx>
          <w:tblCellMar>
            <w:top w:w="0" w:type="dxa"/>
            <w:left w:w="108" w:type="dxa"/>
            <w:bottom w:w="0" w:type="dxa"/>
            <w:right w:w="108" w:type="dxa"/>
          </w:tblCellMar>
        </w:tblPrEx>
        <w:trPr>
          <w:trHeight w:val="405" w:hRule="atLeast"/>
        </w:trPr>
        <w:tc>
          <w:tcPr>
            <w:tcW w:w="488" w:type="dxa"/>
            <w:vMerge w:val="restart"/>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序号</w:t>
            </w:r>
          </w:p>
        </w:tc>
        <w:tc>
          <w:tcPr>
            <w:tcW w:w="1395"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项目编码</w:t>
            </w:r>
          </w:p>
        </w:tc>
        <w:tc>
          <w:tcPr>
            <w:tcW w:w="1378"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项目名称</w:t>
            </w:r>
          </w:p>
        </w:tc>
        <w:tc>
          <w:tcPr>
            <w:tcW w:w="1705"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项目特征描述</w:t>
            </w:r>
          </w:p>
        </w:tc>
        <w:tc>
          <w:tcPr>
            <w:tcW w:w="56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计量</w:t>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t>单位</w:t>
            </w:r>
          </w:p>
        </w:tc>
        <w:tc>
          <w:tcPr>
            <w:tcW w:w="1055"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工程量</w:t>
            </w:r>
          </w:p>
        </w:tc>
        <w:tc>
          <w:tcPr>
            <w:tcW w:w="2283" w:type="dxa"/>
            <w:gridSpan w:val="3"/>
            <w:tcBorders>
              <w:top w:val="single" w:color="000000" w:sz="4" w:space="0"/>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金额(元)</w:t>
            </w:r>
          </w:p>
        </w:tc>
      </w:tr>
      <w:tr>
        <w:tblPrEx>
          <w:tblCellMar>
            <w:top w:w="0" w:type="dxa"/>
            <w:left w:w="108" w:type="dxa"/>
            <w:bottom w:w="0" w:type="dxa"/>
            <w:right w:w="108" w:type="dxa"/>
          </w:tblCellMar>
        </w:tblPrEx>
        <w:trPr>
          <w:trHeight w:val="450" w:hRule="atLeast"/>
        </w:trPr>
        <w:tc>
          <w:tcPr>
            <w:tcW w:w="488" w:type="dxa"/>
            <w:vMerge w:val="continue"/>
            <w:tcBorders>
              <w:top w:val="nil"/>
              <w:left w:val="single" w:color="auto"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139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137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170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56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105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534" w:type="dxa"/>
            <w:tcBorders>
              <w:top w:val="nil"/>
              <w:left w:val="nil"/>
              <w:bottom w:val="single" w:color="000000" w:sz="4" w:space="0"/>
              <w:right w:val="single" w:color="000000" w:sz="4" w:space="0"/>
            </w:tcBorders>
            <w:noWrap w:val="0"/>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综合</w:t>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t>单价</w:t>
            </w:r>
          </w:p>
        </w:tc>
        <w:tc>
          <w:tcPr>
            <w:tcW w:w="708"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合价</w:t>
            </w:r>
          </w:p>
        </w:tc>
        <w:tc>
          <w:tcPr>
            <w:tcW w:w="1041" w:type="dxa"/>
            <w:tcBorders>
              <w:top w:val="nil"/>
              <w:left w:val="nil"/>
              <w:bottom w:val="single" w:color="000000" w:sz="4" w:space="0"/>
              <w:right w:val="single" w:color="000000" w:sz="4" w:space="0"/>
            </w:tcBorders>
            <w:noWrap w:val="0"/>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其中</w:t>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t>暂估价</w:t>
            </w:r>
          </w:p>
        </w:tc>
      </w:tr>
      <w:tr>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15</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011406001002</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抹灰面油漆</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1.乳胶漆 室外 墙面 二遍;</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6060.000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10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16</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011102001001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石材楼地面</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1.块料面层 石材楼地面(每块面积) 0.36m2以内;</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320.000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17</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030411003001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桥架</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1.钢制槽式桥架(宽+高mm) ≤400;</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1200.000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4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18</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030411006001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开关</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1.明装普通开关;</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个</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250.000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19</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030411006002</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七孔插座</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1.明装普通七孔插座;</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个</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1500.000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rPr>
          <w:trHeight w:val="4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20</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010802004001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防盗门</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1.钢质防盗门安装;</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388.500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21</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011102003001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块料楼地面</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1.块料面层 陶瓷地面砖 0.36m2以内;</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230.000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10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22</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011701002001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外脚手架</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1.外脚手架 15m以内 单排~ 换:其他费补差;</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28000.000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4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23</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铝合金窗加固</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项</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4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24</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空调排水管调整</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项</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10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25</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030412001001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普通灯具</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1.声光控吸顶灯具安装 灯罩周长(mm) ≤800;</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套</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120.000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10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26</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031001006001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塑料管</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1.室外塑料排水管(粘接) 公称外径(110mm以内);</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260.000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27</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011405001002</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金属面油漆</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1.金属面 调和漆二遍;</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94.340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4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28</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焊接人工</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个</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10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29</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010902001002</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屋面卷材防水</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1.3mm厚聚酯胎弹性体SBS卷材 热熔法一层 平面;</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94.340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rPr>
          <w:trHeight w:val="45" w:hRule="atLeast"/>
        </w:trPr>
        <w:tc>
          <w:tcPr>
            <w:tcW w:w="488"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1395"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1378"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1705"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560"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1055"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534"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708"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1041"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r>
      <w:tr>
        <w:tblPrEx>
          <w:tblCellMar>
            <w:top w:w="0" w:type="dxa"/>
            <w:left w:w="108" w:type="dxa"/>
            <w:bottom w:w="0" w:type="dxa"/>
            <w:right w:w="108" w:type="dxa"/>
          </w:tblCellMar>
        </w:tblPrEx>
        <w:trPr>
          <w:trHeight w:val="1020" w:hRule="atLeast"/>
        </w:trPr>
        <w:tc>
          <w:tcPr>
            <w:tcW w:w="8864" w:type="dxa"/>
            <w:gridSpan w:val="9"/>
            <w:tcBorders>
              <w:top w:val="nil"/>
              <w:left w:val="nil"/>
              <w:bottom w:val="nil"/>
              <w:right w:val="nil"/>
            </w:tcBorders>
            <w:noWrap/>
            <w:vAlign w:val="center"/>
          </w:tcPr>
          <w:p>
            <w:pPr>
              <w:widowControl/>
              <w:jc w:val="center"/>
              <w:rPr>
                <w:rFonts w:ascii="仿宋" w:hAnsi="仿宋" w:eastAsia="仿宋" w:cs="Arial"/>
                <w:color w:val="auto"/>
                <w:kern w:val="0"/>
                <w:sz w:val="40"/>
                <w:szCs w:val="40"/>
                <w:highlight w:val="none"/>
              </w:rPr>
            </w:pPr>
            <w:r>
              <w:rPr>
                <w:rFonts w:hint="eastAsia" w:ascii="仿宋" w:hAnsi="仿宋" w:eastAsia="仿宋" w:cs="Arial"/>
                <w:color w:val="auto"/>
                <w:kern w:val="0"/>
                <w:sz w:val="40"/>
                <w:szCs w:val="40"/>
                <w:highlight w:val="none"/>
              </w:rPr>
              <w:t>分部分项工程和单价措施项目清单与计价表</w:t>
            </w:r>
          </w:p>
        </w:tc>
      </w:tr>
      <w:tr>
        <w:tblPrEx>
          <w:tblCellMar>
            <w:top w:w="0" w:type="dxa"/>
            <w:left w:w="108" w:type="dxa"/>
            <w:bottom w:w="0" w:type="dxa"/>
            <w:right w:w="108" w:type="dxa"/>
          </w:tblCellMar>
        </w:tblPrEx>
        <w:trPr>
          <w:trHeight w:val="405" w:hRule="atLeast"/>
        </w:trPr>
        <w:tc>
          <w:tcPr>
            <w:tcW w:w="7115" w:type="dxa"/>
            <w:gridSpan w:val="7"/>
            <w:tcBorders>
              <w:top w:val="nil"/>
              <w:left w:val="nil"/>
              <w:bottom w:val="single" w:color="000000" w:sz="4" w:space="0"/>
              <w:right w:val="nil"/>
            </w:tcBorders>
            <w:noWrap w:val="0"/>
            <w:vAlign w:val="center"/>
          </w:tcPr>
          <w:p>
            <w:pPr>
              <w:widowControl/>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工程名称：第五教学楼集中维修  标段：</w:t>
            </w:r>
          </w:p>
        </w:tc>
        <w:tc>
          <w:tcPr>
            <w:tcW w:w="1749" w:type="dxa"/>
            <w:gridSpan w:val="2"/>
            <w:tcBorders>
              <w:top w:val="nil"/>
              <w:left w:val="nil"/>
              <w:bottom w:val="single" w:color="000000" w:sz="4" w:space="0"/>
              <w:right w:val="nil"/>
            </w:tcBorders>
            <w:noWrap/>
            <w:vAlign w:val="center"/>
          </w:tcPr>
          <w:p>
            <w:pPr>
              <w:widowControl/>
              <w:jc w:val="righ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第3页  共4页</w:t>
            </w:r>
          </w:p>
        </w:tc>
      </w:tr>
      <w:tr>
        <w:tblPrEx>
          <w:tblCellMar>
            <w:top w:w="0" w:type="dxa"/>
            <w:left w:w="108" w:type="dxa"/>
            <w:bottom w:w="0" w:type="dxa"/>
            <w:right w:w="108" w:type="dxa"/>
          </w:tblCellMar>
        </w:tblPrEx>
        <w:trPr>
          <w:trHeight w:val="405" w:hRule="atLeast"/>
        </w:trPr>
        <w:tc>
          <w:tcPr>
            <w:tcW w:w="488" w:type="dxa"/>
            <w:vMerge w:val="restart"/>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序号</w:t>
            </w:r>
          </w:p>
        </w:tc>
        <w:tc>
          <w:tcPr>
            <w:tcW w:w="1395"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项目编码</w:t>
            </w:r>
          </w:p>
        </w:tc>
        <w:tc>
          <w:tcPr>
            <w:tcW w:w="1378"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项目名称</w:t>
            </w:r>
          </w:p>
        </w:tc>
        <w:tc>
          <w:tcPr>
            <w:tcW w:w="1705"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项目特征描述</w:t>
            </w:r>
          </w:p>
        </w:tc>
        <w:tc>
          <w:tcPr>
            <w:tcW w:w="56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计量</w:t>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t>单位</w:t>
            </w:r>
          </w:p>
        </w:tc>
        <w:tc>
          <w:tcPr>
            <w:tcW w:w="1055"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工程量</w:t>
            </w:r>
          </w:p>
        </w:tc>
        <w:tc>
          <w:tcPr>
            <w:tcW w:w="2283" w:type="dxa"/>
            <w:gridSpan w:val="3"/>
            <w:tcBorders>
              <w:top w:val="single" w:color="000000" w:sz="4" w:space="0"/>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金额(元)</w:t>
            </w:r>
          </w:p>
        </w:tc>
      </w:tr>
      <w:tr>
        <w:tblPrEx>
          <w:tblCellMar>
            <w:top w:w="0" w:type="dxa"/>
            <w:left w:w="108" w:type="dxa"/>
            <w:bottom w:w="0" w:type="dxa"/>
            <w:right w:w="108" w:type="dxa"/>
          </w:tblCellMar>
        </w:tblPrEx>
        <w:trPr>
          <w:trHeight w:val="450" w:hRule="atLeast"/>
        </w:trPr>
        <w:tc>
          <w:tcPr>
            <w:tcW w:w="488" w:type="dxa"/>
            <w:vMerge w:val="continue"/>
            <w:tcBorders>
              <w:top w:val="nil"/>
              <w:left w:val="single" w:color="auto"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139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137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170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56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105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534" w:type="dxa"/>
            <w:tcBorders>
              <w:top w:val="nil"/>
              <w:left w:val="nil"/>
              <w:bottom w:val="single" w:color="000000" w:sz="4" w:space="0"/>
              <w:right w:val="single" w:color="000000" w:sz="4" w:space="0"/>
            </w:tcBorders>
            <w:noWrap w:val="0"/>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综合</w:t>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t>单价</w:t>
            </w:r>
          </w:p>
        </w:tc>
        <w:tc>
          <w:tcPr>
            <w:tcW w:w="708"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合价</w:t>
            </w:r>
          </w:p>
        </w:tc>
        <w:tc>
          <w:tcPr>
            <w:tcW w:w="1041" w:type="dxa"/>
            <w:tcBorders>
              <w:top w:val="nil"/>
              <w:left w:val="nil"/>
              <w:bottom w:val="single" w:color="000000" w:sz="4" w:space="0"/>
              <w:right w:val="single" w:color="000000" w:sz="4" w:space="0"/>
            </w:tcBorders>
            <w:noWrap w:val="0"/>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其中</w:t>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t>暂估价</w:t>
            </w:r>
          </w:p>
        </w:tc>
      </w:tr>
      <w:tr>
        <w:tblPrEx>
          <w:tblCellMar>
            <w:top w:w="0" w:type="dxa"/>
            <w:left w:w="108" w:type="dxa"/>
            <w:bottom w:w="0" w:type="dxa"/>
            <w:right w:w="108" w:type="dxa"/>
          </w:tblCellMar>
        </w:tblPrEx>
        <w:trPr>
          <w:trHeight w:val="10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30</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011101001001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水泥砂浆楼地面</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1.水泥砂浆楼地面 混凝土或硬基层上 20mm;</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231.840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31</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010902002001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屋面涂膜防水</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1JS防水涂膜 2mm厚 平面;</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231.840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10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32</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011001001001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保温隔热屋面</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1.屋面 干铺高密度隔热挤塑板 厚度(50mm);</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201.840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4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33</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010607005001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钢丝网加固</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1.挂钢丝网;</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201.840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34</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010505002001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无梁板</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1.现浇混凝土 无梁板;</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m3</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10.100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13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35</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030411001001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配管</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1.塑料管敷设 刚性阻燃管敷设 砖、混凝土结构暗配 外径(50mm);</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35.000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10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36</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010902001003</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屋面卷材防水</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1.3mm厚聚酯胎弹性体SBS卷材 热熔法一层 平面;</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201.840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22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37</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011101005001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自流坪楼地面</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1.环氧自流平防腐地面 底漆一遍;</w:t>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t>2.环氧自流平防腐地面 中间层(刮腻子);</w:t>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t>3.环氧自流平防腐地面 面漆一遍;</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615.420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25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38</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010103002001</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余方弃置</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1.人工装车 石渣;</w:t>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t>2.人工运石渣 运距≤20m;</w:t>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t>3.自卸汽车运土方 运距≤1km~运距(km):5;</w:t>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t>4.自卸汽车运土方 每增运1km;</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m3</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16.000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45" w:hRule="atLeast"/>
        </w:trPr>
        <w:tc>
          <w:tcPr>
            <w:tcW w:w="488"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1395"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1378"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1705"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560"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1055"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534"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708"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c>
          <w:tcPr>
            <w:tcW w:w="1041" w:type="dxa"/>
            <w:tcBorders>
              <w:top w:val="nil"/>
              <w:left w:val="nil"/>
              <w:bottom w:val="nil"/>
              <w:right w:val="nil"/>
            </w:tcBorders>
            <w:noWrap/>
            <w:vAlign w:val="bottom"/>
          </w:tcPr>
          <w:p>
            <w:pPr>
              <w:widowControl/>
              <w:jc w:val="left"/>
              <w:rPr>
                <w:rFonts w:ascii="仿宋" w:hAnsi="仿宋" w:eastAsia="仿宋" w:cs="Arial"/>
                <w:color w:val="auto"/>
                <w:kern w:val="0"/>
                <w:sz w:val="18"/>
                <w:szCs w:val="18"/>
                <w:highlight w:val="none"/>
              </w:rPr>
            </w:pPr>
          </w:p>
        </w:tc>
      </w:tr>
      <w:tr>
        <w:tblPrEx>
          <w:tblCellMar>
            <w:top w:w="0" w:type="dxa"/>
            <w:left w:w="108" w:type="dxa"/>
            <w:bottom w:w="0" w:type="dxa"/>
            <w:right w:w="108" w:type="dxa"/>
          </w:tblCellMar>
        </w:tblPrEx>
        <w:trPr>
          <w:trHeight w:val="1020" w:hRule="atLeast"/>
        </w:trPr>
        <w:tc>
          <w:tcPr>
            <w:tcW w:w="8864" w:type="dxa"/>
            <w:gridSpan w:val="9"/>
            <w:tcBorders>
              <w:top w:val="nil"/>
              <w:left w:val="nil"/>
              <w:bottom w:val="nil"/>
              <w:right w:val="nil"/>
            </w:tcBorders>
            <w:noWrap/>
            <w:vAlign w:val="center"/>
          </w:tcPr>
          <w:p>
            <w:pPr>
              <w:widowControl/>
              <w:jc w:val="center"/>
              <w:rPr>
                <w:rFonts w:ascii="仿宋" w:hAnsi="仿宋" w:eastAsia="仿宋" w:cs="Arial"/>
                <w:color w:val="auto"/>
                <w:kern w:val="0"/>
                <w:sz w:val="40"/>
                <w:szCs w:val="40"/>
                <w:highlight w:val="none"/>
              </w:rPr>
            </w:pPr>
            <w:r>
              <w:rPr>
                <w:rFonts w:hint="eastAsia" w:ascii="仿宋" w:hAnsi="仿宋" w:eastAsia="仿宋" w:cs="Arial"/>
                <w:color w:val="auto"/>
                <w:kern w:val="0"/>
                <w:sz w:val="40"/>
                <w:szCs w:val="40"/>
                <w:highlight w:val="none"/>
              </w:rPr>
              <w:t>分部分项工程和单价措施项目清单与计价表</w:t>
            </w:r>
          </w:p>
        </w:tc>
      </w:tr>
      <w:tr>
        <w:tblPrEx>
          <w:tblCellMar>
            <w:top w:w="0" w:type="dxa"/>
            <w:left w:w="108" w:type="dxa"/>
            <w:bottom w:w="0" w:type="dxa"/>
            <w:right w:w="108" w:type="dxa"/>
          </w:tblCellMar>
        </w:tblPrEx>
        <w:trPr>
          <w:trHeight w:val="405" w:hRule="atLeast"/>
        </w:trPr>
        <w:tc>
          <w:tcPr>
            <w:tcW w:w="7115" w:type="dxa"/>
            <w:gridSpan w:val="7"/>
            <w:tcBorders>
              <w:top w:val="nil"/>
              <w:left w:val="nil"/>
              <w:bottom w:val="single" w:color="000000" w:sz="4" w:space="0"/>
              <w:right w:val="nil"/>
            </w:tcBorders>
            <w:noWrap w:val="0"/>
            <w:vAlign w:val="center"/>
          </w:tcPr>
          <w:p>
            <w:pPr>
              <w:widowControl/>
              <w:jc w:val="lef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工程名称：第五教学楼集中维修  标段：</w:t>
            </w:r>
          </w:p>
        </w:tc>
        <w:tc>
          <w:tcPr>
            <w:tcW w:w="1749" w:type="dxa"/>
            <w:gridSpan w:val="2"/>
            <w:tcBorders>
              <w:top w:val="nil"/>
              <w:left w:val="nil"/>
              <w:bottom w:val="single" w:color="000000" w:sz="4" w:space="0"/>
              <w:right w:val="nil"/>
            </w:tcBorders>
            <w:noWrap/>
            <w:vAlign w:val="center"/>
          </w:tcPr>
          <w:p>
            <w:pPr>
              <w:widowControl/>
              <w:jc w:val="right"/>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第4页  共4页</w:t>
            </w:r>
          </w:p>
        </w:tc>
      </w:tr>
      <w:tr>
        <w:tblPrEx>
          <w:tblCellMar>
            <w:top w:w="0" w:type="dxa"/>
            <w:left w:w="108" w:type="dxa"/>
            <w:bottom w:w="0" w:type="dxa"/>
            <w:right w:w="108" w:type="dxa"/>
          </w:tblCellMar>
        </w:tblPrEx>
        <w:trPr>
          <w:trHeight w:val="405" w:hRule="atLeast"/>
        </w:trPr>
        <w:tc>
          <w:tcPr>
            <w:tcW w:w="488" w:type="dxa"/>
            <w:vMerge w:val="restart"/>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序号</w:t>
            </w:r>
          </w:p>
        </w:tc>
        <w:tc>
          <w:tcPr>
            <w:tcW w:w="1395"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项目编码</w:t>
            </w:r>
          </w:p>
        </w:tc>
        <w:tc>
          <w:tcPr>
            <w:tcW w:w="1378"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项目名称</w:t>
            </w:r>
          </w:p>
        </w:tc>
        <w:tc>
          <w:tcPr>
            <w:tcW w:w="1705"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项目特征描述</w:t>
            </w:r>
          </w:p>
        </w:tc>
        <w:tc>
          <w:tcPr>
            <w:tcW w:w="56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计量</w:t>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t>单位</w:t>
            </w:r>
          </w:p>
        </w:tc>
        <w:tc>
          <w:tcPr>
            <w:tcW w:w="1055" w:type="dxa"/>
            <w:vMerge w:val="restart"/>
            <w:tcBorders>
              <w:top w:val="nil"/>
              <w:left w:val="single" w:color="000000"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工程量</w:t>
            </w:r>
          </w:p>
        </w:tc>
        <w:tc>
          <w:tcPr>
            <w:tcW w:w="2283" w:type="dxa"/>
            <w:gridSpan w:val="3"/>
            <w:tcBorders>
              <w:top w:val="single" w:color="000000" w:sz="4" w:space="0"/>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金额(元)</w:t>
            </w:r>
          </w:p>
        </w:tc>
      </w:tr>
      <w:tr>
        <w:tblPrEx>
          <w:tblCellMar>
            <w:top w:w="0" w:type="dxa"/>
            <w:left w:w="108" w:type="dxa"/>
            <w:bottom w:w="0" w:type="dxa"/>
            <w:right w:w="108" w:type="dxa"/>
          </w:tblCellMar>
        </w:tblPrEx>
        <w:trPr>
          <w:trHeight w:val="450" w:hRule="atLeast"/>
        </w:trPr>
        <w:tc>
          <w:tcPr>
            <w:tcW w:w="488" w:type="dxa"/>
            <w:vMerge w:val="continue"/>
            <w:tcBorders>
              <w:top w:val="nil"/>
              <w:left w:val="single" w:color="auto"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139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137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170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56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105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p>
        </w:tc>
        <w:tc>
          <w:tcPr>
            <w:tcW w:w="534" w:type="dxa"/>
            <w:tcBorders>
              <w:top w:val="nil"/>
              <w:left w:val="nil"/>
              <w:bottom w:val="single" w:color="000000" w:sz="4" w:space="0"/>
              <w:right w:val="single" w:color="000000" w:sz="4" w:space="0"/>
            </w:tcBorders>
            <w:noWrap w:val="0"/>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综合</w:t>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t>单价</w:t>
            </w:r>
          </w:p>
        </w:tc>
        <w:tc>
          <w:tcPr>
            <w:tcW w:w="708"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合价</w:t>
            </w:r>
          </w:p>
        </w:tc>
        <w:tc>
          <w:tcPr>
            <w:tcW w:w="1041" w:type="dxa"/>
            <w:tcBorders>
              <w:top w:val="nil"/>
              <w:left w:val="nil"/>
              <w:bottom w:val="single" w:color="000000" w:sz="4" w:space="0"/>
              <w:right w:val="single" w:color="000000" w:sz="4" w:space="0"/>
            </w:tcBorders>
            <w:noWrap w:val="0"/>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其中</w:t>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br w:type="textWrapping"/>
            </w:r>
            <w:r>
              <w:rPr>
                <w:rFonts w:hint="eastAsia" w:ascii="仿宋" w:hAnsi="仿宋" w:eastAsia="仿宋" w:cs="Arial"/>
                <w:color w:val="auto"/>
                <w:kern w:val="0"/>
                <w:sz w:val="18"/>
                <w:szCs w:val="18"/>
                <w:highlight w:val="none"/>
              </w:rPr>
              <w:t>暂估价</w:t>
            </w:r>
          </w:p>
        </w:tc>
      </w:tr>
      <w:tr>
        <w:tblPrEx>
          <w:tblCellMar>
            <w:top w:w="0" w:type="dxa"/>
            <w:left w:w="108" w:type="dxa"/>
            <w:bottom w:w="0" w:type="dxa"/>
            <w:right w:w="108" w:type="dxa"/>
          </w:tblCellMar>
        </w:tblPrEx>
        <w:trPr>
          <w:trHeight w:val="7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39</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011102003002</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块料楼地面</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1.块料面层 陶瓷地面砖 0.36m2以内;</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m2</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230.000</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r>
        <w:tblPrEx>
          <w:tblCellMar>
            <w:top w:w="0" w:type="dxa"/>
            <w:left w:w="108" w:type="dxa"/>
            <w:bottom w:w="0" w:type="dxa"/>
            <w:right w:w="108" w:type="dxa"/>
          </w:tblCellMar>
        </w:tblPrEx>
        <w:trPr>
          <w:trHeight w:val="420" w:hRule="atLeast"/>
        </w:trPr>
        <w:tc>
          <w:tcPr>
            <w:tcW w:w="488" w:type="dxa"/>
            <w:tcBorders>
              <w:top w:val="nil"/>
              <w:left w:val="single" w:color="auto" w:sz="4" w:space="0"/>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395"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378"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单价措施项目费</w:t>
            </w:r>
          </w:p>
        </w:tc>
        <w:tc>
          <w:tcPr>
            <w:tcW w:w="1705" w:type="dxa"/>
            <w:tcBorders>
              <w:top w:val="nil"/>
              <w:left w:val="nil"/>
              <w:bottom w:val="single" w:color="000000" w:sz="4" w:space="0"/>
              <w:right w:val="single" w:color="000000" w:sz="4" w:space="0"/>
            </w:tcBorders>
            <w:noWrap w:val="0"/>
            <w:vAlign w:val="center"/>
          </w:tcPr>
          <w:p>
            <w:pPr>
              <w:widowControl/>
              <w:jc w:val="lef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560" w:type="dxa"/>
            <w:tcBorders>
              <w:top w:val="nil"/>
              <w:left w:val="nil"/>
              <w:bottom w:val="single" w:color="000000" w:sz="4" w:space="0"/>
              <w:right w:val="single" w:color="000000" w:sz="4" w:space="0"/>
            </w:tcBorders>
            <w:noWrap/>
            <w:vAlign w:val="center"/>
          </w:tcPr>
          <w:p>
            <w:pPr>
              <w:widowControl/>
              <w:jc w:val="center"/>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55"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534"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708"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c>
          <w:tcPr>
            <w:tcW w:w="1041" w:type="dxa"/>
            <w:tcBorders>
              <w:top w:val="nil"/>
              <w:left w:val="nil"/>
              <w:bottom w:val="single" w:color="000000" w:sz="4" w:space="0"/>
              <w:right w:val="single" w:color="000000" w:sz="4" w:space="0"/>
            </w:tcBorders>
            <w:noWrap/>
            <w:vAlign w:val="center"/>
          </w:tcPr>
          <w:p>
            <w:pPr>
              <w:widowControl/>
              <w:jc w:val="right"/>
              <w:rPr>
                <w:rFonts w:ascii="仿宋" w:hAnsi="仿宋" w:eastAsia="仿宋" w:cs="Arial"/>
                <w:color w:val="auto"/>
                <w:kern w:val="0"/>
                <w:sz w:val="18"/>
                <w:szCs w:val="18"/>
                <w:highlight w:val="none"/>
              </w:rPr>
            </w:pPr>
            <w:r>
              <w:rPr>
                <w:rFonts w:hint="eastAsia" w:ascii="仿宋" w:hAnsi="仿宋" w:eastAsia="仿宋" w:cs="Arial"/>
                <w:color w:val="auto"/>
                <w:kern w:val="0"/>
                <w:sz w:val="18"/>
                <w:szCs w:val="18"/>
                <w:highlight w:val="none"/>
              </w:rPr>
              <w:t>　</w:t>
            </w:r>
          </w:p>
        </w:tc>
      </w:tr>
    </w:tbl>
    <w:p>
      <w:pPr>
        <w:widowControl/>
        <w:spacing w:line="520" w:lineRule="exact"/>
        <w:jc w:val="left"/>
        <w:rPr>
          <w:rFonts w:ascii="仿宋" w:hAnsi="仿宋" w:eastAsia="仿宋" w:cs="宋体"/>
          <w:color w:val="auto"/>
          <w:kern w:val="0"/>
          <w:sz w:val="24"/>
          <w:highlight w:val="none"/>
        </w:rPr>
      </w:pPr>
      <w:bookmarkStart w:id="0" w:name="_Toc474595543"/>
      <w:bookmarkStart w:id="1" w:name="_Toc524169531"/>
      <w:r>
        <w:rPr>
          <w:rFonts w:hint="eastAsia" w:ascii="仿宋" w:hAnsi="仿宋" w:eastAsia="仿宋" w:cs="宋体"/>
          <w:color w:val="auto"/>
          <w:kern w:val="0"/>
          <w:sz w:val="24"/>
          <w:highlight w:val="none"/>
        </w:rPr>
        <w:t>2、</w:t>
      </w:r>
      <w:r>
        <w:rPr>
          <w:rFonts w:ascii="仿宋" w:hAnsi="仿宋" w:eastAsia="仿宋" w:cs="宋体"/>
          <w:color w:val="auto"/>
          <w:kern w:val="0"/>
          <w:sz w:val="24"/>
          <w:highlight w:val="none"/>
        </w:rPr>
        <w:t>工程要求</w:t>
      </w:r>
    </w:p>
    <w:p>
      <w:pPr>
        <w:widowControl/>
        <w:spacing w:line="52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2.1 谈判文件</w:t>
      </w:r>
      <w:r>
        <w:rPr>
          <w:rFonts w:ascii="仿宋" w:hAnsi="仿宋" w:eastAsia="仿宋" w:cs="宋体"/>
          <w:color w:val="auto"/>
          <w:kern w:val="0"/>
          <w:sz w:val="24"/>
          <w:highlight w:val="none"/>
        </w:rPr>
        <w:t>工程量清单中的安全文明施工费、规费、暂估价、暂列金额均属于不可竞争费，不得让利，否则视为无效响应。</w:t>
      </w:r>
    </w:p>
    <w:p>
      <w:pPr>
        <w:widowControl/>
        <w:spacing w:line="52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2.2</w:t>
      </w:r>
      <w:r>
        <w:rPr>
          <w:rFonts w:ascii="仿宋" w:hAnsi="仿宋" w:eastAsia="仿宋" w:cs="宋体"/>
          <w:color w:val="auto"/>
          <w:kern w:val="0"/>
          <w:sz w:val="24"/>
          <w:highlight w:val="none"/>
        </w:rPr>
        <w:t>、凡成交供应商采购的主要材料，必须提供出厂合格证书及试验资料原件给采购人查验，否则，采购人有权制止使用并追究成交供应商的违约责任。</w:t>
      </w:r>
    </w:p>
    <w:p>
      <w:pPr>
        <w:widowControl/>
        <w:spacing w:line="52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2.3</w:t>
      </w:r>
      <w:r>
        <w:rPr>
          <w:rFonts w:ascii="仿宋" w:hAnsi="仿宋" w:eastAsia="仿宋" w:cs="宋体"/>
          <w:color w:val="auto"/>
          <w:kern w:val="0"/>
          <w:sz w:val="24"/>
          <w:highlight w:val="none"/>
        </w:rPr>
        <w:t>、供应商应按照本文件中提供的工程量清单，根据项目特征描述的内容及有关要求实施合同工程，直到项目被改变为止。</w:t>
      </w:r>
    </w:p>
    <w:p>
      <w:pPr>
        <w:widowControl/>
        <w:spacing w:line="52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2.4</w:t>
      </w:r>
      <w:r>
        <w:rPr>
          <w:rFonts w:ascii="仿宋" w:hAnsi="仿宋" w:eastAsia="仿宋" w:cs="宋体"/>
          <w:color w:val="auto"/>
          <w:kern w:val="0"/>
          <w:sz w:val="24"/>
          <w:highlight w:val="none"/>
        </w:rPr>
        <w:t>、供应商应按照采购人提供的设计图纸实施合同工程，若在合同履行期间出现工程设计图纸（含设计变更）与本文件中工程量清单任一项目的特征描述不符，且该变化引起本项目的工程造价增减变化的，应按照实际施工的项目特征重新确定相应工程量清单项目的综合单价，并调整合同价款。</w:t>
      </w:r>
    </w:p>
    <w:p>
      <w:pPr>
        <w:widowControl/>
        <w:spacing w:line="52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2.5</w:t>
      </w:r>
      <w:r>
        <w:rPr>
          <w:rFonts w:ascii="仿宋" w:hAnsi="仿宋" w:eastAsia="仿宋" w:cs="宋体"/>
          <w:color w:val="auto"/>
          <w:kern w:val="0"/>
          <w:sz w:val="24"/>
          <w:highlight w:val="none"/>
        </w:rPr>
        <w:t>、</w:t>
      </w:r>
      <w:r>
        <w:rPr>
          <w:rFonts w:hint="eastAsia" w:ascii="仿宋" w:hAnsi="仿宋" w:eastAsia="仿宋" w:cs="宋体"/>
          <w:b/>
          <w:bCs/>
          <w:color w:val="auto"/>
          <w:kern w:val="0"/>
          <w:sz w:val="24"/>
          <w:highlight w:val="none"/>
        </w:rPr>
        <w:t>响应文件</w:t>
      </w:r>
      <w:r>
        <w:rPr>
          <w:rFonts w:ascii="仿宋" w:hAnsi="仿宋" w:eastAsia="仿宋" w:cs="宋体"/>
          <w:b/>
          <w:bCs/>
          <w:color w:val="auto"/>
          <w:kern w:val="0"/>
          <w:sz w:val="24"/>
          <w:highlight w:val="none"/>
        </w:rPr>
        <w:t>中提供本项目的施工方案, 内容须包含：</w:t>
      </w:r>
    </w:p>
    <w:p>
      <w:pPr>
        <w:widowControl/>
        <w:spacing w:line="520" w:lineRule="exact"/>
        <w:jc w:val="left"/>
        <w:rPr>
          <w:rFonts w:ascii="仿宋" w:hAnsi="仿宋" w:eastAsia="仿宋" w:cs="宋体"/>
          <w:color w:val="auto"/>
          <w:kern w:val="0"/>
          <w:sz w:val="24"/>
          <w:highlight w:val="none"/>
        </w:rPr>
      </w:pPr>
      <w:r>
        <w:rPr>
          <w:rFonts w:ascii="仿宋" w:hAnsi="仿宋" w:eastAsia="仿宋" w:cs="宋体"/>
          <w:color w:val="auto"/>
          <w:kern w:val="0"/>
          <w:sz w:val="24"/>
          <w:highlight w:val="none"/>
        </w:rPr>
        <w:t>（1）施工组织部署</w:t>
      </w:r>
    </w:p>
    <w:p>
      <w:pPr>
        <w:widowControl/>
        <w:spacing w:line="520" w:lineRule="exact"/>
        <w:jc w:val="left"/>
        <w:rPr>
          <w:rFonts w:ascii="仿宋" w:hAnsi="仿宋" w:eastAsia="仿宋" w:cs="宋体"/>
          <w:color w:val="auto"/>
          <w:kern w:val="0"/>
          <w:sz w:val="24"/>
          <w:highlight w:val="none"/>
        </w:rPr>
      </w:pPr>
      <w:r>
        <w:rPr>
          <w:rFonts w:ascii="仿宋" w:hAnsi="仿宋" w:eastAsia="仿宋" w:cs="宋体"/>
          <w:color w:val="auto"/>
          <w:kern w:val="0"/>
          <w:sz w:val="24"/>
          <w:highlight w:val="none"/>
        </w:rPr>
        <w:t>（2）施工进度计划及工期保证措施</w:t>
      </w:r>
    </w:p>
    <w:p>
      <w:pPr>
        <w:widowControl/>
        <w:spacing w:line="520" w:lineRule="exact"/>
        <w:jc w:val="left"/>
        <w:rPr>
          <w:rFonts w:ascii="仿宋" w:hAnsi="仿宋" w:eastAsia="仿宋" w:cs="宋体"/>
          <w:color w:val="auto"/>
          <w:kern w:val="0"/>
          <w:sz w:val="24"/>
          <w:highlight w:val="none"/>
        </w:rPr>
      </w:pPr>
      <w:r>
        <w:rPr>
          <w:rFonts w:ascii="仿宋" w:hAnsi="仿宋" w:eastAsia="仿宋" w:cs="宋体"/>
          <w:color w:val="auto"/>
          <w:kern w:val="0"/>
          <w:sz w:val="24"/>
          <w:highlight w:val="none"/>
        </w:rPr>
        <w:t>（3）工程质量保证措施</w:t>
      </w:r>
    </w:p>
    <w:p>
      <w:pPr>
        <w:widowControl/>
        <w:spacing w:line="520" w:lineRule="exact"/>
        <w:jc w:val="left"/>
        <w:rPr>
          <w:rFonts w:ascii="仿宋" w:hAnsi="仿宋" w:eastAsia="仿宋" w:cs="宋体"/>
          <w:color w:val="auto"/>
          <w:kern w:val="0"/>
          <w:sz w:val="24"/>
          <w:highlight w:val="none"/>
        </w:rPr>
      </w:pPr>
      <w:r>
        <w:rPr>
          <w:rFonts w:ascii="仿宋" w:hAnsi="仿宋" w:eastAsia="仿宋" w:cs="宋体"/>
          <w:color w:val="auto"/>
          <w:kern w:val="0"/>
          <w:sz w:val="24"/>
          <w:highlight w:val="none"/>
        </w:rPr>
        <w:t>（4）施工技术措施（含主要工序施工工艺）</w:t>
      </w:r>
    </w:p>
    <w:p>
      <w:pPr>
        <w:widowControl/>
        <w:spacing w:line="520" w:lineRule="exact"/>
        <w:jc w:val="left"/>
        <w:rPr>
          <w:rFonts w:ascii="仿宋" w:hAnsi="仿宋" w:eastAsia="仿宋" w:cs="宋体"/>
          <w:color w:val="auto"/>
          <w:kern w:val="0"/>
          <w:sz w:val="24"/>
          <w:highlight w:val="none"/>
        </w:rPr>
      </w:pPr>
      <w:r>
        <w:rPr>
          <w:rFonts w:ascii="仿宋" w:hAnsi="仿宋" w:eastAsia="仿宋" w:cs="宋体"/>
          <w:color w:val="auto"/>
          <w:kern w:val="0"/>
          <w:sz w:val="24"/>
          <w:highlight w:val="none"/>
        </w:rPr>
        <w:t>（5）安全、文明施工措施</w:t>
      </w:r>
    </w:p>
    <w:p>
      <w:pPr>
        <w:widowControl/>
        <w:spacing w:line="52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w:t>
      </w:r>
      <w:r>
        <w:rPr>
          <w:rFonts w:ascii="仿宋" w:hAnsi="仿宋" w:eastAsia="仿宋" w:cs="宋体"/>
          <w:color w:val="auto"/>
          <w:kern w:val="0"/>
          <w:sz w:val="24"/>
          <w:highlight w:val="none"/>
        </w:rPr>
        <w:t>、报价编制依据：</w:t>
      </w:r>
    </w:p>
    <w:p>
      <w:pPr>
        <w:widowControl/>
        <w:spacing w:line="52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3.1</w:t>
      </w:r>
      <w:r>
        <w:rPr>
          <w:rFonts w:ascii="仿宋" w:hAnsi="仿宋" w:eastAsia="仿宋" w:cs="宋体"/>
          <w:color w:val="auto"/>
          <w:kern w:val="0"/>
          <w:sz w:val="24"/>
          <w:highlight w:val="none"/>
        </w:rPr>
        <w:t>编制依据</w:t>
      </w:r>
    </w:p>
    <w:p>
      <w:pPr>
        <w:widowControl/>
        <w:spacing w:line="52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3.1.1</w:t>
      </w:r>
      <w:r>
        <w:rPr>
          <w:rFonts w:ascii="仿宋" w:hAnsi="仿宋" w:eastAsia="仿宋" w:cs="宋体"/>
          <w:color w:val="auto"/>
          <w:kern w:val="0"/>
          <w:sz w:val="24"/>
          <w:highlight w:val="none"/>
        </w:rPr>
        <w:t>、《建设工程工程量清单计价规范》（GB50500—2013）、《江西省房屋建筑与装饰工程消耗量定额及统一基价表》（2017 年版）、《江西省通用安装工程消耗量定额及统一基价表》（2017 年版）、《江西省市政工程消耗量定额及统一基价表》（2017 年版）</w:t>
      </w:r>
    </w:p>
    <w:p>
      <w:pPr>
        <w:widowControl/>
        <w:spacing w:line="520" w:lineRule="exact"/>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3.1.2</w:t>
      </w:r>
      <w:r>
        <w:rPr>
          <w:rFonts w:ascii="仿宋" w:hAnsi="仿宋" w:eastAsia="仿宋" w:cs="宋体"/>
          <w:color w:val="auto"/>
          <w:kern w:val="0"/>
          <w:sz w:val="24"/>
          <w:highlight w:val="none"/>
        </w:rPr>
        <w:t>、综合工日单价根据赣建价[2018]5 号：建筑定额综合工日单价调整为元/工日，装饰定额综合工日单价调整为 102 元/工日；取费根据赣建价[2019]1 号文件调整税率及进项税率；</w:t>
      </w:r>
    </w:p>
    <w:p>
      <w:pPr>
        <w:widowControl/>
        <w:spacing w:line="52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3.1.3</w:t>
      </w:r>
      <w:r>
        <w:rPr>
          <w:rFonts w:ascii="仿宋" w:hAnsi="仿宋" w:eastAsia="仿宋" w:cs="宋体"/>
          <w:color w:val="auto"/>
          <w:kern w:val="0"/>
          <w:sz w:val="24"/>
          <w:highlight w:val="none"/>
        </w:rPr>
        <w:t>、主要材料价格：按江西省造价信息 2019 年 5 月及市场价格。</w:t>
      </w:r>
    </w:p>
    <w:bookmarkEnd w:id="0"/>
    <w:bookmarkEnd w:id="1"/>
    <w:p>
      <w:pPr>
        <w:spacing w:line="440" w:lineRule="exact"/>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4.其它要求</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（一）钢质防盗门：</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1、空气声隔声性能3级：Rw(C; Ctr)=3l(0; -2)dB：计权隔声量和粉红噪声频谱修正量之和Rw+ C=31dB。</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2、保温性能：传热系数K:2.7W/(m·K)(5级)。</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3、门耐软重物撞击性能：将重30kg，直径350mm的沙袋，拉高至100mm高度，</w:t>
      </w:r>
      <w:r>
        <w:rPr>
          <w:rFonts w:ascii="仿宋" w:hAnsi="仿宋" w:eastAsia="仿宋" w:cs="宋体"/>
          <w:color w:val="auto"/>
          <w:sz w:val="24"/>
          <w:szCs w:val="24"/>
          <w:highlight w:val="none"/>
        </w:rPr>
        <w:t>使其自由落下撞击整樘门。试验后，被测试表面未出现损坏现象</w:t>
      </w:r>
      <w:r>
        <w:rPr>
          <w:rFonts w:hint="eastAsia" w:ascii="仿宋" w:hAnsi="仿宋" w:eastAsia="仿宋" w:cs="宋体"/>
          <w:color w:val="auto"/>
          <w:sz w:val="24"/>
          <w:szCs w:val="24"/>
          <w:highlight w:val="none"/>
        </w:rPr>
        <w:t>。</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4、耐垂直荷载性能：在门扇装锁侧边上角顶部距边缘50 mm处施加垂直静载F为500N，保持荷载15min，残余变形量不大于3mm。</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5、抗风压性能≥4.50kPa。</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6、水密性能≥300Pa。</w:t>
      </w:r>
    </w:p>
    <w:p>
      <w:pPr>
        <w:widowControl/>
        <w:spacing w:line="44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具有CMA标识的第三方机构出具的检测报告扫描件对以上参数进行佐证及网站链接查询截图（检测报告须附有清晰的二维码）。中标后，成交供应商提供原件核查。</w:t>
      </w:r>
    </w:p>
    <w:p>
      <w:pPr>
        <w:spacing w:line="440" w:lineRule="exac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（二）地坪涂料：</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1、防滑性(干摩擦系数)≥0.60。</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2、硬度|邵氏硬度(D型)实测值≥78。</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3、抗压强度，MPa≥77。</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4、耐冲击性 重载(1000g钢球)：涂膜无裂纹、无剥落。</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5、耐磨性(750g/500r),g≤0.014。</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6、拉伸粘结强：标准条件，MPa≥5.1、浸水后，MPa≥3.8。</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7、初始流动度度，mm≥170。</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8、挥发性有机化合物含量(VOC)，g/L≤37。</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9、总挥发性有机化合物(TVOC)释放量，mg/m3≤0.9。</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10、游离甲醛＜50mg/kg、苯＜0.02g/kg、甲苯、乙苯、二甲苯的总和＜1g/kg、乙二醇醚及醚酯总和＜30mg/kg、邻苯二甲酸二丁酯(DBP)、邻苯二甲酸丁苄酯(BBP)、邻苯二甲酸二辛酯(DNOP)、邻苯二甲酸二异辛酯(DEHP)＜0.002%、邻苯二甲酸二异壬酯(DINP)、邻苯二甲酸二异癸酯(DIDP)＜0.01%、游离4,4'一二氨基二苯甲烷(MDA)(限环氧类)≤10g/kg、可溶性重金属铅(Pb)＜4mg/kg、可溶性重金属镉 (Cd))＜1mg/kg、可溶性重金属铬(Cr)＜3mg/kg、可溶性重金属汞(Hg)＜0.5mg/kg、甲醛释放量≤0.1mg/m3。</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地坪送样须＞8mm厚度，符合A(A2-s1)级铺地材料要求：</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1、燃烧总热值PCS：整体制品，MJ/kg≤0.3、主要组分，MJ/kg≤0.1、外部次要组分，MJ/m²≤3.3。</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2、临界热辐射通量CHF，kW/m²≥11。</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3、铺地材料产烟量，%xmin≤50。</w:t>
      </w:r>
    </w:p>
    <w:p>
      <w:pPr>
        <w:widowControl/>
        <w:spacing w:line="44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地坪涂料和地坪送样须为同一品牌,</w:t>
      </w:r>
      <w:r>
        <w:rPr>
          <w:rFonts w:hint="eastAsia" w:ascii="仿宋" w:hAnsi="仿宋" w:eastAsia="仿宋" w:cs="宋体"/>
          <w:b/>
          <w:color w:val="auto"/>
          <w:kern w:val="0"/>
          <w:sz w:val="24"/>
          <w:highlight w:val="none"/>
        </w:rPr>
        <w:t>响应文件中提供具有CMA标识的第三方机构出具的检测报告扫描件及官网链接查询截图（检测报告须附有清晰的二维码）对以上参数进行佐证。</w:t>
      </w:r>
      <w:r>
        <w:rPr>
          <w:rFonts w:hint="eastAsia" w:ascii="仿宋" w:hAnsi="仿宋" w:eastAsia="仿宋" w:cs="宋体"/>
          <w:color w:val="auto"/>
          <w:kern w:val="0"/>
          <w:sz w:val="24"/>
          <w:highlight w:val="none"/>
        </w:rPr>
        <w:t>中标后，成交供应商提供原件核查。</w:t>
      </w:r>
    </w:p>
    <w:p>
      <w:pPr>
        <w:spacing w:line="440" w:lineRule="exac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（三）聚氨酯防水涂料：</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1、低温断裂伸长率，%(-10℃)≥630。</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2、弹性恢复率，%≥91。</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3、吸水率，%≤9。</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4、浸水处理(23℃,7d)</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拉伸强度MPa：≥4.11、断裂伸长率，%：≥680、低温弯折性：-30℃,无裂纹。</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5、热处理 (80℃,14d)</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拉伸强度MPa：≥4.95、断裂伸长率，%：≥870、低温弯折性：-30℃,无裂纹。</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6、酸处理 (2%H</w:t>
      </w:r>
      <w:r>
        <w:rPr>
          <w:rFonts w:ascii="仿宋" w:hAnsi="仿宋" w:eastAsia="仿宋" w:cs="宋体"/>
          <w:color w:val="auto"/>
          <w:sz w:val="24"/>
          <w:szCs w:val="24"/>
          <w:highlight w:val="none"/>
        </w:rPr>
        <w:t>₂</w:t>
      </w:r>
      <w:r>
        <w:rPr>
          <w:rFonts w:hint="eastAsia" w:ascii="仿宋" w:hAnsi="仿宋" w:eastAsia="仿宋" w:cs="宋体"/>
          <w:color w:val="auto"/>
          <w:sz w:val="24"/>
          <w:szCs w:val="24"/>
          <w:highlight w:val="none"/>
        </w:rPr>
        <w:t>SO</w:t>
      </w:r>
      <w:r>
        <w:rPr>
          <w:rFonts w:ascii="仿宋" w:hAnsi="仿宋" w:eastAsia="仿宋" w:cs="宋体"/>
          <w:color w:val="auto"/>
          <w:sz w:val="24"/>
          <w:szCs w:val="24"/>
          <w:highlight w:val="none"/>
        </w:rPr>
        <w:t>₄</w:t>
      </w:r>
      <w:r>
        <w:rPr>
          <w:rFonts w:hint="eastAsia" w:ascii="仿宋" w:hAnsi="仿宋" w:eastAsia="仿宋" w:cs="宋体"/>
          <w:color w:val="auto"/>
          <w:sz w:val="24"/>
          <w:szCs w:val="24"/>
          <w:highlight w:val="none"/>
        </w:rPr>
        <w:t>溶液，7d)</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拉伸强度MPa：≥2.99、断裂伸长率，%：≥850、低温弯折性：-30℃,无裂纹。</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7、碱处理[0.1%NaOH+饱和Ca(OH)。溶液，7d]</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拉伸强度MPa：≥4.06、断裂伸长率，%：≥798、低温弯折性：-30℃,无裂纹。</w:t>
      </w:r>
    </w:p>
    <w:p>
      <w:pPr>
        <w:pStyle w:val="6"/>
        <w:spacing w:before="72" w:line="440" w:lineRule="exact"/>
        <w:ind w:left="61"/>
        <w:rPr>
          <w:rFonts w:ascii="仿宋" w:hAnsi="仿宋" w:eastAsia="仿宋" w:cs="宋体"/>
          <w:color w:val="auto"/>
          <w:kern w:val="0"/>
          <w:sz w:val="24"/>
          <w:szCs w:val="24"/>
          <w:highlight w:val="none"/>
          <w:lang w:eastAsia="zh-CN"/>
        </w:rPr>
      </w:pPr>
      <w:r>
        <w:rPr>
          <w:rFonts w:hint="eastAsia" w:ascii="仿宋" w:hAnsi="仿宋" w:eastAsia="仿宋" w:cs="宋体"/>
          <w:color w:val="auto"/>
          <w:kern w:val="0"/>
          <w:sz w:val="24"/>
          <w:szCs w:val="24"/>
          <w:highlight w:val="none"/>
          <w:lang w:eastAsia="zh-CN"/>
        </w:rPr>
        <w:t>8、人工气候老化(累计辐照时间约2745h)</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外观：无粉化，无开裂、拉伸强度 MPa：≥3.16、断裂伸长率，%：≥829、低温弯折性：-30℃,无裂纹。</w:t>
      </w:r>
    </w:p>
    <w:p>
      <w:pPr>
        <w:pStyle w:val="6"/>
        <w:spacing w:before="72" w:line="440" w:lineRule="exact"/>
        <w:rPr>
          <w:rFonts w:ascii="仿宋" w:hAnsi="仿宋" w:eastAsia="仿宋" w:cs="宋体"/>
          <w:color w:val="auto"/>
          <w:kern w:val="0"/>
          <w:sz w:val="24"/>
          <w:szCs w:val="24"/>
          <w:highlight w:val="none"/>
          <w:lang w:eastAsia="zh-CN"/>
        </w:rPr>
      </w:pPr>
      <w:r>
        <w:rPr>
          <w:rFonts w:hint="eastAsia" w:ascii="仿宋" w:hAnsi="仿宋" w:eastAsia="仿宋" w:cs="宋体"/>
          <w:color w:val="auto"/>
          <w:kern w:val="0"/>
          <w:sz w:val="24"/>
          <w:szCs w:val="24"/>
          <w:highlight w:val="none"/>
          <w:lang w:eastAsia="zh-CN"/>
        </w:rPr>
        <w:t>9、燃烧性能：Fs&lt;150mm无燃烧滴落物引燃滤纸。</w:t>
      </w:r>
    </w:p>
    <w:p>
      <w:pPr>
        <w:pStyle w:val="6"/>
        <w:spacing w:before="72" w:line="440" w:lineRule="exact"/>
        <w:rPr>
          <w:rFonts w:ascii="仿宋" w:hAnsi="仿宋" w:eastAsia="仿宋" w:cs="宋体"/>
          <w:color w:val="auto"/>
          <w:kern w:val="0"/>
          <w:sz w:val="24"/>
          <w:szCs w:val="24"/>
          <w:highlight w:val="none"/>
          <w:lang w:eastAsia="zh-CN"/>
        </w:rPr>
      </w:pPr>
      <w:r>
        <w:rPr>
          <w:rFonts w:hint="eastAsia" w:ascii="仿宋" w:hAnsi="仿宋" w:eastAsia="仿宋" w:cs="宋体"/>
          <w:color w:val="auto"/>
          <w:kern w:val="0"/>
          <w:sz w:val="24"/>
          <w:szCs w:val="24"/>
          <w:highlight w:val="none"/>
          <w:lang w:eastAsia="zh-CN"/>
        </w:rPr>
        <w:t>10、挥发性有机物含量(VOC)g/L：未检出(&lt;2)、苯+甲苯+乙苯+二甲苯， mg/kg：未检出(苯&lt;20,甲苯&lt;20,乙苯&lt;20,对(间)二甲苯&lt;20,邻二甲苯&lt;20)、甲醛含量，mg/kg≤13。</w:t>
      </w:r>
    </w:p>
    <w:p>
      <w:pPr>
        <w:pStyle w:val="2"/>
        <w:spacing w:line="440" w:lineRule="exact"/>
        <w:rPr>
          <w:rFonts w:ascii="仿宋" w:hAnsi="仿宋" w:eastAsia="仿宋" w:cs="宋体"/>
          <w:color w:val="auto"/>
          <w:kern w:val="0"/>
          <w:sz w:val="24"/>
          <w:highlight w:val="none"/>
        </w:rPr>
      </w:pPr>
      <w:r>
        <w:rPr>
          <w:rFonts w:hint="eastAsia" w:ascii="仿宋" w:hAnsi="仿宋" w:eastAsia="仿宋" w:cs="宋体"/>
          <w:b/>
          <w:color w:val="auto"/>
          <w:kern w:val="0"/>
          <w:sz w:val="24"/>
          <w:highlight w:val="none"/>
        </w:rPr>
        <w:t>响应文件中提供具有CMA标识的第三方机构出具的检测报告扫描件及官网链接查询截图（检测报告须附有清晰的二维码）对以上参数进行佐证。</w:t>
      </w:r>
      <w:r>
        <w:rPr>
          <w:rFonts w:hint="eastAsia" w:ascii="仿宋" w:hAnsi="仿宋" w:eastAsia="仿宋" w:cs="宋体"/>
          <w:color w:val="auto"/>
          <w:kern w:val="0"/>
          <w:sz w:val="24"/>
          <w:highlight w:val="none"/>
        </w:rPr>
        <w:t>中标后，成交供应商提供原件核查。</w:t>
      </w:r>
    </w:p>
    <w:p>
      <w:pPr>
        <w:widowControl/>
        <w:spacing w:line="44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（四）SBS防水卷材：</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1、单位面积质量kg/m²≥3.5。</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2、厚度：最小单值3.0mm</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3、不透水性：0.3MPa，120min不透水</w:t>
      </w:r>
    </w:p>
    <w:p>
      <w:pPr>
        <w:pStyle w:val="5"/>
        <w:spacing w:line="440" w:lineRule="exact"/>
        <w:jc w:val="lef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4、浸水后质量增加%PE、S：≤1.0</w:t>
      </w:r>
    </w:p>
    <w:p>
      <w:pPr>
        <w:pStyle w:val="2"/>
        <w:spacing w:line="440" w:lineRule="exact"/>
        <w:rPr>
          <w:rFonts w:ascii="仿宋" w:hAnsi="仿宋" w:eastAsia="仿宋" w:cs="宋体"/>
          <w:color w:val="auto"/>
          <w:kern w:val="0"/>
          <w:sz w:val="24"/>
          <w:highlight w:val="none"/>
        </w:rPr>
      </w:pPr>
      <w:r>
        <w:rPr>
          <w:rFonts w:hint="eastAsia" w:ascii="仿宋" w:hAnsi="仿宋" w:eastAsia="仿宋" w:cs="宋体"/>
          <w:b/>
          <w:color w:val="auto"/>
          <w:kern w:val="0"/>
          <w:sz w:val="24"/>
          <w:highlight w:val="none"/>
        </w:rPr>
        <w:t>响应文件中提供具有CMA标识的第三方机构出具的检测报告扫描件及官网链接查询截图（检测报告须附有清晰的二维码）对以上参数进行佐证。</w:t>
      </w:r>
      <w:r>
        <w:rPr>
          <w:rFonts w:hint="eastAsia" w:ascii="仿宋" w:hAnsi="仿宋" w:eastAsia="仿宋" w:cs="宋体"/>
          <w:color w:val="auto"/>
          <w:kern w:val="0"/>
          <w:sz w:val="24"/>
          <w:highlight w:val="none"/>
        </w:rPr>
        <w:t>中标后，成交供应商提供原件核查。</w:t>
      </w:r>
    </w:p>
    <w:p>
      <w:pPr>
        <w:widowControl/>
        <w:spacing w:line="44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（五）内、外墙涂料</w:t>
      </w:r>
    </w:p>
    <w:p>
      <w:pPr>
        <w:pStyle w:val="6"/>
        <w:spacing w:before="72" w:line="440" w:lineRule="exact"/>
        <w:rPr>
          <w:rFonts w:ascii="仿宋" w:hAnsi="仿宋" w:eastAsia="仿宋" w:cs="宋体"/>
          <w:color w:val="auto"/>
          <w:kern w:val="0"/>
          <w:sz w:val="24"/>
          <w:szCs w:val="24"/>
          <w:highlight w:val="none"/>
          <w:lang w:eastAsia="zh-CN"/>
        </w:rPr>
      </w:pPr>
      <w:r>
        <w:rPr>
          <w:rFonts w:hint="eastAsia" w:ascii="仿宋" w:hAnsi="仿宋" w:eastAsia="仿宋" w:cs="宋体"/>
          <w:color w:val="auto"/>
          <w:kern w:val="0"/>
          <w:sz w:val="24"/>
          <w:szCs w:val="24"/>
          <w:highlight w:val="none"/>
          <w:lang w:eastAsia="zh-CN"/>
        </w:rPr>
        <w:t>1.外墙涂料按《合成树脂乳液外墙涂料》（GB/T9755-2014）；</w:t>
      </w:r>
    </w:p>
    <w:p>
      <w:pPr>
        <w:pStyle w:val="6"/>
        <w:spacing w:before="72" w:line="440" w:lineRule="exact"/>
        <w:rPr>
          <w:rFonts w:hint="eastAsia" w:ascii="仿宋" w:hAnsi="仿宋" w:eastAsia="仿宋" w:cs="宋体"/>
          <w:color w:val="auto"/>
          <w:kern w:val="0"/>
          <w:sz w:val="24"/>
          <w:szCs w:val="24"/>
          <w:highlight w:val="none"/>
          <w:lang w:eastAsia="zh-CN"/>
        </w:rPr>
      </w:pPr>
      <w:r>
        <w:rPr>
          <w:rFonts w:hint="eastAsia" w:ascii="仿宋" w:hAnsi="仿宋" w:eastAsia="仿宋" w:cs="宋体"/>
          <w:color w:val="auto"/>
          <w:kern w:val="0"/>
          <w:sz w:val="24"/>
          <w:szCs w:val="24"/>
          <w:highlight w:val="none"/>
          <w:lang w:eastAsia="zh-CN"/>
        </w:rPr>
        <w:t>2.腻子粉通过《建筑外墙用腻子》（JG/T157-2009）标准。</w:t>
      </w:r>
    </w:p>
    <w:p>
      <w:pPr>
        <w:pStyle w:val="6"/>
        <w:spacing w:before="72" w:line="440" w:lineRule="exact"/>
        <w:rPr>
          <w:rFonts w:hint="eastAsia" w:ascii="仿宋" w:hAnsi="仿宋" w:eastAsia="仿宋" w:cs="宋体"/>
          <w:color w:val="auto"/>
          <w:kern w:val="0"/>
          <w:sz w:val="24"/>
          <w:szCs w:val="24"/>
          <w:highlight w:val="none"/>
          <w:lang w:eastAsia="zh-CN"/>
        </w:rPr>
      </w:pPr>
      <w:r>
        <w:rPr>
          <w:rFonts w:hint="eastAsia" w:ascii="仿宋" w:hAnsi="仿宋" w:eastAsia="仿宋" w:cs="宋体"/>
          <w:color w:val="auto"/>
          <w:kern w:val="0"/>
          <w:sz w:val="24"/>
          <w:szCs w:val="24"/>
          <w:highlight w:val="none"/>
          <w:lang w:eastAsia="zh-CN"/>
        </w:rPr>
        <w:t>3.内墙乳胶漆通过《合成乳液内墙涂料》（GB/T9756—2018）、《建筑用墙面涂料中有害物质限量》（GB18582-2020）标准。</w:t>
      </w:r>
    </w:p>
    <w:p>
      <w:pPr>
        <w:pStyle w:val="6"/>
        <w:spacing w:before="72" w:line="440" w:lineRule="exact"/>
        <w:rPr>
          <w:rFonts w:ascii="仿宋" w:hAnsi="仿宋" w:eastAsia="仿宋" w:cs="宋体"/>
          <w:color w:val="auto"/>
          <w:kern w:val="0"/>
          <w:sz w:val="24"/>
          <w:szCs w:val="24"/>
          <w:highlight w:val="none"/>
          <w:lang w:eastAsia="zh-CN"/>
        </w:rPr>
      </w:pPr>
      <w:r>
        <w:rPr>
          <w:rFonts w:hint="eastAsia" w:ascii="仿宋" w:hAnsi="仿宋" w:eastAsia="仿宋" w:cs="宋体"/>
          <w:color w:val="auto"/>
          <w:kern w:val="0"/>
          <w:sz w:val="24"/>
          <w:szCs w:val="24"/>
          <w:highlight w:val="none"/>
          <w:lang w:eastAsia="zh-CN"/>
        </w:rPr>
        <w:t>4.墙面乳胶漆须通过国标GB/T9756-2018标准并且符合以下产品参数要求：</w:t>
      </w:r>
    </w:p>
    <w:p>
      <w:pPr>
        <w:pStyle w:val="6"/>
        <w:spacing w:before="72" w:line="440" w:lineRule="exact"/>
        <w:rPr>
          <w:rFonts w:ascii="仿宋" w:hAnsi="仿宋" w:eastAsia="仿宋" w:cs="宋体"/>
          <w:color w:val="auto"/>
          <w:kern w:val="0"/>
          <w:sz w:val="24"/>
          <w:szCs w:val="24"/>
          <w:highlight w:val="none"/>
          <w:lang w:eastAsia="zh-CN"/>
        </w:rPr>
      </w:pPr>
      <w:r>
        <w:rPr>
          <w:rFonts w:hint="eastAsia" w:ascii="仿宋" w:hAnsi="仿宋" w:eastAsia="仿宋" w:cs="宋体"/>
          <w:color w:val="auto"/>
          <w:kern w:val="0"/>
          <w:sz w:val="24"/>
          <w:szCs w:val="24"/>
          <w:highlight w:val="none"/>
          <w:lang w:eastAsia="zh-CN"/>
        </w:rPr>
        <w:t>①挥发性有机化合物（VOC）≤2g/L；</w:t>
      </w:r>
    </w:p>
    <w:p>
      <w:pPr>
        <w:pStyle w:val="6"/>
        <w:spacing w:before="72" w:line="440" w:lineRule="exact"/>
        <w:rPr>
          <w:rFonts w:ascii="仿宋" w:hAnsi="仿宋" w:eastAsia="仿宋" w:cs="宋体"/>
          <w:color w:val="auto"/>
          <w:kern w:val="0"/>
          <w:sz w:val="24"/>
          <w:szCs w:val="24"/>
          <w:highlight w:val="none"/>
          <w:lang w:eastAsia="zh-CN"/>
        </w:rPr>
      </w:pPr>
      <w:r>
        <w:rPr>
          <w:rFonts w:hint="eastAsia" w:ascii="仿宋" w:hAnsi="仿宋" w:eastAsia="仿宋" w:cs="宋体"/>
          <w:color w:val="auto"/>
          <w:kern w:val="0"/>
          <w:sz w:val="24"/>
          <w:szCs w:val="24"/>
          <w:highlight w:val="none"/>
          <w:lang w:eastAsia="zh-CN"/>
        </w:rPr>
        <w:t>②游离甲醛≤5mg/kg。</w:t>
      </w:r>
    </w:p>
    <w:p>
      <w:pPr>
        <w:widowControl/>
        <w:spacing w:line="440" w:lineRule="exact"/>
        <w:jc w:val="left"/>
        <w:rPr>
          <w:rFonts w:ascii="仿宋" w:hAnsi="仿宋" w:eastAsia="仿宋" w:cs="宋体"/>
          <w:color w:val="auto"/>
          <w:kern w:val="0"/>
          <w:sz w:val="24"/>
          <w:highlight w:val="none"/>
        </w:rPr>
      </w:pPr>
      <w:r>
        <w:rPr>
          <w:rFonts w:hint="eastAsia" w:ascii="仿宋" w:hAnsi="仿宋" w:eastAsia="仿宋" w:cs="宋体"/>
          <w:b/>
          <w:color w:val="auto"/>
          <w:kern w:val="0"/>
          <w:sz w:val="24"/>
          <w:highlight w:val="none"/>
        </w:rPr>
        <w:t>响应文件中提供具有CMA标识的第三方机构出具的检测报告扫描件及官网链接查询截图（检测报告须附有清晰的二维码）对以上参数进行佐证。</w:t>
      </w:r>
      <w:r>
        <w:rPr>
          <w:rFonts w:hint="eastAsia" w:ascii="仿宋" w:hAnsi="仿宋" w:eastAsia="仿宋" w:cs="宋体"/>
          <w:color w:val="auto"/>
          <w:kern w:val="0"/>
          <w:sz w:val="24"/>
          <w:highlight w:val="none"/>
        </w:rPr>
        <w:t>中标后，成交供应商提供原件核查。</w:t>
      </w:r>
    </w:p>
    <w:p>
      <w:pPr>
        <w:widowControl/>
        <w:spacing w:line="440" w:lineRule="exact"/>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备注：以上所涉及的检测报告均应附有可供查询电话，以便核验。</w:t>
      </w:r>
    </w:p>
    <w:p>
      <w:pPr>
        <w:spacing w:line="440" w:lineRule="exact"/>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8.报价要求</w:t>
      </w:r>
    </w:p>
    <w:p>
      <w:pPr>
        <w:pStyle w:val="6"/>
        <w:spacing w:before="72" w:line="440" w:lineRule="exact"/>
        <w:rPr>
          <w:rFonts w:ascii="仿宋" w:hAnsi="仿宋" w:eastAsia="仿宋" w:cs="宋体"/>
          <w:color w:val="auto"/>
          <w:kern w:val="0"/>
          <w:sz w:val="24"/>
          <w:szCs w:val="24"/>
          <w:highlight w:val="none"/>
          <w:lang w:eastAsia="zh-CN"/>
        </w:rPr>
      </w:pPr>
      <w:r>
        <w:rPr>
          <w:rFonts w:hint="eastAsia" w:ascii="仿宋" w:hAnsi="仿宋" w:eastAsia="仿宋" w:cs="宋体"/>
          <w:color w:val="auto"/>
          <w:kern w:val="0"/>
          <w:sz w:val="24"/>
          <w:szCs w:val="24"/>
          <w:highlight w:val="none"/>
          <w:lang w:eastAsia="zh-CN"/>
        </w:rPr>
        <w:t>1.供应商在标书内提供的</w:t>
      </w:r>
      <w:r>
        <w:rPr>
          <w:rFonts w:ascii="仿宋" w:hAnsi="仿宋" w:eastAsia="仿宋" w:cs="宋体"/>
          <w:color w:val="auto"/>
          <w:kern w:val="0"/>
          <w:sz w:val="24"/>
          <w:szCs w:val="24"/>
          <w:highlight w:val="none"/>
          <w:lang w:eastAsia="zh-CN"/>
        </w:rPr>
        <w:t>分</w:t>
      </w:r>
      <w:r>
        <w:rPr>
          <w:rFonts w:hint="eastAsia" w:ascii="仿宋" w:hAnsi="仿宋" w:eastAsia="仿宋" w:cs="宋体"/>
          <w:color w:val="auto"/>
          <w:kern w:val="0"/>
          <w:sz w:val="24"/>
          <w:szCs w:val="24"/>
          <w:highlight w:val="none"/>
          <w:lang w:eastAsia="zh-CN"/>
        </w:rPr>
        <w:t>部</w:t>
      </w:r>
      <w:r>
        <w:rPr>
          <w:rFonts w:ascii="仿宋" w:hAnsi="仿宋" w:eastAsia="仿宋" w:cs="宋体"/>
          <w:color w:val="auto"/>
          <w:kern w:val="0"/>
          <w:sz w:val="24"/>
          <w:szCs w:val="24"/>
          <w:highlight w:val="none"/>
          <w:lang w:eastAsia="zh-CN"/>
        </w:rPr>
        <w:t>分项价</w:t>
      </w:r>
      <w:r>
        <w:rPr>
          <w:rFonts w:hint="eastAsia" w:ascii="仿宋" w:hAnsi="仿宋" w:eastAsia="仿宋" w:cs="宋体"/>
          <w:color w:val="auto"/>
          <w:kern w:val="0"/>
          <w:sz w:val="24"/>
          <w:szCs w:val="24"/>
          <w:highlight w:val="none"/>
          <w:lang w:eastAsia="zh-CN"/>
        </w:rPr>
        <w:t>表</w:t>
      </w:r>
      <w:r>
        <w:rPr>
          <w:rFonts w:hint="eastAsia" w:ascii="仿宋" w:hAnsi="仿宋" w:eastAsia="仿宋" w:cs="宋体"/>
          <w:b/>
          <w:bCs/>
          <w:color w:val="auto"/>
          <w:kern w:val="0"/>
          <w:sz w:val="24"/>
          <w:szCs w:val="24"/>
          <w:highlight w:val="none"/>
          <w:lang w:eastAsia="zh-CN"/>
        </w:rPr>
        <w:t>必须加盖注册造价工程师执业印章及供应商单位公章</w:t>
      </w:r>
      <w:r>
        <w:rPr>
          <w:rFonts w:hint="eastAsia" w:ascii="仿宋" w:hAnsi="仿宋" w:eastAsia="仿宋" w:cs="宋体"/>
          <w:color w:val="auto"/>
          <w:kern w:val="0"/>
          <w:sz w:val="24"/>
          <w:szCs w:val="24"/>
          <w:highlight w:val="none"/>
          <w:lang w:eastAsia="zh-CN"/>
        </w:rPr>
        <w:t>。</w:t>
      </w:r>
    </w:p>
    <w:p>
      <w:pPr>
        <w:pStyle w:val="6"/>
        <w:spacing w:before="72" w:line="440" w:lineRule="exact"/>
        <w:rPr>
          <w:rFonts w:ascii="仿宋" w:hAnsi="仿宋" w:eastAsia="仿宋" w:cs="宋体"/>
          <w:color w:val="auto"/>
          <w:kern w:val="0"/>
          <w:sz w:val="24"/>
          <w:szCs w:val="24"/>
          <w:highlight w:val="none"/>
          <w:lang w:eastAsia="zh-CN"/>
        </w:rPr>
      </w:pPr>
      <w:r>
        <w:rPr>
          <w:rFonts w:hint="eastAsia" w:ascii="仿宋" w:hAnsi="仿宋" w:eastAsia="仿宋" w:cs="宋体"/>
          <w:color w:val="auto"/>
          <w:kern w:val="0"/>
          <w:sz w:val="24"/>
          <w:szCs w:val="24"/>
          <w:highlight w:val="none"/>
          <w:lang w:eastAsia="zh-CN"/>
        </w:rPr>
        <w:t>2.</w:t>
      </w:r>
      <w:r>
        <w:rPr>
          <w:rFonts w:ascii="仿宋" w:hAnsi="仿宋" w:eastAsia="仿宋" w:cs="宋体"/>
          <w:color w:val="auto"/>
          <w:kern w:val="0"/>
          <w:sz w:val="24"/>
          <w:szCs w:val="24"/>
          <w:highlight w:val="none"/>
          <w:lang w:eastAsia="zh-CN"/>
        </w:rPr>
        <w:t>成交供应商承诺中标后须为本项目的施工人员购买意外保险</w:t>
      </w:r>
      <w:r>
        <w:rPr>
          <w:rFonts w:ascii="仿宋" w:hAnsi="仿宋" w:eastAsia="仿宋" w:cs="宋体"/>
          <w:b/>
          <w:color w:val="auto"/>
          <w:kern w:val="0"/>
          <w:sz w:val="24"/>
          <w:szCs w:val="24"/>
          <w:highlight w:val="none"/>
          <w:lang w:eastAsia="zh-CN"/>
        </w:rPr>
        <w:t>（响应文件中提供承诺函加盖公章佐证）。</w:t>
      </w:r>
    </w:p>
    <w:p>
      <w:pPr>
        <w:pStyle w:val="6"/>
        <w:spacing w:before="72" w:line="440" w:lineRule="exact"/>
        <w:rPr>
          <w:rFonts w:ascii="仿宋" w:hAnsi="仿宋" w:eastAsia="仿宋" w:cs="宋体"/>
          <w:b/>
          <w:bCs/>
          <w:color w:val="auto"/>
          <w:kern w:val="0"/>
          <w:sz w:val="24"/>
          <w:szCs w:val="24"/>
          <w:highlight w:val="none"/>
          <w:lang w:eastAsia="zh-CN"/>
        </w:rPr>
      </w:pPr>
      <w:r>
        <w:rPr>
          <w:rFonts w:hint="eastAsia" w:ascii="仿宋" w:hAnsi="仿宋" w:eastAsia="仿宋" w:cs="宋体"/>
          <w:color w:val="auto"/>
          <w:kern w:val="0"/>
          <w:sz w:val="24"/>
          <w:szCs w:val="24"/>
          <w:highlight w:val="none"/>
          <w:lang w:eastAsia="zh-CN"/>
        </w:rPr>
        <w:t>3.供应商在最终报价环节，需</w:t>
      </w:r>
      <w:r>
        <w:rPr>
          <w:rFonts w:ascii="仿宋" w:hAnsi="仿宋" w:eastAsia="仿宋" w:cs="宋体"/>
          <w:color w:val="auto"/>
          <w:kern w:val="0"/>
          <w:sz w:val="24"/>
          <w:szCs w:val="24"/>
          <w:highlight w:val="none"/>
          <w:lang w:eastAsia="zh-CN"/>
        </w:rPr>
        <w:t>将最终报价</w:t>
      </w:r>
      <w:r>
        <w:rPr>
          <w:rFonts w:hint="eastAsia" w:ascii="仿宋" w:hAnsi="仿宋" w:eastAsia="仿宋" w:cs="宋体"/>
          <w:color w:val="auto"/>
          <w:kern w:val="0"/>
          <w:sz w:val="24"/>
          <w:szCs w:val="24"/>
          <w:highlight w:val="none"/>
          <w:lang w:eastAsia="zh-CN"/>
        </w:rPr>
        <w:t>明细</w:t>
      </w:r>
      <w:r>
        <w:rPr>
          <w:rFonts w:ascii="仿宋" w:hAnsi="仿宋" w:eastAsia="仿宋" w:cs="宋体"/>
          <w:color w:val="auto"/>
          <w:kern w:val="0"/>
          <w:sz w:val="24"/>
          <w:szCs w:val="24"/>
          <w:highlight w:val="none"/>
          <w:lang w:eastAsia="zh-CN"/>
        </w:rPr>
        <w:t>[均须附有本单位一级注册造价工程师签字、盖执业章(鲜章)并加盖供应商公章(鲜章)]</w:t>
      </w:r>
      <w:r>
        <w:rPr>
          <w:rFonts w:ascii="仿宋" w:hAnsi="仿宋" w:eastAsia="仿宋" w:cs="宋体"/>
          <w:b/>
          <w:color w:val="auto"/>
          <w:kern w:val="0"/>
          <w:sz w:val="24"/>
          <w:szCs w:val="24"/>
          <w:highlight w:val="none"/>
          <w:lang w:eastAsia="zh-CN"/>
        </w:rPr>
        <w:t>上传至不见面开标大厅</w:t>
      </w:r>
      <w:r>
        <w:rPr>
          <w:rFonts w:ascii="仿宋" w:hAnsi="仿宋" w:eastAsia="仿宋" w:cs="宋体"/>
          <w:color w:val="auto"/>
          <w:kern w:val="0"/>
          <w:sz w:val="24"/>
          <w:szCs w:val="24"/>
          <w:highlight w:val="none"/>
          <w:lang w:eastAsia="zh-CN"/>
        </w:rPr>
        <w:t>，且响应文件内必须附有该造价工程师证书复印件及供应商为该人员缴纳的谈判截止时间前六个月内任意一个月的社保证明材料</w:t>
      </w:r>
      <w:r>
        <w:rPr>
          <w:rFonts w:hint="eastAsia" w:ascii="仿宋" w:hAnsi="仿宋" w:eastAsia="仿宋" w:cs="宋体"/>
          <w:color w:val="auto"/>
          <w:kern w:val="0"/>
          <w:sz w:val="24"/>
          <w:szCs w:val="24"/>
          <w:highlight w:val="none"/>
          <w:lang w:eastAsia="zh-CN"/>
        </w:rPr>
        <w:t>扫描</w:t>
      </w:r>
      <w:r>
        <w:rPr>
          <w:rFonts w:ascii="仿宋" w:hAnsi="仿宋" w:eastAsia="仿宋" w:cs="宋体"/>
          <w:color w:val="auto"/>
          <w:kern w:val="0"/>
          <w:sz w:val="24"/>
          <w:szCs w:val="24"/>
          <w:highlight w:val="none"/>
          <w:lang w:eastAsia="zh-CN"/>
        </w:rPr>
        <w:t>件（加盖供应商公章），否则视为无效报价。</w:t>
      </w:r>
      <w:r>
        <w:rPr>
          <w:rFonts w:ascii="仿宋" w:hAnsi="仿宋" w:eastAsia="仿宋" w:cs="宋体"/>
          <w:b/>
          <w:bCs/>
          <w:color w:val="auto"/>
          <w:kern w:val="0"/>
          <w:sz w:val="24"/>
          <w:szCs w:val="24"/>
          <w:highlight w:val="none"/>
          <w:lang w:eastAsia="zh-CN"/>
        </w:rPr>
        <w:t>响应文件中另外须提供：</w:t>
      </w:r>
      <w:r>
        <w:rPr>
          <w:rFonts w:ascii="仿宋" w:hAnsi="仿宋" w:eastAsia="仿宋" w:cs="宋体"/>
          <w:b/>
          <w:bCs/>
          <w:color w:val="auto"/>
          <w:kern w:val="0"/>
          <w:sz w:val="24"/>
          <w:szCs w:val="24"/>
          <w:highlight w:val="none"/>
          <w:lang w:eastAsia="zh-CN"/>
        </w:rPr>
        <w:br w:type="textWrapping"/>
      </w:r>
      <w:r>
        <w:rPr>
          <w:rFonts w:hint="eastAsia" w:ascii="仿宋" w:hAnsi="仿宋" w:eastAsia="仿宋" w:cs="宋体"/>
          <w:b/>
          <w:bCs/>
          <w:color w:val="auto"/>
          <w:kern w:val="0"/>
          <w:sz w:val="24"/>
          <w:szCs w:val="24"/>
          <w:highlight w:val="none"/>
          <w:lang w:eastAsia="zh-CN"/>
        </w:rPr>
        <w:t>①</w:t>
      </w:r>
      <w:r>
        <w:rPr>
          <w:rFonts w:ascii="仿宋" w:hAnsi="仿宋" w:eastAsia="仿宋" w:cs="宋体"/>
          <w:b/>
          <w:bCs/>
          <w:color w:val="auto"/>
          <w:kern w:val="0"/>
          <w:sz w:val="24"/>
          <w:szCs w:val="24"/>
          <w:highlight w:val="none"/>
          <w:lang w:eastAsia="zh-CN"/>
        </w:rPr>
        <w:t>由一级注册造价工程师出具并签章的成本分析说明（至少含完整的工程量清单和单价分析表）</w:t>
      </w:r>
      <w:r>
        <w:rPr>
          <w:rFonts w:hint="eastAsia" w:ascii="仿宋" w:hAnsi="仿宋" w:eastAsia="仿宋" w:cs="宋体"/>
          <w:b/>
          <w:bCs/>
          <w:color w:val="auto"/>
          <w:kern w:val="0"/>
          <w:sz w:val="24"/>
          <w:szCs w:val="24"/>
          <w:highlight w:val="none"/>
          <w:lang w:eastAsia="zh-CN"/>
        </w:rPr>
        <w:t>。</w:t>
      </w:r>
      <w:r>
        <w:rPr>
          <w:rFonts w:ascii="仿宋" w:hAnsi="仿宋" w:eastAsia="仿宋" w:cs="宋体"/>
          <w:b/>
          <w:bCs/>
          <w:color w:val="auto"/>
          <w:kern w:val="0"/>
          <w:sz w:val="24"/>
          <w:szCs w:val="24"/>
          <w:highlight w:val="none"/>
          <w:lang w:eastAsia="zh-CN"/>
        </w:rPr>
        <w:br w:type="textWrapping"/>
      </w:r>
      <w:r>
        <w:rPr>
          <w:rFonts w:hint="eastAsia" w:ascii="仿宋" w:hAnsi="仿宋" w:eastAsia="仿宋" w:cs="宋体"/>
          <w:b/>
          <w:bCs/>
          <w:color w:val="auto"/>
          <w:kern w:val="0"/>
          <w:sz w:val="24"/>
          <w:szCs w:val="24"/>
          <w:highlight w:val="none"/>
          <w:lang w:eastAsia="zh-CN"/>
        </w:rPr>
        <w:t>②</w:t>
      </w:r>
      <w:r>
        <w:rPr>
          <w:rFonts w:ascii="仿宋" w:hAnsi="仿宋" w:eastAsia="仿宋" w:cs="宋体"/>
          <w:b/>
          <w:bCs/>
          <w:color w:val="auto"/>
          <w:kern w:val="0"/>
          <w:sz w:val="24"/>
          <w:szCs w:val="24"/>
          <w:highlight w:val="none"/>
          <w:lang w:eastAsia="zh-CN"/>
        </w:rPr>
        <w:t>工程质量保证书（普通装修工艺履约期为2年，防水工艺履约期5年）加盖供应商公章</w:t>
      </w:r>
      <w:r>
        <w:rPr>
          <w:rFonts w:hint="eastAsia" w:ascii="仿宋" w:hAnsi="仿宋" w:eastAsia="仿宋" w:cs="宋体"/>
          <w:b/>
          <w:bCs/>
          <w:color w:val="auto"/>
          <w:kern w:val="0"/>
          <w:sz w:val="24"/>
          <w:szCs w:val="24"/>
          <w:highlight w:val="none"/>
          <w:lang w:eastAsia="zh-CN"/>
        </w:rPr>
        <w:t>。</w:t>
      </w:r>
      <w:r>
        <w:rPr>
          <w:rFonts w:ascii="仿宋" w:hAnsi="仿宋" w:eastAsia="仿宋" w:cs="宋体"/>
          <w:b/>
          <w:bCs/>
          <w:color w:val="auto"/>
          <w:kern w:val="0"/>
          <w:sz w:val="24"/>
          <w:szCs w:val="24"/>
          <w:highlight w:val="none"/>
          <w:lang w:eastAsia="zh-CN"/>
        </w:rPr>
        <w:br w:type="textWrapping"/>
      </w:r>
      <w:r>
        <w:rPr>
          <w:rFonts w:hint="eastAsia" w:ascii="仿宋" w:hAnsi="仿宋" w:eastAsia="仿宋" w:cs="宋体"/>
          <w:b/>
          <w:bCs/>
          <w:color w:val="auto"/>
          <w:kern w:val="0"/>
          <w:sz w:val="24"/>
          <w:szCs w:val="24"/>
          <w:highlight w:val="none"/>
          <w:lang w:eastAsia="zh-CN"/>
        </w:rPr>
        <w:t>③</w:t>
      </w:r>
      <w:r>
        <w:rPr>
          <w:rFonts w:ascii="仿宋" w:hAnsi="仿宋" w:eastAsia="仿宋" w:cs="宋体"/>
          <w:b/>
          <w:bCs/>
          <w:color w:val="auto"/>
          <w:kern w:val="0"/>
          <w:sz w:val="24"/>
          <w:szCs w:val="24"/>
          <w:highlight w:val="none"/>
          <w:lang w:eastAsia="zh-CN"/>
        </w:rPr>
        <w:t>一级造价工程师证书复印件。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F4885"/>
    <w:rsid w:val="118F4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rPr>
  </w:style>
  <w:style w:type="paragraph" w:customStyle="1" w:styleId="5">
    <w:name w:val="正文文本1"/>
    <w:basedOn w:val="1"/>
    <w:qFormat/>
    <w:uiPriority w:val="0"/>
    <w:pPr>
      <w:autoSpaceDE w:val="0"/>
      <w:autoSpaceDN w:val="0"/>
      <w:jc w:val="center"/>
    </w:pPr>
    <w:rPr>
      <w:rFonts w:ascii="宋体" w:hAnsi="Times New Roman"/>
      <w:kern w:val="0"/>
      <w:sz w:val="32"/>
      <w:szCs w:val="32"/>
    </w:rPr>
  </w:style>
  <w:style w:type="paragraph" w:customStyle="1" w:styleId="6">
    <w:name w:val="Table Text"/>
    <w:basedOn w:val="1"/>
    <w:semiHidden/>
    <w:qFormat/>
    <w:uiPriority w:val="0"/>
    <w:rPr>
      <w:rFonts w:ascii="宋体" w:hAnsi="宋体"/>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2024-06-07T06:31:00Z</dcterms:created>
  <dc:creator>Administrator</dc:creator>
  <cp:lastModifiedBy>Administrator</cp:lastModifiedBy>
  <dcterms:modified xsi:type="dcterms:W3CDTF">2024-06-07T06:32:10Z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