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after="120" w:line="400" w:lineRule="exact"/>
        <w:ind w:left="426"/>
        <w:jc w:val="center"/>
        <w:outlineLvl w:val="1"/>
        <w:rPr>
          <w:rFonts w:ascii="华文中宋" w:hAnsi="华文中宋" w:eastAsia="华文中宋" w:cs="黑体"/>
          <w:b/>
          <w:kern w:val="2"/>
          <w:sz w:val="30"/>
          <w:szCs w:val="30"/>
          <w:lang w:val="en-US" w:eastAsia="zh-CN" w:bidi="ar-SA"/>
        </w:rPr>
      </w:pPr>
      <w:bookmarkStart w:id="0" w:name="_Toc146617267"/>
      <w:bookmarkStart w:id="1" w:name="_Toc163720750"/>
      <w:r>
        <w:rPr>
          <w:rFonts w:hint="eastAsia" w:ascii="华文中宋" w:hAnsi="华文中宋" w:eastAsia="华文中宋" w:cs="黑体"/>
          <w:b/>
          <w:kern w:val="2"/>
          <w:sz w:val="30"/>
          <w:szCs w:val="30"/>
          <w:lang w:val="en-US" w:eastAsia="zh-CN" w:bidi="ar-SA"/>
        </w:rPr>
        <w:t>采购需求一览表：</w:t>
      </w:r>
      <w:bookmarkEnd w:id="0"/>
      <w:bookmarkEnd w:id="1"/>
    </w:p>
    <w:tbl>
      <w:tblPr>
        <w:tblStyle w:val="4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8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项目名称</w:t>
            </w:r>
          </w:p>
        </w:tc>
        <w:tc>
          <w:tcPr>
            <w:tcW w:w="806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bCs/>
                <w:color w:val="000000"/>
                <w:sz w:val="24"/>
                <w:szCs w:val="24"/>
              </w:rPr>
              <w:t>江西旅游商贸职业学院-旅游学院多功能软件实训室装修工程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5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数量（单位）</w:t>
            </w:r>
          </w:p>
        </w:tc>
        <w:tc>
          <w:tcPr>
            <w:tcW w:w="806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工期</w:t>
            </w:r>
          </w:p>
        </w:tc>
        <w:tc>
          <w:tcPr>
            <w:tcW w:w="806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详见第五章采购需求 三、商务要求。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5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实施地点</w:t>
            </w:r>
          </w:p>
        </w:tc>
        <w:tc>
          <w:tcPr>
            <w:tcW w:w="806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采购人指定地点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5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华文中宋" w:hAnsi="华文中宋" w:eastAsia="华文中宋" w:cs="黑体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黑体"/>
                <w:sz w:val="24"/>
                <w:szCs w:val="24"/>
              </w:rPr>
              <w:t>备注</w:t>
            </w:r>
          </w:p>
        </w:tc>
        <w:tc>
          <w:tcPr>
            <w:tcW w:w="806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76" w:lineRule="auto"/>
              <w:jc w:val="left"/>
            </w:pPr>
            <w:r>
              <w:rPr>
                <w:rFonts w:ascii="华文中宋" w:hAnsi="华文中宋" w:eastAsia="华文中宋" w:cs="黑体"/>
                <w:bCs/>
                <w:sz w:val="24"/>
                <w:szCs w:val="24"/>
              </w:rPr>
              <w:t>谈判报价包含谈判文件所约定的范围内全部内容价格体现的“交钥匙工程”。谈判报价包括但不限于施工机械、劳务、材料(包括采购人选定的材料供应商所供材料的运输、到现场的卸力及采购保管费用等)、墙地面及窗漏水修复、临时设施(包括场地内施工用水、电及场内施工道路等)、余土外运、垃圾清运至政府指定位置（含结构拆除等建筑垃圾）、缺陷修补、利润、保险、税金等各项直接、间接费用等完成本项目所需的一切相关费用。</w:t>
            </w:r>
          </w:p>
        </w:tc>
      </w:tr>
    </w:tbl>
    <w:p>
      <w:r>
        <w:br w:type="page"/>
      </w:r>
    </w:p>
    <w:p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after="120" w:line="400" w:lineRule="exact"/>
        <w:ind w:left="426"/>
        <w:jc w:val="center"/>
        <w:outlineLvl w:val="1"/>
        <w:rPr>
          <w:rFonts w:ascii="华文中宋" w:hAnsi="华文中宋" w:eastAsia="华文中宋" w:cs="黑体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华文中宋" w:hAnsi="华文中宋" w:eastAsia="华文中宋" w:cs="黑体"/>
          <w:b/>
          <w:kern w:val="2"/>
          <w:sz w:val="30"/>
          <w:szCs w:val="30"/>
          <w:lang w:val="en-US" w:eastAsia="zh-CN" w:bidi="ar-SA"/>
        </w:rPr>
        <w:t>采购（工程）需求</w:t>
      </w:r>
    </w:p>
    <w:p>
      <w:pPr>
        <w:autoSpaceDE w:val="0"/>
        <w:autoSpaceDN w:val="0"/>
        <w:spacing w:line="440" w:lineRule="exact"/>
        <w:ind w:firstLine="198"/>
        <w:jc w:val="left"/>
        <w:outlineLvl w:val="1"/>
        <w:rPr>
          <w:rFonts w:ascii="华文中宋" w:hAnsi="华文中宋" w:eastAsia="华文中宋" w:cs="黑体"/>
          <w:b/>
          <w:bCs/>
          <w:color w:val="000000"/>
          <w:kern w:val="2"/>
          <w:sz w:val="28"/>
          <w:szCs w:val="28"/>
          <w:lang w:val="en-US" w:eastAsia="zh-CN" w:bidi="ar-SA"/>
        </w:rPr>
      </w:pPr>
      <w:bookmarkStart w:id="2" w:name="_Toc134518990"/>
      <w:bookmarkStart w:id="3" w:name="_Toc30078"/>
      <w:bookmarkStart w:id="4" w:name="_Toc17128"/>
      <w:bookmarkStart w:id="5" w:name="_Toc381105409"/>
      <w:bookmarkStart w:id="6" w:name="_Toc32626"/>
      <w:r>
        <w:rPr>
          <w:rFonts w:hint="eastAsia" w:ascii="华文中宋" w:hAnsi="华文中宋" w:eastAsia="华文中宋" w:cs="黑体"/>
          <w:b/>
          <w:bCs/>
          <w:color w:val="000000"/>
          <w:kern w:val="2"/>
          <w:sz w:val="28"/>
          <w:szCs w:val="28"/>
          <w:lang w:val="en-US" w:eastAsia="zh-CN" w:bidi="ar-SA"/>
        </w:rPr>
        <w:t>一、技术要求条款</w:t>
      </w:r>
      <w:bookmarkEnd w:id="2"/>
    </w:p>
    <w:p>
      <w:pPr>
        <w:widowControl w:val="0"/>
        <w:numPr>
          <w:ilvl w:val="1"/>
          <w:numId w:val="2"/>
        </w:numPr>
        <w:spacing w:line="440" w:lineRule="exact"/>
        <w:ind w:left="1038" w:hanging="420"/>
        <w:jc w:val="both"/>
        <w:rPr>
          <w:rFonts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</w:pPr>
      <w:bookmarkStart w:id="7" w:name="_Toc112334140"/>
      <w:r>
        <w:rPr>
          <w:rFonts w:hint="eastAsia"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  <w:t>工程概况</w:t>
      </w:r>
      <w:bookmarkEnd w:id="7"/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bookmarkStart w:id="8" w:name="_Toc29517"/>
      <w:bookmarkStart w:id="9" w:name="_Toc5192"/>
      <w:bookmarkStart w:id="10" w:name="_Toc112334142"/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1）本项目为</w:t>
      </w:r>
      <w:bookmarkEnd w:id="8"/>
      <w:bookmarkEnd w:id="9"/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江西旅游商贸职业学院-旅游学院多功能软件实训室装修工程；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2）项目采购内容为旅游学院多功能智慧教室装饰装修。</w:t>
      </w:r>
    </w:p>
    <w:p>
      <w:pPr>
        <w:widowControl w:val="0"/>
        <w:numPr>
          <w:ilvl w:val="1"/>
          <w:numId w:val="2"/>
        </w:numPr>
        <w:spacing w:line="440" w:lineRule="exact"/>
        <w:ind w:left="1038" w:hanging="420"/>
        <w:jc w:val="both"/>
        <w:rPr>
          <w:rFonts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  <w:t>编制依据: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1)施工图纸;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2)《建设工程工程量清单计价规范》(GB50500-2013)；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3)2017 版《江西省房屋建筑与装饰工程消耗量定额及统一基价表》；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4)税额执行赣建价[2019]1 号文(关于重新调整江西省建设工程计价依据增值税税率的通知):费用定额中增值税税率调整为9%；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5)人工单价执行赣建价[2020]5 号(关于调整江西省建设工程定额综合工日单价的通知):建筑、安装、市政工程定额综合工日单价调整为 100 元/工日;装饰工程定额综合工日单价调整为117 元/工日；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6)主要材料单价执行《江西省造</w:t>
      </w:r>
      <w:r>
        <w:rPr>
          <w:rFonts w:hint="eastAsia" w:ascii="华文中宋" w:hAnsi="华文中宋" w:eastAsia="华文中宋" w:cs="黑体"/>
          <w:bCs/>
          <w:kern w:val="2"/>
          <w:sz w:val="24"/>
          <w:szCs w:val="24"/>
          <w:lang w:val="en-US" w:eastAsia="zh-CN" w:bidi="ar-SA"/>
        </w:rPr>
        <w:t>价信息》2024年2月南昌市</w:t>
      </w: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信息价,不足部分参市场价。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7）工程质量、材料、施工等特殊要求：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7.1工程质量总体要求详见采购文件。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7.2施工严格按设计要求及施工规范施工，确保工程质量、安全施工及按期竣工验收。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7.3本工程清单中所有已标明厚度的材料只允许正偏差，不允许负偏差。</w:t>
      </w:r>
    </w:p>
    <w:p>
      <w:pPr>
        <w:widowControl w:val="0"/>
        <w:spacing w:line="440" w:lineRule="exact"/>
        <w:ind w:left="991" w:leftChars="472" w:firstLine="0"/>
        <w:jc w:val="both"/>
        <w:rPr>
          <w:rFonts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黑体"/>
          <w:bCs/>
          <w:color w:val="000000"/>
          <w:kern w:val="2"/>
          <w:sz w:val="24"/>
          <w:szCs w:val="24"/>
          <w:lang w:val="en-US" w:eastAsia="zh-CN" w:bidi="ar-SA"/>
        </w:rPr>
        <w:t>7.4、其余未约定品牌质量的材料均按优良进行采购；材料在采购进场前，施工单位必须提供业主满意的样品，业主根据材料价格选择以上品牌符合本工程要求的材料，施工单位必须按业主确认的材料采购。如若施工单位未按此采购材料，将视为违约，所造成的损失由施工单位承担。</w:t>
      </w:r>
    </w:p>
    <w:bookmarkEnd w:id="10"/>
    <w:p>
      <w:pPr>
        <w:widowControl w:val="0"/>
        <w:numPr>
          <w:ilvl w:val="1"/>
          <w:numId w:val="2"/>
        </w:numPr>
        <w:spacing w:line="440" w:lineRule="exact"/>
        <w:ind w:left="1038" w:hanging="420"/>
        <w:jc w:val="both"/>
        <w:rPr>
          <w:rFonts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  <w:t>工程量清单-详见附件</w:t>
      </w:r>
    </w:p>
    <w:bookmarkEnd w:id="3"/>
    <w:bookmarkEnd w:id="4"/>
    <w:bookmarkEnd w:id="5"/>
    <w:bookmarkEnd w:id="6"/>
    <w:p>
      <w:pPr>
        <w:widowControl w:val="0"/>
        <w:spacing w:after="120"/>
        <w:jc w:val="center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drawing>
          <wp:inline distT="0" distB="0" distL="114300" distR="114300">
            <wp:extent cx="1380490" cy="5181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after="120"/>
        <w:ind w:left="424" w:leftChars="202" w:firstLine="159" w:firstLineChars="66"/>
        <w:jc w:val="both"/>
        <w:rPr>
          <w:rFonts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b/>
          <w:color w:val="000000"/>
          <w:kern w:val="2"/>
          <w:sz w:val="24"/>
          <w:szCs w:val="24"/>
          <w:lang w:val="en-US" w:eastAsia="zh-CN" w:bidi="ar-SA"/>
        </w:rPr>
        <w:t>4、工程要求</w:t>
      </w:r>
    </w:p>
    <w:p>
      <w:pPr>
        <w:widowControl w:val="0"/>
        <w:spacing w:after="120" w:line="440" w:lineRule="exact"/>
        <w:ind w:left="424" w:leftChars="202" w:firstLine="424" w:firstLineChars="177"/>
        <w:jc w:val="both"/>
        <w:rPr>
          <w:rFonts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  <w:t>4.1、谈判文件工程量清单中的安全文明施工费、规费、暂估价、暂列金额均属于不可竞争费，不得让利，否则视为无效响应。</w:t>
      </w:r>
    </w:p>
    <w:p>
      <w:pPr>
        <w:widowControl w:val="0"/>
        <w:spacing w:after="120" w:line="440" w:lineRule="exact"/>
        <w:ind w:left="424" w:leftChars="202" w:firstLine="424" w:firstLineChars="177"/>
        <w:jc w:val="both"/>
        <w:rPr>
          <w:rFonts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  <w:t>4.2、凡成交供应商采购的主要材料，必须提供出厂合格证书及试验资料原件给采购人查验，否则，采购人有权制止使用并追究成交供应商的违约责任。</w:t>
      </w:r>
    </w:p>
    <w:p>
      <w:pPr>
        <w:widowControl w:val="0"/>
        <w:spacing w:after="120" w:line="440" w:lineRule="exact"/>
        <w:ind w:left="424" w:leftChars="202" w:firstLine="424" w:firstLineChars="177"/>
        <w:jc w:val="both"/>
        <w:rPr>
          <w:rFonts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  <w:t>4.3、供应商应按照本文件中提供的工程量清单，根据项目特征描述的内容及有关要求实施合同工程，直到项目被改变为止。</w:t>
      </w:r>
    </w:p>
    <w:p>
      <w:pPr>
        <w:widowControl w:val="0"/>
        <w:spacing w:after="120" w:line="440" w:lineRule="exact"/>
        <w:ind w:left="424" w:leftChars="202" w:firstLine="424" w:firstLineChars="177"/>
        <w:jc w:val="both"/>
        <w:rPr>
          <w:rFonts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宋体"/>
          <w:color w:val="000000"/>
          <w:kern w:val="2"/>
          <w:sz w:val="24"/>
          <w:szCs w:val="24"/>
          <w:lang w:val="en-US" w:eastAsia="zh-CN" w:bidi="ar-SA"/>
        </w:rPr>
        <w:t>4.4、供应商在编制响应报价时，必须严格执行现行《建设工程工程量清单计价规范》的强制性条文，违反强制性条文的，响应报价应当予以否决。</w:t>
      </w:r>
    </w:p>
    <w:p>
      <w:pPr>
        <w:spacing w:line="440" w:lineRule="exact"/>
        <w:ind w:left="424" w:leftChars="202" w:firstLine="161" w:firstLineChars="66"/>
        <w:rPr>
          <w:rFonts w:ascii="华文中宋" w:hAnsi="华文中宋" w:eastAsia="华文中宋" w:cs="黑体"/>
          <w:b/>
          <w:color w:val="000000"/>
          <w:spacing w:val="2"/>
          <w:kern w:val="0"/>
          <w:sz w:val="24"/>
          <w:szCs w:val="24"/>
        </w:rPr>
      </w:pPr>
      <w:r>
        <w:rPr>
          <w:rFonts w:hint="eastAsia" w:ascii="华文中宋" w:hAnsi="华文中宋" w:eastAsia="华文中宋" w:cs="黑体"/>
          <w:b/>
          <w:color w:val="000000"/>
          <w:spacing w:val="2"/>
          <w:kern w:val="0"/>
          <w:sz w:val="24"/>
          <w:szCs w:val="24"/>
        </w:rPr>
        <w:t>注：</w:t>
      </w:r>
      <w:r>
        <w:rPr>
          <w:rFonts w:hint="eastAsia" w:ascii="华文中宋" w:hAnsi="华文中宋" w:eastAsia="华文中宋" w:cs="黑体"/>
          <w:b/>
          <w:color w:val="000000"/>
          <w:sz w:val="24"/>
          <w:szCs w:val="24"/>
        </w:rPr>
        <w:t>以上“技术要求”为实质性要求，必须完全满足或优于，否则作无效响应处理。</w:t>
      </w: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ind w:left="618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</w:lvl>
    <w:lvl w:ilvl="3" w:tentative="0">
      <w:start w:val="1"/>
      <w:numFmt w:val="decimal"/>
      <w:lvlText w:val="%4."/>
      <w:lvlJc w:val="left"/>
      <w:pPr>
        <w:ind w:left="1878" w:hanging="420"/>
      </w:pPr>
    </w:lvl>
    <w:lvl w:ilvl="4" w:tentative="0">
      <w:start w:val="1"/>
      <w:numFmt w:val="lowerLetter"/>
      <w:lvlText w:val="%5)"/>
      <w:lvlJc w:val="left"/>
      <w:pPr>
        <w:ind w:left="2298" w:hanging="420"/>
      </w:pPr>
    </w:lvl>
    <w:lvl w:ilvl="5" w:tentative="0">
      <w:start w:val="1"/>
      <w:numFmt w:val="lowerRoman"/>
      <w:lvlText w:val="%6."/>
      <w:lvlJc w:val="right"/>
      <w:pPr>
        <w:ind w:left="2718" w:hanging="420"/>
      </w:pPr>
    </w:lvl>
    <w:lvl w:ilvl="6" w:tentative="0">
      <w:start w:val="1"/>
      <w:numFmt w:val="decimal"/>
      <w:lvlText w:val="%7."/>
      <w:lvlJc w:val="left"/>
      <w:pPr>
        <w:ind w:left="3138" w:hanging="420"/>
      </w:pPr>
    </w:lvl>
    <w:lvl w:ilvl="7" w:tentative="0">
      <w:start w:val="1"/>
      <w:numFmt w:val="lowerLetter"/>
      <w:lvlText w:val="%8)"/>
      <w:lvlJc w:val="left"/>
      <w:pPr>
        <w:ind w:left="3558" w:hanging="420"/>
      </w:pPr>
    </w:lvl>
    <w:lvl w:ilvl="8" w:tentative="0">
      <w:start w:val="1"/>
      <w:numFmt w:val="lowerRoman"/>
      <w:lvlText w:val="%9."/>
      <w:lvlJc w:val="right"/>
      <w:pPr>
        <w:ind w:left="3978" w:hanging="420"/>
      </w:pPr>
    </w:lvl>
  </w:abstractNum>
  <w:abstractNum w:abstractNumId="1">
    <w:nsid w:val="406A7091"/>
    <w:multiLevelType w:val="singleLevel"/>
    <w:tmpl w:val="406A7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jA3YjdiMDE5YjQ1ZThhMGJiMTA0YTE3YTlhOTQifQ=="/>
  </w:docVars>
  <w:rsids>
    <w:rsidRoot w:val="10347008"/>
    <w:rsid w:val="10347008"/>
    <w:rsid w:val="110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!正文"/>
    <w:basedOn w:val="1"/>
    <w:qFormat/>
    <w:uiPriority w:val="0"/>
    <w:pPr>
      <w:spacing w:line="500" w:lineRule="exact"/>
      <w:ind w:firstLine="200"/>
    </w:pPr>
    <w:rPr>
      <w:rFonts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2024-05-31T09:01:00Z</dcterms:created>
  <dc:creator>Adolf</dc:creator>
  <cp:lastModifiedBy>Adolf</cp:lastModifiedBy>
  <dcterms:modified xsi:type="dcterms:W3CDTF">2024-05-31T09:02:01Z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BAC66514753C4D478260716A84069A9F_11</vt:lpwstr>
  </property>
</Properties>
</file>