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auto"/>
        <w:ind w:firstLine="540"/>
        <w:jc w:val="center"/>
        <w:rPr>
          <w:rFonts w:ascii="仿宋" w:hAnsi="仿宋" w:eastAsia="仿宋" w:cs="仿宋"/>
          <w:color w:val="auto"/>
          <w:sz w:val="72"/>
          <w:highlight w:val="none"/>
        </w:rPr>
      </w:pPr>
    </w:p>
    <w:p>
      <w:pPr>
        <w:ind w:firstLine="539"/>
        <w:jc w:val="center"/>
        <w:rPr>
          <w:rFonts w:cs="仿宋" w:asciiTheme="minorEastAsia" w:hAnsiTheme="minorEastAsia" w:eastAsiaTheme="minorEastAsia"/>
          <w:color w:val="auto"/>
          <w:sz w:val="84"/>
          <w:szCs w:val="84"/>
          <w:highlight w:val="none"/>
        </w:rPr>
      </w:pPr>
      <w:r>
        <w:rPr>
          <w:rFonts w:hint="eastAsia" w:cs="仿宋" w:asciiTheme="minorEastAsia" w:hAnsiTheme="minorEastAsia" w:eastAsiaTheme="minorEastAsia"/>
          <w:color w:val="auto"/>
          <w:sz w:val="84"/>
          <w:szCs w:val="84"/>
          <w:highlight w:val="none"/>
        </w:rPr>
        <w:t>电子化政府采购</w:t>
      </w:r>
    </w:p>
    <w:p>
      <w:pPr>
        <w:ind w:firstLine="539"/>
        <w:jc w:val="center"/>
        <w:rPr>
          <w:rFonts w:cs="仿宋" w:asciiTheme="minorEastAsia" w:hAnsiTheme="minorEastAsia" w:eastAsiaTheme="minorEastAsia"/>
          <w:color w:val="auto"/>
          <w:sz w:val="84"/>
          <w:szCs w:val="84"/>
          <w:highlight w:val="none"/>
        </w:rPr>
      </w:pPr>
      <w:r>
        <w:rPr>
          <w:rFonts w:hint="eastAsia" w:cs="仿宋" w:asciiTheme="minorEastAsia" w:hAnsiTheme="minorEastAsia" w:eastAsiaTheme="minorEastAsia"/>
          <w:color w:val="auto"/>
          <w:sz w:val="84"/>
          <w:szCs w:val="84"/>
          <w:highlight w:val="none"/>
        </w:rPr>
        <w:t>公开招标文件</w:t>
      </w:r>
    </w:p>
    <w:p>
      <w:pPr>
        <w:spacing w:line="480" w:lineRule="auto"/>
        <w:ind w:left="2880" w:leftChars="836" w:hanging="1124" w:hangingChars="350"/>
        <w:rPr>
          <w:rFonts w:cs="仿宋" w:asciiTheme="minorEastAsia" w:hAnsiTheme="minorEastAsia" w:eastAsiaTheme="minorEastAsia"/>
          <w:b/>
          <w:bCs/>
          <w:color w:val="auto"/>
          <w:sz w:val="32"/>
          <w:highlight w:val="none"/>
        </w:rPr>
      </w:pPr>
    </w:p>
    <w:p>
      <w:pPr>
        <w:spacing w:line="480" w:lineRule="auto"/>
        <w:jc w:val="center"/>
        <w:rPr>
          <w:rFonts w:cs="仿宋" w:asciiTheme="minorEastAsia" w:hAnsiTheme="minorEastAsia" w:eastAsiaTheme="minorEastAsia"/>
          <w:b/>
          <w:bCs/>
          <w:color w:val="auto"/>
          <w:sz w:val="32"/>
          <w:highlight w:val="none"/>
        </w:rPr>
      </w:pPr>
      <w:r>
        <w:rPr>
          <w:rFonts w:hint="eastAsia" w:cs="仿宋" w:asciiTheme="minorEastAsia" w:hAnsiTheme="minorEastAsia" w:eastAsiaTheme="minorEastAsia"/>
          <w:b/>
          <w:bCs/>
          <w:color w:val="auto"/>
          <w:sz w:val="32"/>
          <w:highlight w:val="none"/>
        </w:rPr>
        <w:t>（货物类）</w:t>
      </w:r>
    </w:p>
    <w:p>
      <w:pPr>
        <w:spacing w:line="480" w:lineRule="auto"/>
        <w:ind w:left="2880" w:leftChars="836" w:hanging="1124" w:hangingChars="350"/>
        <w:rPr>
          <w:rFonts w:cs="仿宋" w:asciiTheme="minorEastAsia" w:hAnsiTheme="minorEastAsia" w:eastAsiaTheme="minorEastAsia"/>
          <w:b/>
          <w:bCs/>
          <w:color w:val="auto"/>
          <w:sz w:val="32"/>
          <w:highlight w:val="none"/>
        </w:rPr>
      </w:pPr>
    </w:p>
    <w:p>
      <w:pPr>
        <w:spacing w:line="480" w:lineRule="auto"/>
        <w:jc w:val="center"/>
        <w:rPr>
          <w:rFonts w:hint="default" w:cs="仿宋" w:asciiTheme="minorEastAsia" w:hAnsiTheme="minorEastAsia" w:eastAsiaTheme="minorEastAsia"/>
          <w:b/>
          <w:bCs/>
          <w:color w:val="auto"/>
          <w:sz w:val="32"/>
          <w:highlight w:val="none"/>
          <w:lang w:val="en-US" w:eastAsia="zh-CN"/>
        </w:rPr>
      </w:pPr>
      <w:r>
        <w:rPr>
          <w:rFonts w:hint="eastAsia" w:cs="仿宋" w:asciiTheme="minorEastAsia" w:hAnsiTheme="minorEastAsia" w:eastAsiaTheme="minorEastAsia"/>
          <w:b/>
          <w:bCs/>
          <w:color w:val="auto"/>
          <w:sz w:val="32"/>
          <w:highlight w:val="none"/>
        </w:rPr>
        <w:t>项目名称：江西旅游商贸职业学院艺传学院计算机教学机房更新项目</w:t>
      </w:r>
    </w:p>
    <w:p>
      <w:pPr>
        <w:spacing w:line="480" w:lineRule="auto"/>
        <w:ind w:firstLine="321" w:firstLineChars="100"/>
        <w:rPr>
          <w:rFonts w:hint="eastAsia" w:cs="仿宋" w:asciiTheme="minorEastAsia" w:hAnsiTheme="minorEastAsia" w:eastAsiaTheme="minorEastAsia"/>
          <w:b/>
          <w:bCs/>
          <w:color w:val="auto"/>
          <w:sz w:val="32"/>
          <w:highlight w:val="yellow"/>
          <w:lang w:eastAsia="zh-CN"/>
        </w:rPr>
      </w:pPr>
      <w:r>
        <w:rPr>
          <w:rFonts w:hint="eastAsia" w:cs="仿宋" w:asciiTheme="minorEastAsia" w:hAnsiTheme="minorEastAsia" w:eastAsiaTheme="minorEastAsia"/>
          <w:b/>
          <w:bCs/>
          <w:color w:val="auto"/>
          <w:sz w:val="32"/>
          <w:highlight w:val="none"/>
        </w:rPr>
        <w:t>项目编号：JXTC2024200157</w:t>
      </w:r>
    </w:p>
    <w:p>
      <w:pPr>
        <w:spacing w:line="480" w:lineRule="auto"/>
        <w:rPr>
          <w:rFonts w:cs="仿宋" w:asciiTheme="minorEastAsia" w:hAnsiTheme="minorEastAsia" w:eastAsiaTheme="minorEastAsia"/>
          <w:color w:val="auto"/>
          <w:sz w:val="48"/>
          <w:highlight w:val="none"/>
        </w:rPr>
      </w:pPr>
    </w:p>
    <w:p>
      <w:pPr>
        <w:spacing w:line="480" w:lineRule="auto"/>
        <w:rPr>
          <w:rFonts w:cs="仿宋" w:asciiTheme="minorEastAsia" w:hAnsiTheme="minorEastAsia" w:eastAsiaTheme="minorEastAsia"/>
          <w:color w:val="auto"/>
          <w:sz w:val="48"/>
          <w:highlight w:val="none"/>
        </w:rPr>
      </w:pPr>
    </w:p>
    <w:p>
      <w:pPr>
        <w:spacing w:line="480" w:lineRule="auto"/>
        <w:jc w:val="center"/>
        <w:rPr>
          <w:rFonts w:cs="仿宋" w:asciiTheme="minorEastAsia" w:hAnsiTheme="minorEastAsia" w:eastAsiaTheme="minorEastAsia"/>
          <w:b/>
          <w:color w:val="auto"/>
          <w:sz w:val="36"/>
          <w:highlight w:val="none"/>
        </w:rPr>
      </w:pPr>
      <w:r>
        <w:rPr>
          <w:rFonts w:hint="eastAsia" w:cs="仿宋" w:asciiTheme="minorEastAsia" w:hAnsiTheme="minorEastAsia" w:eastAsiaTheme="minorEastAsia"/>
          <w:b/>
          <w:color w:val="auto"/>
          <w:sz w:val="36"/>
          <w:highlight w:val="none"/>
        </w:rPr>
        <w:t>江西省机电设备招标有限公司</w:t>
      </w:r>
    </w:p>
    <w:p>
      <w:pPr>
        <w:spacing w:line="480" w:lineRule="auto"/>
        <w:jc w:val="center"/>
        <w:rPr>
          <w:rFonts w:cs="仿宋" w:asciiTheme="minorEastAsia" w:hAnsiTheme="minorEastAsia" w:eastAsiaTheme="minorEastAsia"/>
          <w:b/>
          <w:color w:val="auto"/>
          <w:sz w:val="36"/>
          <w:highlight w:val="none"/>
        </w:rPr>
      </w:pPr>
      <w:r>
        <w:rPr>
          <w:rFonts w:hint="eastAsia" w:cs="仿宋" w:asciiTheme="minorEastAsia" w:hAnsiTheme="minorEastAsia" w:eastAsiaTheme="minorEastAsia"/>
          <w:b/>
          <w:color w:val="auto"/>
          <w:sz w:val="36"/>
          <w:highlight w:val="none"/>
        </w:rPr>
        <w:t xml:space="preserve">中国 </w:t>
      </w:r>
      <w:r>
        <w:rPr>
          <w:rFonts w:hint="eastAsia" w:cs="仿宋" w:asciiTheme="minorEastAsia" w:hAnsiTheme="minorEastAsia" w:eastAsiaTheme="minorEastAsia"/>
          <w:b/>
          <w:color w:val="auto"/>
          <w:sz w:val="24"/>
          <w:highlight w:val="none"/>
        </w:rPr>
        <w:t>.</w:t>
      </w:r>
      <w:r>
        <w:rPr>
          <w:rFonts w:hint="eastAsia" w:cs="仿宋" w:asciiTheme="minorEastAsia" w:hAnsiTheme="minorEastAsia" w:eastAsiaTheme="minorEastAsia"/>
          <w:b/>
          <w:color w:val="auto"/>
          <w:sz w:val="36"/>
          <w:highlight w:val="none"/>
        </w:rPr>
        <w:t xml:space="preserve"> 南昌</w:t>
      </w:r>
    </w:p>
    <w:p>
      <w:pPr>
        <w:spacing w:line="480" w:lineRule="auto"/>
        <w:jc w:val="center"/>
        <w:rPr>
          <w:rFonts w:cs="仿宋" w:asciiTheme="minorEastAsia" w:hAnsiTheme="minorEastAsia" w:eastAsiaTheme="minorEastAsia"/>
          <w:b/>
          <w:color w:val="auto"/>
          <w:sz w:val="36"/>
          <w:highlight w:val="none"/>
        </w:rPr>
        <w:sectPr>
          <w:headerReference r:id="rId3" w:type="default"/>
          <w:footerReference r:id="rId5" w:type="default"/>
          <w:headerReference r:id="rId4" w:type="even"/>
          <w:footerReference r:id="rId6" w:type="even"/>
          <w:pgSz w:w="11906" w:h="16838"/>
          <w:pgMar w:top="1247" w:right="1417" w:bottom="1702" w:left="1417" w:header="851" w:footer="992" w:gutter="0"/>
          <w:pgBorders>
            <w:top w:val="none" w:sz="0" w:space="0"/>
            <w:left w:val="none" w:sz="0" w:space="0"/>
            <w:bottom w:val="none" w:sz="0" w:space="0"/>
            <w:right w:val="none" w:sz="0" w:space="0"/>
          </w:pgBorders>
          <w:pgNumType w:fmt="upperRoman" w:start="1"/>
          <w:cols w:space="720" w:num="1"/>
          <w:titlePg/>
          <w:docGrid w:linePitch="312" w:charSpace="0"/>
        </w:sectPr>
      </w:pPr>
    </w:p>
    <w:p>
      <w:pPr>
        <w:adjustRightInd w:val="0"/>
        <w:snapToGrid w:val="0"/>
        <w:ind w:firstLine="539"/>
        <w:jc w:val="center"/>
        <w:rPr>
          <w:rFonts w:cs="仿宋" w:asciiTheme="minorEastAsia" w:hAnsiTheme="minorEastAsia" w:eastAsiaTheme="minorEastAsia"/>
          <w:bCs/>
          <w:color w:val="auto"/>
          <w:sz w:val="44"/>
          <w:szCs w:val="44"/>
          <w:highlight w:val="none"/>
        </w:rPr>
      </w:pPr>
      <w:r>
        <w:rPr>
          <w:rFonts w:hint="eastAsia" w:cs="仿宋" w:asciiTheme="minorEastAsia" w:hAnsiTheme="minorEastAsia" w:eastAsiaTheme="minorEastAsia"/>
          <w:bCs/>
          <w:color w:val="auto"/>
          <w:sz w:val="44"/>
          <w:szCs w:val="44"/>
          <w:highlight w:val="none"/>
        </w:rPr>
        <w:t>目   录</w:t>
      </w:r>
    </w:p>
    <w:p>
      <w:pPr>
        <w:pStyle w:val="26"/>
        <w:keepNext w:val="0"/>
        <w:keepLines w:val="0"/>
        <w:pageBreakBefore w:val="0"/>
        <w:widowControl w:val="0"/>
        <w:tabs>
          <w:tab w:val="right" w:leader="dot" w:pos="9354"/>
          <w:tab w:val="clear" w:pos="840"/>
          <w:tab w:val="clear" w:pos="9629"/>
        </w:tabs>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b/>
          <w:bCs/>
          <w:color w:val="auto"/>
          <w:sz w:val="32"/>
          <w:szCs w:val="32"/>
          <w:highlight w:val="none"/>
        </w:rPr>
        <w:fldChar w:fldCharType="begin"/>
      </w:r>
      <w:r>
        <w:rPr>
          <w:rStyle w:val="51"/>
          <w:rFonts w:hint="eastAsia" w:ascii="仿宋" w:hAnsi="仿宋" w:eastAsia="仿宋" w:cs="仿宋"/>
          <w:b/>
          <w:bCs/>
          <w:color w:val="auto"/>
          <w:sz w:val="32"/>
          <w:szCs w:val="32"/>
          <w:highlight w:val="none"/>
        </w:rPr>
        <w:instrText xml:space="preserve"> TOC \o "1-3" \h \z \u </w:instrText>
      </w:r>
      <w:r>
        <w:rPr>
          <w:rFonts w:hint="eastAsia" w:ascii="仿宋" w:hAnsi="仿宋" w:eastAsia="仿宋" w:cs="仿宋"/>
          <w:b/>
          <w:bCs/>
          <w:color w:val="auto"/>
          <w:sz w:val="32"/>
          <w:szCs w:val="32"/>
          <w:highlight w:val="none"/>
        </w:rPr>
        <w:fldChar w:fldCharType="separate"/>
      </w:r>
      <w:r>
        <w:rPr>
          <w:rFonts w:hint="eastAsia" w:ascii="仿宋" w:hAnsi="仿宋" w:eastAsia="仿宋" w:cs="仿宋"/>
          <w:bCs/>
          <w:color w:val="auto"/>
          <w:sz w:val="32"/>
          <w:szCs w:val="32"/>
          <w:highlight w:val="none"/>
        </w:rPr>
        <w:fldChar w:fldCharType="begin"/>
      </w:r>
      <w:r>
        <w:rPr>
          <w:rFonts w:hint="eastAsia" w:ascii="仿宋" w:hAnsi="仿宋" w:eastAsia="仿宋" w:cs="仿宋"/>
          <w:bCs/>
          <w:sz w:val="32"/>
          <w:szCs w:val="32"/>
          <w:highlight w:val="none"/>
        </w:rPr>
        <w:instrText xml:space="preserve"> HYPERLINK \l _Toc16339 </w:instrText>
      </w:r>
      <w:r>
        <w:rPr>
          <w:rFonts w:hint="eastAsia" w:ascii="仿宋" w:hAnsi="仿宋" w:eastAsia="仿宋" w:cs="仿宋"/>
          <w:bCs/>
          <w:sz w:val="32"/>
          <w:szCs w:val="32"/>
          <w:highlight w:val="none"/>
        </w:rPr>
        <w:fldChar w:fldCharType="separate"/>
      </w:r>
      <w:r>
        <w:rPr>
          <w:rFonts w:hint="eastAsia" w:ascii="仿宋" w:hAnsi="仿宋" w:eastAsia="仿宋" w:cs="仿宋"/>
          <w:bCs/>
          <w:sz w:val="32"/>
          <w:szCs w:val="32"/>
        </w:rPr>
        <w:t xml:space="preserve">第一章 </w:t>
      </w:r>
      <w:r>
        <w:rPr>
          <w:rFonts w:hint="eastAsia" w:ascii="仿宋" w:hAnsi="仿宋" w:eastAsia="仿宋" w:cs="仿宋"/>
          <w:bCs/>
          <w:sz w:val="32"/>
          <w:szCs w:val="32"/>
          <w:highlight w:val="none"/>
        </w:rPr>
        <w:t>投标邀请</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_Toc16339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bCs/>
          <w:color w:val="auto"/>
          <w:sz w:val="32"/>
          <w:szCs w:val="32"/>
          <w:highlight w:val="none"/>
        </w:rPr>
        <w:fldChar w:fldCharType="end"/>
      </w:r>
    </w:p>
    <w:p>
      <w:pPr>
        <w:pStyle w:val="26"/>
        <w:keepNext w:val="0"/>
        <w:keepLines w:val="0"/>
        <w:pageBreakBefore w:val="0"/>
        <w:widowControl w:val="0"/>
        <w:tabs>
          <w:tab w:val="right" w:leader="dot" w:pos="9354"/>
          <w:tab w:val="clear" w:pos="840"/>
          <w:tab w:val="clear" w:pos="9629"/>
        </w:tabs>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bCs/>
          <w:color w:val="auto"/>
          <w:sz w:val="32"/>
          <w:szCs w:val="32"/>
          <w:highlight w:val="none"/>
        </w:rPr>
        <w:fldChar w:fldCharType="begin"/>
      </w:r>
      <w:r>
        <w:rPr>
          <w:rFonts w:hint="eastAsia" w:ascii="仿宋" w:hAnsi="仿宋" w:eastAsia="仿宋" w:cs="仿宋"/>
          <w:bCs/>
          <w:sz w:val="32"/>
          <w:szCs w:val="32"/>
          <w:highlight w:val="none"/>
        </w:rPr>
        <w:instrText xml:space="preserve"> HYPERLINK \l _Toc8244 </w:instrText>
      </w:r>
      <w:r>
        <w:rPr>
          <w:rFonts w:hint="eastAsia" w:ascii="仿宋" w:hAnsi="仿宋" w:eastAsia="仿宋" w:cs="仿宋"/>
          <w:bCs/>
          <w:sz w:val="32"/>
          <w:szCs w:val="32"/>
          <w:highlight w:val="none"/>
        </w:rPr>
        <w:fldChar w:fldCharType="separate"/>
      </w:r>
      <w:r>
        <w:rPr>
          <w:rFonts w:hint="eastAsia" w:ascii="仿宋" w:hAnsi="仿宋" w:eastAsia="仿宋" w:cs="仿宋"/>
          <w:bCs/>
          <w:sz w:val="32"/>
          <w:szCs w:val="32"/>
          <w:highlight w:val="none"/>
        </w:rPr>
        <w:t>第二章　投标人须知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_Toc8244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bCs/>
          <w:color w:val="auto"/>
          <w:sz w:val="32"/>
          <w:szCs w:val="32"/>
          <w:highlight w:val="none"/>
        </w:rPr>
        <w:fldChar w:fldCharType="end"/>
      </w:r>
    </w:p>
    <w:p>
      <w:pPr>
        <w:pStyle w:val="32"/>
        <w:keepNext w:val="0"/>
        <w:keepLines w:val="0"/>
        <w:pageBreakBefore w:val="0"/>
        <w:widowControl w:val="0"/>
        <w:tabs>
          <w:tab w:val="right" w:leader="dot" w:pos="9354"/>
          <w:tab w:val="clear" w:pos="9629"/>
        </w:tabs>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bCs/>
          <w:color w:val="auto"/>
          <w:sz w:val="32"/>
          <w:szCs w:val="32"/>
          <w:highlight w:val="none"/>
        </w:rPr>
        <w:fldChar w:fldCharType="begin"/>
      </w:r>
      <w:r>
        <w:rPr>
          <w:rFonts w:hint="eastAsia" w:ascii="仿宋" w:hAnsi="仿宋" w:eastAsia="仿宋" w:cs="仿宋"/>
          <w:bCs/>
          <w:sz w:val="32"/>
          <w:szCs w:val="32"/>
          <w:highlight w:val="none"/>
        </w:rPr>
        <w:instrText xml:space="preserve"> HYPERLINK \l _Toc8213 </w:instrText>
      </w:r>
      <w:r>
        <w:rPr>
          <w:rFonts w:hint="eastAsia" w:ascii="仿宋" w:hAnsi="仿宋" w:eastAsia="仿宋" w:cs="仿宋"/>
          <w:bCs/>
          <w:sz w:val="32"/>
          <w:szCs w:val="32"/>
          <w:highlight w:val="none"/>
        </w:rPr>
        <w:fldChar w:fldCharType="separate"/>
      </w:r>
      <w:r>
        <w:rPr>
          <w:rFonts w:hint="eastAsia" w:ascii="仿宋" w:hAnsi="仿宋" w:eastAsia="仿宋" w:cs="仿宋"/>
          <w:sz w:val="32"/>
          <w:szCs w:val="32"/>
          <w:highlight w:val="none"/>
        </w:rPr>
        <w:t>一、投标人须知前附表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_Toc8213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bCs/>
          <w:color w:val="auto"/>
          <w:sz w:val="32"/>
          <w:szCs w:val="32"/>
          <w:highlight w:val="none"/>
        </w:rPr>
        <w:fldChar w:fldCharType="end"/>
      </w:r>
    </w:p>
    <w:p>
      <w:pPr>
        <w:pStyle w:val="32"/>
        <w:keepNext w:val="0"/>
        <w:keepLines w:val="0"/>
        <w:pageBreakBefore w:val="0"/>
        <w:widowControl w:val="0"/>
        <w:tabs>
          <w:tab w:val="right" w:leader="dot" w:pos="9354"/>
          <w:tab w:val="clear" w:pos="9629"/>
        </w:tabs>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bCs/>
          <w:color w:val="auto"/>
          <w:sz w:val="32"/>
          <w:szCs w:val="32"/>
          <w:highlight w:val="none"/>
        </w:rPr>
        <w:fldChar w:fldCharType="begin"/>
      </w:r>
      <w:r>
        <w:rPr>
          <w:rFonts w:hint="eastAsia" w:ascii="仿宋" w:hAnsi="仿宋" w:eastAsia="仿宋" w:cs="仿宋"/>
          <w:bCs/>
          <w:sz w:val="32"/>
          <w:szCs w:val="32"/>
          <w:highlight w:val="none"/>
        </w:rPr>
        <w:instrText xml:space="preserve"> HYPERLINK \l _Toc25817 </w:instrText>
      </w:r>
      <w:r>
        <w:rPr>
          <w:rFonts w:hint="eastAsia" w:ascii="仿宋" w:hAnsi="仿宋" w:eastAsia="仿宋" w:cs="仿宋"/>
          <w:bCs/>
          <w:sz w:val="32"/>
          <w:szCs w:val="32"/>
          <w:highlight w:val="none"/>
        </w:rPr>
        <w:fldChar w:fldCharType="separate"/>
      </w:r>
      <w:r>
        <w:rPr>
          <w:rFonts w:hint="eastAsia" w:ascii="仿宋" w:hAnsi="仿宋" w:eastAsia="仿宋" w:cs="仿宋"/>
          <w:sz w:val="32"/>
          <w:szCs w:val="32"/>
          <w:highlight w:val="none"/>
        </w:rPr>
        <w:t>二、招  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_Toc25817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bCs/>
          <w:color w:val="auto"/>
          <w:sz w:val="32"/>
          <w:szCs w:val="32"/>
          <w:highlight w:val="none"/>
        </w:rPr>
        <w:fldChar w:fldCharType="end"/>
      </w:r>
    </w:p>
    <w:p>
      <w:pPr>
        <w:pStyle w:val="32"/>
        <w:keepNext w:val="0"/>
        <w:keepLines w:val="0"/>
        <w:pageBreakBefore w:val="0"/>
        <w:widowControl w:val="0"/>
        <w:tabs>
          <w:tab w:val="right" w:leader="dot" w:pos="9354"/>
          <w:tab w:val="clear" w:pos="9629"/>
        </w:tabs>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bCs/>
          <w:color w:val="auto"/>
          <w:sz w:val="32"/>
          <w:szCs w:val="32"/>
          <w:highlight w:val="none"/>
        </w:rPr>
        <w:fldChar w:fldCharType="begin"/>
      </w:r>
      <w:r>
        <w:rPr>
          <w:rFonts w:hint="eastAsia" w:ascii="仿宋" w:hAnsi="仿宋" w:eastAsia="仿宋" w:cs="仿宋"/>
          <w:bCs/>
          <w:sz w:val="32"/>
          <w:szCs w:val="32"/>
          <w:highlight w:val="none"/>
        </w:rPr>
        <w:instrText xml:space="preserve"> HYPERLINK \l _Toc4871 </w:instrText>
      </w:r>
      <w:r>
        <w:rPr>
          <w:rFonts w:hint="eastAsia" w:ascii="仿宋" w:hAnsi="仿宋" w:eastAsia="仿宋" w:cs="仿宋"/>
          <w:bCs/>
          <w:sz w:val="32"/>
          <w:szCs w:val="32"/>
          <w:highlight w:val="none"/>
        </w:rPr>
        <w:fldChar w:fldCharType="separate"/>
      </w:r>
      <w:r>
        <w:rPr>
          <w:rFonts w:hint="eastAsia" w:ascii="仿宋" w:hAnsi="仿宋" w:eastAsia="仿宋" w:cs="仿宋"/>
          <w:sz w:val="32"/>
          <w:szCs w:val="32"/>
          <w:highlight w:val="none"/>
        </w:rPr>
        <w:t>三、 投  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_Toc4871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bCs/>
          <w:color w:val="auto"/>
          <w:sz w:val="32"/>
          <w:szCs w:val="32"/>
          <w:highlight w:val="none"/>
        </w:rPr>
        <w:fldChar w:fldCharType="end"/>
      </w:r>
    </w:p>
    <w:p>
      <w:pPr>
        <w:pStyle w:val="32"/>
        <w:keepNext w:val="0"/>
        <w:keepLines w:val="0"/>
        <w:pageBreakBefore w:val="0"/>
        <w:widowControl w:val="0"/>
        <w:tabs>
          <w:tab w:val="right" w:leader="dot" w:pos="9354"/>
          <w:tab w:val="clear" w:pos="9629"/>
        </w:tabs>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bCs/>
          <w:color w:val="auto"/>
          <w:sz w:val="32"/>
          <w:szCs w:val="32"/>
          <w:highlight w:val="none"/>
        </w:rPr>
        <w:fldChar w:fldCharType="begin"/>
      </w:r>
      <w:r>
        <w:rPr>
          <w:rFonts w:hint="eastAsia" w:ascii="仿宋" w:hAnsi="仿宋" w:eastAsia="仿宋" w:cs="仿宋"/>
          <w:bCs/>
          <w:sz w:val="32"/>
          <w:szCs w:val="32"/>
          <w:highlight w:val="none"/>
        </w:rPr>
        <w:instrText xml:space="preserve"> HYPERLINK \l _Toc30201 </w:instrText>
      </w:r>
      <w:r>
        <w:rPr>
          <w:rFonts w:hint="eastAsia" w:ascii="仿宋" w:hAnsi="仿宋" w:eastAsia="仿宋" w:cs="仿宋"/>
          <w:bCs/>
          <w:sz w:val="32"/>
          <w:szCs w:val="32"/>
          <w:highlight w:val="none"/>
        </w:rPr>
        <w:fldChar w:fldCharType="separate"/>
      </w:r>
      <w:r>
        <w:rPr>
          <w:rFonts w:hint="eastAsia" w:ascii="仿宋" w:hAnsi="仿宋" w:eastAsia="仿宋" w:cs="仿宋"/>
          <w:sz w:val="32"/>
          <w:szCs w:val="32"/>
          <w:highlight w:val="none"/>
        </w:rPr>
        <w:t>四、开标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_Toc30201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bCs/>
          <w:color w:val="auto"/>
          <w:sz w:val="32"/>
          <w:szCs w:val="32"/>
          <w:highlight w:val="none"/>
        </w:rPr>
        <w:fldChar w:fldCharType="end"/>
      </w:r>
    </w:p>
    <w:p>
      <w:pPr>
        <w:pStyle w:val="32"/>
        <w:keepNext w:val="0"/>
        <w:keepLines w:val="0"/>
        <w:pageBreakBefore w:val="0"/>
        <w:widowControl w:val="0"/>
        <w:tabs>
          <w:tab w:val="right" w:leader="dot" w:pos="9354"/>
          <w:tab w:val="clear" w:pos="9629"/>
        </w:tabs>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bCs/>
          <w:color w:val="auto"/>
          <w:sz w:val="32"/>
          <w:szCs w:val="32"/>
          <w:highlight w:val="none"/>
        </w:rPr>
        <w:fldChar w:fldCharType="begin"/>
      </w:r>
      <w:r>
        <w:rPr>
          <w:rFonts w:hint="eastAsia" w:ascii="仿宋" w:hAnsi="仿宋" w:eastAsia="仿宋" w:cs="仿宋"/>
          <w:bCs/>
          <w:sz w:val="32"/>
          <w:szCs w:val="32"/>
          <w:highlight w:val="none"/>
        </w:rPr>
        <w:instrText xml:space="preserve"> HYPERLINK \l _Toc7136 </w:instrText>
      </w:r>
      <w:r>
        <w:rPr>
          <w:rFonts w:hint="eastAsia" w:ascii="仿宋" w:hAnsi="仿宋" w:eastAsia="仿宋" w:cs="仿宋"/>
          <w:bCs/>
          <w:sz w:val="32"/>
          <w:szCs w:val="32"/>
          <w:highlight w:val="none"/>
        </w:rPr>
        <w:fldChar w:fldCharType="separate"/>
      </w:r>
      <w:r>
        <w:rPr>
          <w:rFonts w:hint="eastAsia" w:ascii="仿宋" w:hAnsi="仿宋" w:eastAsia="仿宋" w:cs="仿宋"/>
          <w:sz w:val="32"/>
          <w:szCs w:val="32"/>
          <w:highlight w:val="none"/>
        </w:rPr>
        <w:t>五、评标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_Toc7136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bCs/>
          <w:color w:val="auto"/>
          <w:sz w:val="32"/>
          <w:szCs w:val="32"/>
          <w:highlight w:val="none"/>
        </w:rPr>
        <w:fldChar w:fldCharType="end"/>
      </w:r>
    </w:p>
    <w:p>
      <w:pPr>
        <w:pStyle w:val="32"/>
        <w:keepNext w:val="0"/>
        <w:keepLines w:val="0"/>
        <w:pageBreakBefore w:val="0"/>
        <w:widowControl w:val="0"/>
        <w:tabs>
          <w:tab w:val="right" w:leader="dot" w:pos="9354"/>
          <w:tab w:val="clear" w:pos="9629"/>
        </w:tabs>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bCs/>
          <w:color w:val="auto"/>
          <w:sz w:val="32"/>
          <w:szCs w:val="32"/>
          <w:highlight w:val="none"/>
        </w:rPr>
        <w:fldChar w:fldCharType="begin"/>
      </w:r>
      <w:r>
        <w:rPr>
          <w:rFonts w:hint="eastAsia" w:ascii="仿宋" w:hAnsi="仿宋" w:eastAsia="仿宋" w:cs="仿宋"/>
          <w:bCs/>
          <w:sz w:val="32"/>
          <w:szCs w:val="32"/>
          <w:highlight w:val="none"/>
        </w:rPr>
        <w:instrText xml:space="preserve"> HYPERLINK \l _Toc14438 </w:instrText>
      </w:r>
      <w:r>
        <w:rPr>
          <w:rFonts w:hint="eastAsia" w:ascii="仿宋" w:hAnsi="仿宋" w:eastAsia="仿宋" w:cs="仿宋"/>
          <w:bCs/>
          <w:sz w:val="32"/>
          <w:szCs w:val="32"/>
          <w:highlight w:val="none"/>
        </w:rPr>
        <w:fldChar w:fldCharType="separate"/>
      </w:r>
      <w:r>
        <w:rPr>
          <w:rFonts w:hint="eastAsia" w:ascii="仿宋" w:hAnsi="仿宋" w:eastAsia="仿宋" w:cs="仿宋"/>
          <w:sz w:val="32"/>
          <w:szCs w:val="32"/>
          <w:highlight w:val="none"/>
        </w:rPr>
        <w:t>六、意外情况的情形和处理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_Toc14438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bCs/>
          <w:color w:val="auto"/>
          <w:sz w:val="32"/>
          <w:szCs w:val="32"/>
          <w:highlight w:val="none"/>
        </w:rPr>
        <w:fldChar w:fldCharType="end"/>
      </w:r>
    </w:p>
    <w:p>
      <w:pPr>
        <w:pStyle w:val="32"/>
        <w:keepNext w:val="0"/>
        <w:keepLines w:val="0"/>
        <w:pageBreakBefore w:val="0"/>
        <w:widowControl w:val="0"/>
        <w:tabs>
          <w:tab w:val="right" w:leader="dot" w:pos="9354"/>
          <w:tab w:val="clear" w:pos="9629"/>
        </w:tabs>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bCs/>
          <w:color w:val="auto"/>
          <w:sz w:val="32"/>
          <w:szCs w:val="32"/>
          <w:highlight w:val="none"/>
        </w:rPr>
        <w:fldChar w:fldCharType="begin"/>
      </w:r>
      <w:r>
        <w:rPr>
          <w:rFonts w:hint="eastAsia" w:ascii="仿宋" w:hAnsi="仿宋" w:eastAsia="仿宋" w:cs="仿宋"/>
          <w:bCs/>
          <w:sz w:val="32"/>
          <w:szCs w:val="32"/>
          <w:highlight w:val="none"/>
        </w:rPr>
        <w:instrText xml:space="preserve"> HYPERLINK \l _Toc2256 </w:instrText>
      </w:r>
      <w:r>
        <w:rPr>
          <w:rFonts w:hint="eastAsia" w:ascii="仿宋" w:hAnsi="仿宋" w:eastAsia="仿宋" w:cs="仿宋"/>
          <w:bCs/>
          <w:sz w:val="32"/>
          <w:szCs w:val="32"/>
          <w:highlight w:val="none"/>
        </w:rPr>
        <w:fldChar w:fldCharType="separate"/>
      </w:r>
      <w:r>
        <w:rPr>
          <w:rFonts w:hint="eastAsia" w:ascii="仿宋" w:hAnsi="仿宋" w:eastAsia="仿宋" w:cs="仿宋"/>
          <w:sz w:val="32"/>
          <w:szCs w:val="32"/>
          <w:highlight w:val="none"/>
        </w:rPr>
        <w:t>七、中标和合同</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_Toc2256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bCs/>
          <w:color w:val="auto"/>
          <w:sz w:val="32"/>
          <w:szCs w:val="32"/>
          <w:highlight w:val="none"/>
        </w:rPr>
        <w:fldChar w:fldCharType="end"/>
      </w:r>
    </w:p>
    <w:p>
      <w:pPr>
        <w:pStyle w:val="32"/>
        <w:keepNext w:val="0"/>
        <w:keepLines w:val="0"/>
        <w:pageBreakBefore w:val="0"/>
        <w:widowControl w:val="0"/>
        <w:tabs>
          <w:tab w:val="right" w:leader="dot" w:pos="9354"/>
          <w:tab w:val="clear" w:pos="9629"/>
        </w:tabs>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bCs/>
          <w:color w:val="auto"/>
          <w:sz w:val="32"/>
          <w:szCs w:val="32"/>
          <w:highlight w:val="none"/>
        </w:rPr>
        <w:fldChar w:fldCharType="begin"/>
      </w:r>
      <w:r>
        <w:rPr>
          <w:rFonts w:hint="eastAsia" w:ascii="仿宋" w:hAnsi="仿宋" w:eastAsia="仿宋" w:cs="仿宋"/>
          <w:bCs/>
          <w:sz w:val="32"/>
          <w:szCs w:val="32"/>
          <w:highlight w:val="none"/>
        </w:rPr>
        <w:instrText xml:space="preserve"> HYPERLINK \l _Toc29585 </w:instrText>
      </w:r>
      <w:r>
        <w:rPr>
          <w:rFonts w:hint="eastAsia" w:ascii="仿宋" w:hAnsi="仿宋" w:eastAsia="仿宋" w:cs="仿宋"/>
          <w:bCs/>
          <w:sz w:val="32"/>
          <w:szCs w:val="32"/>
          <w:highlight w:val="none"/>
        </w:rPr>
        <w:fldChar w:fldCharType="separate"/>
      </w:r>
      <w:r>
        <w:rPr>
          <w:rFonts w:hint="eastAsia" w:ascii="仿宋" w:hAnsi="仿宋" w:eastAsia="仿宋" w:cs="仿宋"/>
          <w:sz w:val="32"/>
          <w:szCs w:val="32"/>
          <w:highlight w:val="none"/>
        </w:rPr>
        <w:t>八、询问和质疑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_Toc29585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bCs/>
          <w:color w:val="auto"/>
          <w:sz w:val="32"/>
          <w:szCs w:val="32"/>
          <w:highlight w:val="none"/>
        </w:rPr>
        <w:fldChar w:fldCharType="end"/>
      </w:r>
    </w:p>
    <w:p>
      <w:pPr>
        <w:pStyle w:val="32"/>
        <w:keepNext w:val="0"/>
        <w:keepLines w:val="0"/>
        <w:pageBreakBefore w:val="0"/>
        <w:widowControl w:val="0"/>
        <w:tabs>
          <w:tab w:val="right" w:leader="dot" w:pos="9354"/>
          <w:tab w:val="clear" w:pos="9629"/>
        </w:tabs>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bCs/>
          <w:color w:val="auto"/>
          <w:sz w:val="32"/>
          <w:szCs w:val="32"/>
          <w:highlight w:val="none"/>
        </w:rPr>
        <w:fldChar w:fldCharType="begin"/>
      </w:r>
      <w:r>
        <w:rPr>
          <w:rFonts w:hint="eastAsia" w:ascii="仿宋" w:hAnsi="仿宋" w:eastAsia="仿宋" w:cs="仿宋"/>
          <w:bCs/>
          <w:sz w:val="32"/>
          <w:szCs w:val="32"/>
          <w:highlight w:val="none"/>
        </w:rPr>
        <w:instrText xml:space="preserve"> HYPERLINK \l _Toc30081 </w:instrText>
      </w:r>
      <w:r>
        <w:rPr>
          <w:rFonts w:hint="eastAsia" w:ascii="仿宋" w:hAnsi="仿宋" w:eastAsia="仿宋" w:cs="仿宋"/>
          <w:bCs/>
          <w:sz w:val="32"/>
          <w:szCs w:val="32"/>
          <w:highlight w:val="none"/>
        </w:rPr>
        <w:fldChar w:fldCharType="separate"/>
      </w:r>
      <w:r>
        <w:rPr>
          <w:rFonts w:hint="eastAsia" w:ascii="仿宋" w:hAnsi="仿宋" w:eastAsia="仿宋" w:cs="仿宋"/>
          <w:sz w:val="32"/>
          <w:szCs w:val="32"/>
          <w:highlight w:val="none"/>
        </w:rPr>
        <w:t>九、采购代理服务费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_Toc30081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bCs/>
          <w:color w:val="auto"/>
          <w:sz w:val="32"/>
          <w:szCs w:val="32"/>
          <w:highlight w:val="none"/>
        </w:rPr>
        <w:fldChar w:fldCharType="end"/>
      </w:r>
    </w:p>
    <w:p>
      <w:pPr>
        <w:pStyle w:val="32"/>
        <w:keepNext w:val="0"/>
        <w:keepLines w:val="0"/>
        <w:pageBreakBefore w:val="0"/>
        <w:widowControl w:val="0"/>
        <w:tabs>
          <w:tab w:val="right" w:leader="dot" w:pos="9354"/>
          <w:tab w:val="clear" w:pos="9629"/>
        </w:tabs>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bCs/>
          <w:color w:val="auto"/>
          <w:sz w:val="32"/>
          <w:szCs w:val="32"/>
          <w:highlight w:val="none"/>
        </w:rPr>
        <w:fldChar w:fldCharType="begin"/>
      </w:r>
      <w:r>
        <w:rPr>
          <w:rFonts w:hint="eastAsia" w:ascii="仿宋" w:hAnsi="仿宋" w:eastAsia="仿宋" w:cs="仿宋"/>
          <w:bCs/>
          <w:sz w:val="32"/>
          <w:szCs w:val="32"/>
          <w:highlight w:val="none"/>
        </w:rPr>
        <w:instrText xml:space="preserve"> HYPERLINK \l _Toc26255 </w:instrText>
      </w:r>
      <w:r>
        <w:rPr>
          <w:rFonts w:hint="eastAsia" w:ascii="仿宋" w:hAnsi="仿宋" w:eastAsia="仿宋" w:cs="仿宋"/>
          <w:bCs/>
          <w:sz w:val="32"/>
          <w:szCs w:val="32"/>
          <w:highlight w:val="none"/>
        </w:rPr>
        <w:fldChar w:fldCharType="separate"/>
      </w:r>
      <w:r>
        <w:rPr>
          <w:rFonts w:hint="eastAsia" w:ascii="仿宋" w:hAnsi="仿宋" w:eastAsia="仿宋" w:cs="仿宋"/>
          <w:sz w:val="32"/>
          <w:szCs w:val="32"/>
          <w:highlight w:val="none"/>
        </w:rPr>
        <w:t>十、附则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_Toc26255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bCs/>
          <w:color w:val="auto"/>
          <w:sz w:val="32"/>
          <w:szCs w:val="32"/>
          <w:highlight w:val="none"/>
        </w:rPr>
        <w:fldChar w:fldCharType="end"/>
      </w:r>
    </w:p>
    <w:p>
      <w:pPr>
        <w:pStyle w:val="26"/>
        <w:keepNext w:val="0"/>
        <w:keepLines w:val="0"/>
        <w:pageBreakBefore w:val="0"/>
        <w:widowControl w:val="0"/>
        <w:tabs>
          <w:tab w:val="right" w:leader="dot" w:pos="9354"/>
          <w:tab w:val="clear" w:pos="840"/>
          <w:tab w:val="clear" w:pos="9629"/>
        </w:tabs>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bCs/>
          <w:color w:val="auto"/>
          <w:sz w:val="32"/>
          <w:szCs w:val="32"/>
          <w:highlight w:val="none"/>
        </w:rPr>
        <w:fldChar w:fldCharType="begin"/>
      </w:r>
      <w:r>
        <w:rPr>
          <w:rFonts w:hint="eastAsia" w:ascii="仿宋" w:hAnsi="仿宋" w:eastAsia="仿宋" w:cs="仿宋"/>
          <w:bCs/>
          <w:sz w:val="32"/>
          <w:szCs w:val="32"/>
          <w:highlight w:val="none"/>
        </w:rPr>
        <w:instrText xml:space="preserve"> HYPERLINK \l _Toc13945 </w:instrText>
      </w:r>
      <w:r>
        <w:rPr>
          <w:rFonts w:hint="eastAsia" w:ascii="仿宋" w:hAnsi="仿宋" w:eastAsia="仿宋" w:cs="仿宋"/>
          <w:bCs/>
          <w:sz w:val="32"/>
          <w:szCs w:val="32"/>
          <w:highlight w:val="none"/>
        </w:rPr>
        <w:fldChar w:fldCharType="separate"/>
      </w:r>
      <w:r>
        <w:rPr>
          <w:rFonts w:hint="eastAsia" w:ascii="仿宋" w:hAnsi="仿宋" w:eastAsia="仿宋" w:cs="仿宋"/>
          <w:sz w:val="32"/>
          <w:szCs w:val="32"/>
          <w:highlight w:val="none"/>
        </w:rPr>
        <w:t>第三章  拟签订的合同文本</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_Toc13945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bCs/>
          <w:color w:val="auto"/>
          <w:sz w:val="32"/>
          <w:szCs w:val="32"/>
          <w:highlight w:val="none"/>
        </w:rPr>
        <w:fldChar w:fldCharType="end"/>
      </w:r>
    </w:p>
    <w:p>
      <w:pPr>
        <w:pStyle w:val="32"/>
        <w:keepNext w:val="0"/>
        <w:keepLines w:val="0"/>
        <w:pageBreakBefore w:val="0"/>
        <w:widowControl w:val="0"/>
        <w:tabs>
          <w:tab w:val="right" w:leader="dot" w:pos="9354"/>
          <w:tab w:val="clear" w:pos="9629"/>
        </w:tabs>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bCs/>
          <w:color w:val="auto"/>
          <w:sz w:val="32"/>
          <w:szCs w:val="32"/>
          <w:highlight w:val="none"/>
        </w:rPr>
        <w:fldChar w:fldCharType="begin"/>
      </w:r>
      <w:r>
        <w:rPr>
          <w:rFonts w:hint="eastAsia" w:ascii="仿宋" w:hAnsi="仿宋" w:eastAsia="仿宋" w:cs="仿宋"/>
          <w:bCs/>
          <w:sz w:val="32"/>
          <w:szCs w:val="32"/>
          <w:highlight w:val="none"/>
        </w:rPr>
        <w:instrText xml:space="preserve"> HYPERLINK \l _Toc1642 </w:instrText>
      </w:r>
      <w:r>
        <w:rPr>
          <w:rFonts w:hint="eastAsia" w:ascii="仿宋" w:hAnsi="仿宋" w:eastAsia="仿宋" w:cs="仿宋"/>
          <w:bCs/>
          <w:sz w:val="32"/>
          <w:szCs w:val="32"/>
          <w:highlight w:val="none"/>
        </w:rPr>
        <w:fldChar w:fldCharType="separate"/>
      </w:r>
      <w:r>
        <w:rPr>
          <w:rFonts w:hint="eastAsia" w:ascii="仿宋" w:hAnsi="仿宋" w:eastAsia="仿宋" w:cs="仿宋"/>
          <w:sz w:val="32"/>
          <w:szCs w:val="32"/>
          <w:highlight w:val="none"/>
        </w:rPr>
        <w:t>第四章  投标文件格式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_Toc1642 \h </w:instrText>
      </w:r>
      <w:r>
        <w:rPr>
          <w:rFonts w:hint="eastAsia" w:ascii="仿宋" w:hAnsi="仿宋" w:eastAsia="仿宋" w:cs="仿宋"/>
          <w:sz w:val="32"/>
          <w:szCs w:val="32"/>
        </w:rPr>
        <w:fldChar w:fldCharType="separate"/>
      </w:r>
      <w:r>
        <w:rPr>
          <w:rFonts w:hint="eastAsia" w:ascii="仿宋" w:hAnsi="仿宋" w:eastAsia="仿宋" w:cs="仿宋"/>
          <w:sz w:val="32"/>
          <w:szCs w:val="32"/>
        </w:rPr>
        <w:t>29</w:t>
      </w:r>
      <w:r>
        <w:rPr>
          <w:rFonts w:hint="eastAsia" w:ascii="仿宋" w:hAnsi="仿宋" w:eastAsia="仿宋" w:cs="仿宋"/>
          <w:sz w:val="32"/>
          <w:szCs w:val="32"/>
        </w:rPr>
        <w:fldChar w:fldCharType="end"/>
      </w:r>
      <w:r>
        <w:rPr>
          <w:rFonts w:hint="eastAsia" w:ascii="仿宋" w:hAnsi="仿宋" w:eastAsia="仿宋" w:cs="仿宋"/>
          <w:bCs/>
          <w:color w:val="auto"/>
          <w:sz w:val="32"/>
          <w:szCs w:val="32"/>
          <w:highlight w:val="none"/>
        </w:rPr>
        <w:fldChar w:fldCharType="end"/>
      </w:r>
    </w:p>
    <w:p>
      <w:pPr>
        <w:pStyle w:val="32"/>
        <w:keepNext w:val="0"/>
        <w:keepLines w:val="0"/>
        <w:pageBreakBefore w:val="0"/>
        <w:widowControl w:val="0"/>
        <w:tabs>
          <w:tab w:val="right" w:leader="dot" w:pos="9354"/>
          <w:tab w:val="clear" w:pos="9629"/>
        </w:tabs>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bCs/>
          <w:color w:val="auto"/>
          <w:sz w:val="32"/>
          <w:szCs w:val="32"/>
          <w:highlight w:val="none"/>
        </w:rPr>
        <w:fldChar w:fldCharType="begin"/>
      </w:r>
      <w:r>
        <w:rPr>
          <w:rFonts w:hint="eastAsia" w:ascii="仿宋" w:hAnsi="仿宋" w:eastAsia="仿宋" w:cs="仿宋"/>
          <w:bCs/>
          <w:sz w:val="32"/>
          <w:szCs w:val="32"/>
          <w:highlight w:val="none"/>
        </w:rPr>
        <w:instrText xml:space="preserve"> HYPERLINK \l _Toc7352 </w:instrText>
      </w:r>
      <w:r>
        <w:rPr>
          <w:rFonts w:hint="eastAsia" w:ascii="仿宋" w:hAnsi="仿宋" w:eastAsia="仿宋" w:cs="仿宋"/>
          <w:bCs/>
          <w:sz w:val="32"/>
          <w:szCs w:val="32"/>
          <w:highlight w:val="none"/>
        </w:rPr>
        <w:fldChar w:fldCharType="separate"/>
      </w:r>
      <w:r>
        <w:rPr>
          <w:rFonts w:hint="eastAsia" w:ascii="仿宋" w:hAnsi="仿宋" w:eastAsia="仿宋" w:cs="仿宋"/>
          <w:sz w:val="32"/>
          <w:szCs w:val="32"/>
          <w:highlight w:val="none"/>
        </w:rPr>
        <w:t>第五章　货物需求表及采购需求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_Toc7352 \h </w:instrText>
      </w:r>
      <w:r>
        <w:rPr>
          <w:rFonts w:hint="eastAsia" w:ascii="仿宋" w:hAnsi="仿宋" w:eastAsia="仿宋" w:cs="仿宋"/>
          <w:sz w:val="32"/>
          <w:szCs w:val="32"/>
        </w:rPr>
        <w:fldChar w:fldCharType="separate"/>
      </w:r>
      <w:r>
        <w:rPr>
          <w:rFonts w:hint="eastAsia" w:ascii="仿宋" w:hAnsi="仿宋" w:eastAsia="仿宋" w:cs="仿宋"/>
          <w:sz w:val="32"/>
          <w:szCs w:val="32"/>
        </w:rPr>
        <w:t>51</w:t>
      </w:r>
      <w:r>
        <w:rPr>
          <w:rFonts w:hint="eastAsia" w:ascii="仿宋" w:hAnsi="仿宋" w:eastAsia="仿宋" w:cs="仿宋"/>
          <w:sz w:val="32"/>
          <w:szCs w:val="32"/>
        </w:rPr>
        <w:fldChar w:fldCharType="end"/>
      </w:r>
      <w:r>
        <w:rPr>
          <w:rFonts w:hint="eastAsia" w:ascii="仿宋" w:hAnsi="仿宋" w:eastAsia="仿宋" w:cs="仿宋"/>
          <w:bCs/>
          <w:color w:val="auto"/>
          <w:sz w:val="32"/>
          <w:szCs w:val="32"/>
          <w:highlight w:val="none"/>
        </w:rPr>
        <w:fldChar w:fldCharType="end"/>
      </w:r>
    </w:p>
    <w:p>
      <w:pPr>
        <w:pStyle w:val="26"/>
        <w:keepNext w:val="0"/>
        <w:keepLines w:val="0"/>
        <w:pageBreakBefore w:val="0"/>
        <w:widowControl w:val="0"/>
        <w:tabs>
          <w:tab w:val="right" w:leader="dot" w:pos="9354"/>
          <w:tab w:val="clear" w:pos="840"/>
          <w:tab w:val="clear" w:pos="9629"/>
        </w:tabs>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bCs/>
          <w:color w:val="auto"/>
          <w:sz w:val="32"/>
          <w:szCs w:val="32"/>
          <w:highlight w:val="none"/>
        </w:rPr>
        <w:fldChar w:fldCharType="begin"/>
      </w:r>
      <w:r>
        <w:rPr>
          <w:rFonts w:hint="eastAsia" w:ascii="仿宋" w:hAnsi="仿宋" w:eastAsia="仿宋" w:cs="仿宋"/>
          <w:bCs/>
          <w:sz w:val="32"/>
          <w:szCs w:val="32"/>
          <w:highlight w:val="none"/>
        </w:rPr>
        <w:instrText xml:space="preserve"> HYPERLINK \l _Toc14297 </w:instrText>
      </w:r>
      <w:r>
        <w:rPr>
          <w:rFonts w:hint="eastAsia" w:ascii="仿宋" w:hAnsi="仿宋" w:eastAsia="仿宋" w:cs="仿宋"/>
          <w:bCs/>
          <w:sz w:val="32"/>
          <w:szCs w:val="32"/>
          <w:highlight w:val="none"/>
        </w:rPr>
        <w:fldChar w:fldCharType="separate"/>
      </w:r>
      <w:r>
        <w:rPr>
          <w:rFonts w:hint="eastAsia" w:ascii="仿宋" w:hAnsi="仿宋" w:eastAsia="仿宋" w:cs="仿宋"/>
          <w:sz w:val="32"/>
          <w:szCs w:val="32"/>
          <w:highlight w:val="none"/>
        </w:rPr>
        <w:t>第六章  评标标准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_Toc14297 \h </w:instrText>
      </w:r>
      <w:r>
        <w:rPr>
          <w:rFonts w:hint="eastAsia" w:ascii="仿宋" w:hAnsi="仿宋" w:eastAsia="仿宋" w:cs="仿宋"/>
          <w:sz w:val="32"/>
          <w:szCs w:val="32"/>
        </w:rPr>
        <w:fldChar w:fldCharType="separate"/>
      </w:r>
      <w:r>
        <w:rPr>
          <w:rFonts w:hint="eastAsia" w:ascii="仿宋" w:hAnsi="仿宋" w:eastAsia="仿宋" w:cs="仿宋"/>
          <w:sz w:val="32"/>
          <w:szCs w:val="32"/>
        </w:rPr>
        <w:t>86</w:t>
      </w:r>
      <w:r>
        <w:rPr>
          <w:rFonts w:hint="eastAsia" w:ascii="仿宋" w:hAnsi="仿宋" w:eastAsia="仿宋" w:cs="仿宋"/>
          <w:sz w:val="32"/>
          <w:szCs w:val="32"/>
        </w:rPr>
        <w:fldChar w:fldCharType="end"/>
      </w:r>
      <w:r>
        <w:rPr>
          <w:rFonts w:hint="eastAsia" w:ascii="仿宋" w:hAnsi="仿宋" w:eastAsia="仿宋" w:cs="仿宋"/>
          <w:bCs/>
          <w:color w:val="auto"/>
          <w:sz w:val="32"/>
          <w:szCs w:val="32"/>
          <w:highlight w:val="none"/>
        </w:rPr>
        <w:fldChar w:fldCharType="end"/>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仿宋" w:asciiTheme="minorEastAsia" w:hAnsiTheme="minorEastAsia" w:eastAsiaTheme="minorEastAsia"/>
          <w:bCs/>
          <w:color w:val="auto"/>
          <w:szCs w:val="21"/>
          <w:highlight w:val="none"/>
        </w:rPr>
      </w:pPr>
      <w:r>
        <w:rPr>
          <w:rFonts w:hint="eastAsia" w:ascii="仿宋" w:hAnsi="仿宋" w:eastAsia="仿宋" w:cs="仿宋"/>
          <w:bCs/>
          <w:color w:val="auto"/>
          <w:sz w:val="32"/>
          <w:szCs w:val="32"/>
          <w:highlight w:val="none"/>
        </w:rPr>
        <w:fldChar w:fldCharType="end"/>
      </w:r>
    </w:p>
    <w:p>
      <w:pPr>
        <w:rPr>
          <w:rFonts w:hint="eastAsia" w:cs="仿宋" w:asciiTheme="minorEastAsia" w:hAnsiTheme="minorEastAsia" w:eastAsiaTheme="minorEastAsia"/>
          <w:bCs/>
          <w:color w:val="auto"/>
          <w:szCs w:val="21"/>
          <w:highlight w:val="none"/>
        </w:rPr>
      </w:pPr>
    </w:p>
    <w:p>
      <w:pPr>
        <w:pStyle w:val="56"/>
        <w:rPr>
          <w:rFonts w:hint="eastAsia" w:cs="仿宋" w:asciiTheme="minorEastAsia" w:hAnsiTheme="minorEastAsia" w:eastAsiaTheme="minorEastAsia"/>
          <w:bCs/>
          <w:color w:val="auto"/>
          <w:szCs w:val="21"/>
          <w:highlight w:val="none"/>
        </w:rPr>
      </w:pPr>
    </w:p>
    <w:p>
      <w:pPr>
        <w:pStyle w:val="56"/>
        <w:rPr>
          <w:rFonts w:hint="eastAsia" w:cs="仿宋" w:asciiTheme="minorEastAsia" w:hAnsiTheme="minorEastAsia" w:eastAsiaTheme="minorEastAsia"/>
          <w:bCs/>
          <w:color w:val="auto"/>
          <w:szCs w:val="21"/>
          <w:highlight w:val="none"/>
        </w:rPr>
      </w:pPr>
    </w:p>
    <w:p>
      <w:pPr>
        <w:pStyle w:val="56"/>
        <w:rPr>
          <w:rFonts w:hint="eastAsia" w:cs="仿宋" w:asciiTheme="minorEastAsia" w:hAnsiTheme="minorEastAsia" w:eastAsiaTheme="minorEastAsia"/>
          <w:bCs/>
          <w:color w:val="auto"/>
          <w:szCs w:val="21"/>
          <w:highlight w:val="none"/>
        </w:rPr>
      </w:pPr>
    </w:p>
    <w:p>
      <w:pPr>
        <w:pStyle w:val="56"/>
        <w:rPr>
          <w:rFonts w:hint="eastAsia" w:cs="仿宋" w:asciiTheme="minorEastAsia" w:hAnsiTheme="minorEastAsia" w:eastAsiaTheme="minorEastAsia"/>
          <w:bCs/>
          <w:color w:val="auto"/>
          <w:szCs w:val="21"/>
          <w:highlight w:val="none"/>
        </w:rPr>
      </w:pPr>
    </w:p>
    <w:p>
      <w:pPr>
        <w:pStyle w:val="56"/>
        <w:rPr>
          <w:rFonts w:hint="eastAsia" w:cs="仿宋" w:asciiTheme="minorEastAsia" w:hAnsiTheme="minorEastAsia" w:eastAsiaTheme="minorEastAsia"/>
          <w:bCs/>
          <w:color w:val="auto"/>
          <w:szCs w:val="21"/>
          <w:highlight w:val="none"/>
        </w:rPr>
      </w:pPr>
    </w:p>
    <w:p>
      <w:pPr>
        <w:pStyle w:val="56"/>
        <w:rPr>
          <w:rFonts w:hint="eastAsia" w:cs="仿宋" w:asciiTheme="minorEastAsia" w:hAnsiTheme="minorEastAsia" w:eastAsiaTheme="minorEastAsia"/>
          <w:bCs/>
          <w:color w:val="auto"/>
          <w:szCs w:val="21"/>
          <w:highlight w:val="none"/>
        </w:rPr>
      </w:pPr>
    </w:p>
    <w:p>
      <w:pPr>
        <w:pStyle w:val="56"/>
        <w:rPr>
          <w:rFonts w:hint="eastAsia" w:cs="仿宋" w:asciiTheme="minorEastAsia" w:hAnsiTheme="minorEastAsia" w:eastAsiaTheme="minorEastAsia"/>
          <w:bCs/>
          <w:color w:val="auto"/>
          <w:szCs w:val="21"/>
          <w:highlight w:val="none"/>
        </w:rPr>
      </w:pPr>
    </w:p>
    <w:p>
      <w:pPr>
        <w:pStyle w:val="56"/>
        <w:rPr>
          <w:rFonts w:hint="eastAsia" w:cs="仿宋" w:asciiTheme="minorEastAsia" w:hAnsiTheme="minorEastAsia" w:eastAsiaTheme="minorEastAsia"/>
          <w:bCs/>
          <w:color w:val="auto"/>
          <w:szCs w:val="21"/>
          <w:highlight w:val="none"/>
        </w:rPr>
      </w:pPr>
    </w:p>
    <w:p>
      <w:pPr>
        <w:pStyle w:val="3"/>
        <w:numPr>
          <w:ilvl w:val="0"/>
          <w:numId w:val="1"/>
        </w:numPr>
        <w:spacing w:line="340" w:lineRule="exact"/>
        <w:jc w:val="center"/>
        <w:rPr>
          <w:rFonts w:cs="仿宋" w:asciiTheme="minorEastAsia" w:hAnsiTheme="minorEastAsia" w:eastAsiaTheme="minorEastAsia"/>
          <w:b/>
          <w:bCs/>
          <w:color w:val="auto"/>
          <w:sz w:val="32"/>
          <w:szCs w:val="32"/>
          <w:highlight w:val="none"/>
        </w:rPr>
      </w:pPr>
      <w:bookmarkStart w:id="0" w:name="_Toc21625404"/>
      <w:bookmarkStart w:id="1" w:name="_Toc21625215"/>
      <w:bookmarkStart w:id="2" w:name="_Toc21625302"/>
      <w:bookmarkStart w:id="3" w:name="_Toc16339"/>
      <w:bookmarkStart w:id="4" w:name="_Toc377117004"/>
      <w:bookmarkStart w:id="5" w:name="_Toc281381163"/>
      <w:r>
        <w:rPr>
          <w:rFonts w:hint="eastAsia" w:cs="仿宋" w:asciiTheme="minorEastAsia" w:hAnsiTheme="minorEastAsia" w:eastAsiaTheme="minorEastAsia"/>
          <w:b/>
          <w:bCs/>
          <w:color w:val="auto"/>
          <w:sz w:val="32"/>
          <w:szCs w:val="32"/>
          <w:highlight w:val="none"/>
        </w:rPr>
        <w:t>投标邀请</w:t>
      </w:r>
      <w:bookmarkEnd w:id="0"/>
      <w:bookmarkEnd w:id="1"/>
      <w:bookmarkEnd w:id="2"/>
      <w:bookmarkEnd w:id="3"/>
      <w:bookmarkEnd w:id="4"/>
    </w:p>
    <w:p>
      <w:pPr>
        <w:rPr>
          <w:rFonts w:asciiTheme="minorEastAsia" w:hAnsiTheme="minorEastAsia" w:eastAsiaTheme="minorEastAsia"/>
          <w:color w:val="auto"/>
          <w:highlight w:val="none"/>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482"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b/>
          <w:bCs/>
          <w:color w:val="auto"/>
          <w:sz w:val="24"/>
          <w:szCs w:val="24"/>
          <w:highlight w:val="none"/>
        </w:rPr>
        <w:t>项目概况</w:t>
      </w:r>
      <w:r>
        <w:rPr>
          <w:rFonts w:hint="eastAsia" w:cs="仿宋" w:asciiTheme="minorEastAsia" w:hAnsiTheme="minorEastAsia" w:eastAsiaTheme="minorEastAsia"/>
          <w:b/>
          <w:bCs/>
          <w:color w:val="auto"/>
          <w:sz w:val="24"/>
          <w:szCs w:val="24"/>
          <w:highlight w:val="none"/>
          <w:lang w:eastAsia="zh-CN"/>
        </w:rPr>
        <w:t>：</w:t>
      </w:r>
      <w:r>
        <w:rPr>
          <w:rFonts w:hint="eastAsia" w:cs="仿宋" w:asciiTheme="minorEastAsia" w:hAnsiTheme="minorEastAsia" w:eastAsiaTheme="minorEastAsia"/>
          <w:color w:val="auto"/>
          <w:sz w:val="24"/>
          <w:szCs w:val="24"/>
          <w:highlight w:val="none"/>
        </w:rPr>
        <w:t>本项目的潜在投标人应在江西省公共资源交易网上</w:t>
      </w:r>
      <w:r>
        <w:rPr>
          <w:rFonts w:hint="eastAsia" w:cs="仿宋" w:asciiTheme="minorEastAsia" w:hAnsiTheme="minorEastAsia" w:eastAsiaTheme="minorEastAsia"/>
          <w:color w:val="auto"/>
          <w:sz w:val="24"/>
          <w:szCs w:val="24"/>
          <w:highlight w:val="none"/>
          <w:lang w:val="en-US" w:eastAsia="zh-CN"/>
        </w:rPr>
        <w:t>确认</w:t>
      </w:r>
      <w:r>
        <w:rPr>
          <w:rFonts w:hint="eastAsia" w:cs="仿宋" w:asciiTheme="minorEastAsia" w:hAnsiTheme="minorEastAsia" w:eastAsiaTheme="minorEastAsia"/>
          <w:color w:val="auto"/>
          <w:sz w:val="24"/>
          <w:szCs w:val="24"/>
          <w:highlight w:val="none"/>
        </w:rPr>
        <w:t>和下载招标文件并于</w:t>
      </w:r>
      <w:r>
        <w:rPr>
          <w:rFonts w:hint="eastAsia" w:cs="仿宋" w:asciiTheme="minorEastAsia" w:hAnsiTheme="minorEastAsia" w:eastAsiaTheme="minorEastAsia"/>
          <w:color w:val="auto"/>
          <w:sz w:val="24"/>
          <w:szCs w:val="24"/>
          <w:highlight w:val="none"/>
          <w:lang w:val="en-US" w:eastAsia="zh-CN"/>
        </w:rPr>
        <w:t>2024</w:t>
      </w:r>
      <w:r>
        <w:rPr>
          <w:rFonts w:hint="eastAsia" w:cs="仿宋" w:asciiTheme="minorEastAsia" w:hAnsiTheme="minorEastAsia" w:eastAsiaTheme="minorEastAsia"/>
          <w:bCs/>
          <w:color w:val="auto"/>
          <w:sz w:val="24"/>
          <w:szCs w:val="24"/>
          <w:highlight w:val="none"/>
        </w:rPr>
        <w:t>年</w:t>
      </w:r>
      <w:r>
        <w:rPr>
          <w:rFonts w:hint="eastAsia" w:cs="仿宋" w:asciiTheme="minorEastAsia" w:hAnsiTheme="minorEastAsia" w:eastAsiaTheme="minorEastAsia"/>
          <w:color w:val="auto"/>
          <w:sz w:val="24"/>
          <w:szCs w:val="24"/>
          <w:highlight w:val="none"/>
          <w:lang w:val="en-US" w:eastAsia="zh-CN"/>
        </w:rPr>
        <w:t>7</w:t>
      </w:r>
      <w:r>
        <w:rPr>
          <w:rFonts w:hint="eastAsia" w:cs="仿宋" w:asciiTheme="minorEastAsia" w:hAnsiTheme="minorEastAsia" w:eastAsiaTheme="minorEastAsia"/>
          <w:bCs/>
          <w:color w:val="auto"/>
          <w:sz w:val="24"/>
          <w:szCs w:val="24"/>
          <w:highlight w:val="none"/>
        </w:rPr>
        <w:t>月</w:t>
      </w:r>
      <w:r>
        <w:rPr>
          <w:rFonts w:hint="eastAsia" w:cs="仿宋" w:asciiTheme="minorEastAsia" w:hAnsiTheme="minorEastAsia" w:eastAsiaTheme="minorEastAsia"/>
          <w:color w:val="auto"/>
          <w:sz w:val="24"/>
          <w:szCs w:val="24"/>
          <w:highlight w:val="none"/>
          <w:lang w:val="en-US" w:eastAsia="zh-CN"/>
        </w:rPr>
        <w:t>8</w:t>
      </w:r>
      <w:r>
        <w:rPr>
          <w:rFonts w:hint="eastAsia" w:cs="仿宋" w:asciiTheme="minorEastAsia" w:hAnsiTheme="minorEastAsia" w:eastAsiaTheme="minorEastAsia"/>
          <w:bCs/>
          <w:color w:val="auto"/>
          <w:sz w:val="24"/>
          <w:szCs w:val="24"/>
          <w:highlight w:val="none"/>
        </w:rPr>
        <w:t>日</w:t>
      </w:r>
      <w:r>
        <w:rPr>
          <w:rFonts w:hint="eastAsia" w:cs="仿宋" w:asciiTheme="minorEastAsia" w:hAnsiTheme="minorEastAsia" w:eastAsiaTheme="minorEastAsia"/>
          <w:color w:val="auto"/>
          <w:sz w:val="24"/>
          <w:szCs w:val="24"/>
          <w:highlight w:val="none"/>
          <w:lang w:val="en-US" w:eastAsia="zh-CN"/>
        </w:rPr>
        <w:t>14</w:t>
      </w:r>
      <w:r>
        <w:rPr>
          <w:rFonts w:hint="eastAsia" w:cs="仿宋" w:asciiTheme="minorEastAsia" w:hAnsiTheme="minorEastAsia" w:eastAsiaTheme="minorEastAsia"/>
          <w:bCs/>
          <w:color w:val="auto"/>
          <w:sz w:val="24"/>
          <w:szCs w:val="24"/>
          <w:highlight w:val="none"/>
        </w:rPr>
        <w:t>点</w:t>
      </w:r>
      <w:r>
        <w:rPr>
          <w:rFonts w:hint="eastAsia" w:cs="仿宋" w:asciiTheme="minorEastAsia" w:hAnsiTheme="minorEastAsia" w:eastAsiaTheme="minorEastAsia"/>
          <w:color w:val="auto"/>
          <w:sz w:val="24"/>
          <w:szCs w:val="24"/>
          <w:highlight w:val="none"/>
          <w:lang w:val="en-US" w:eastAsia="zh-CN"/>
        </w:rPr>
        <w:t>30</w:t>
      </w:r>
      <w:r>
        <w:rPr>
          <w:rFonts w:hint="eastAsia" w:cs="仿宋" w:asciiTheme="minorEastAsia" w:hAnsiTheme="minorEastAsia" w:eastAsiaTheme="minorEastAsia"/>
          <w:bCs/>
          <w:color w:val="auto"/>
          <w:sz w:val="24"/>
          <w:szCs w:val="24"/>
          <w:highlight w:val="none"/>
        </w:rPr>
        <w:t>分</w:t>
      </w:r>
      <w:r>
        <w:rPr>
          <w:rFonts w:hint="eastAsia" w:cs="仿宋" w:asciiTheme="minorEastAsia" w:hAnsiTheme="minorEastAsia" w:eastAsiaTheme="minorEastAsia"/>
          <w:bCs/>
          <w:color w:val="auto"/>
          <w:sz w:val="24"/>
          <w:szCs w:val="24"/>
          <w:highlight w:val="none"/>
          <w:u w:val="none"/>
        </w:rPr>
        <w:t>（</w:t>
      </w:r>
      <w:r>
        <w:rPr>
          <w:rFonts w:hint="eastAsia" w:cs="仿宋" w:asciiTheme="minorEastAsia" w:hAnsiTheme="minorEastAsia" w:eastAsiaTheme="minorEastAsia"/>
          <w:bCs/>
          <w:color w:val="auto"/>
          <w:sz w:val="24"/>
          <w:szCs w:val="24"/>
          <w:highlight w:val="none"/>
        </w:rPr>
        <w:t>北京时间）前递交投标文件</w:t>
      </w:r>
      <w:r>
        <w:rPr>
          <w:rFonts w:hint="eastAsia" w:cs="仿宋" w:asciiTheme="minorEastAsia" w:hAnsiTheme="minorEastAsia" w:eastAsiaTheme="minorEastAsia"/>
          <w:color w:val="auto"/>
          <w:sz w:val="24"/>
          <w:szCs w:val="24"/>
          <w:highlight w:val="none"/>
        </w:rPr>
        <w:t>。</w:t>
      </w:r>
    </w:p>
    <w:p>
      <w:pPr>
        <w:spacing w:line="360" w:lineRule="auto"/>
        <w:rPr>
          <w:rFonts w:cs="仿宋" w:asciiTheme="minorEastAsia" w:hAnsiTheme="minorEastAsia" w:eastAsiaTheme="minorEastAsia"/>
          <w:color w:val="auto"/>
          <w:sz w:val="24"/>
          <w:szCs w:val="24"/>
          <w:highlight w:val="none"/>
        </w:rPr>
      </w:pPr>
    </w:p>
    <w:p>
      <w:pPr>
        <w:pStyle w:val="6"/>
        <w:spacing w:before="0" w:after="0" w:line="360" w:lineRule="auto"/>
        <w:outlineLvl w:val="3"/>
        <w:rPr>
          <w:rFonts w:cs="仿宋" w:asciiTheme="minorEastAsia" w:hAnsiTheme="minorEastAsia" w:eastAsiaTheme="minorEastAsia"/>
          <w:b/>
          <w:bCs w:val="0"/>
          <w:color w:val="auto"/>
          <w:sz w:val="24"/>
          <w:szCs w:val="24"/>
          <w:highlight w:val="none"/>
        </w:rPr>
      </w:pPr>
      <w:bookmarkStart w:id="6" w:name="_Toc35393621"/>
      <w:bookmarkStart w:id="7" w:name="_Toc35393790"/>
      <w:bookmarkStart w:id="8" w:name="_Toc28359002"/>
      <w:bookmarkStart w:id="9" w:name="_Toc28359079"/>
      <w:bookmarkStart w:id="10" w:name="_Hlk24379207"/>
      <w:r>
        <w:rPr>
          <w:rFonts w:hint="eastAsia" w:cs="仿宋" w:asciiTheme="minorEastAsia" w:hAnsiTheme="minorEastAsia" w:eastAsiaTheme="minorEastAsia"/>
          <w:b/>
          <w:bCs w:val="0"/>
          <w:color w:val="auto"/>
          <w:sz w:val="24"/>
          <w:szCs w:val="24"/>
          <w:highlight w:val="none"/>
        </w:rPr>
        <w:t>一、项目基本情况</w:t>
      </w:r>
      <w:bookmarkEnd w:id="6"/>
      <w:bookmarkEnd w:id="7"/>
      <w:bookmarkEnd w:id="8"/>
      <w:bookmarkEnd w:id="9"/>
    </w:p>
    <w:p>
      <w:pPr>
        <w:spacing w:line="360" w:lineRule="auto"/>
        <w:ind w:firstLine="480" w:firstLineChars="200"/>
        <w:rPr>
          <w:rFonts w:hint="default" w:cs="仿宋" w:asciiTheme="minorEastAsia" w:hAnsiTheme="minorEastAsia" w:eastAsiaTheme="minorEastAsia"/>
          <w:i w:val="0"/>
          <w:iCs w:val="0"/>
          <w:color w:val="auto"/>
          <w:sz w:val="24"/>
          <w:szCs w:val="24"/>
          <w:highlight w:val="none"/>
          <w:lang w:val="en-US" w:eastAsia="zh-CN"/>
        </w:rPr>
      </w:pPr>
      <w:r>
        <w:rPr>
          <w:rFonts w:hint="eastAsia" w:cs="仿宋" w:asciiTheme="minorEastAsia" w:hAnsiTheme="minorEastAsia" w:eastAsiaTheme="minorEastAsia"/>
          <w:i w:val="0"/>
          <w:iCs w:val="0"/>
          <w:color w:val="auto"/>
          <w:sz w:val="24"/>
          <w:szCs w:val="24"/>
          <w:highlight w:val="none"/>
        </w:rPr>
        <w:t>项目编号：JXTC2024200157</w:t>
      </w:r>
    </w:p>
    <w:p>
      <w:pPr>
        <w:spacing w:line="360" w:lineRule="auto"/>
        <w:ind w:firstLine="480" w:firstLineChars="200"/>
        <w:rPr>
          <w:rFonts w:hint="eastAsia" w:cs="仿宋" w:asciiTheme="minorEastAsia" w:hAnsiTheme="minorEastAsia" w:eastAsiaTheme="minorEastAsia"/>
          <w:i w:val="0"/>
          <w:iCs w:val="0"/>
          <w:color w:val="auto"/>
          <w:sz w:val="24"/>
          <w:szCs w:val="24"/>
          <w:highlight w:val="none"/>
          <w:lang w:val="en-US" w:eastAsia="zh-CN"/>
        </w:rPr>
      </w:pPr>
      <w:r>
        <w:rPr>
          <w:rFonts w:hint="eastAsia" w:cs="仿宋" w:asciiTheme="minorEastAsia" w:hAnsiTheme="minorEastAsia" w:eastAsiaTheme="minorEastAsia"/>
          <w:i w:val="0"/>
          <w:iCs w:val="0"/>
          <w:color w:val="auto"/>
          <w:sz w:val="24"/>
          <w:szCs w:val="24"/>
          <w:highlight w:val="none"/>
        </w:rPr>
        <w:t>政府采购计划编号：赣购2024J001169952</w:t>
      </w:r>
    </w:p>
    <w:p>
      <w:pPr>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项目名称：江西旅游商贸职业学院艺传学院计算机教学机房更新项目</w:t>
      </w:r>
    </w:p>
    <w:bookmarkEnd w:id="10"/>
    <w:p>
      <w:pPr>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预算金额：</w:t>
      </w:r>
      <w:r>
        <w:rPr>
          <w:rFonts w:hint="eastAsia" w:cs="仿宋" w:asciiTheme="minorEastAsia" w:hAnsiTheme="minorEastAsia" w:eastAsiaTheme="minorEastAsia"/>
          <w:color w:val="auto"/>
          <w:sz w:val="24"/>
          <w:szCs w:val="24"/>
          <w:highlight w:val="none"/>
          <w:lang w:val="en-US" w:eastAsia="zh-CN"/>
        </w:rPr>
        <w:t>322</w:t>
      </w:r>
      <w:r>
        <w:rPr>
          <w:rFonts w:hint="eastAsia" w:cs="仿宋" w:asciiTheme="minorEastAsia" w:hAnsiTheme="minorEastAsia" w:eastAsiaTheme="minorEastAsia"/>
          <w:color w:val="auto"/>
          <w:sz w:val="24"/>
          <w:szCs w:val="24"/>
          <w:highlight w:val="none"/>
        </w:rPr>
        <w:t>万元人民币</w:t>
      </w:r>
    </w:p>
    <w:p>
      <w:pPr>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采购需求：</w:t>
      </w:r>
    </w:p>
    <w:tbl>
      <w:tblPr>
        <w:tblStyle w:val="40"/>
        <w:tblW w:w="923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205"/>
        <w:gridCol w:w="2205"/>
        <w:gridCol w:w="1860"/>
        <w:gridCol w:w="645"/>
        <w:gridCol w:w="856"/>
        <w:gridCol w:w="14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2205" w:type="dxa"/>
            <w:shd w:val="clear" w:color="auto" w:fill="auto"/>
            <w:vAlign w:val="center"/>
          </w:tcPr>
          <w:p>
            <w:pPr>
              <w:spacing w:line="360" w:lineRule="auto"/>
              <w:jc w:val="center"/>
              <w:rPr>
                <w:rFonts w:hint="eastAsia" w:cs="仿宋" w:asciiTheme="minorEastAsia" w:hAnsiTheme="minorEastAsia" w:eastAsiaTheme="minorEastAsia"/>
                <w:color w:val="auto"/>
                <w:sz w:val="24"/>
                <w:szCs w:val="24"/>
                <w:highlight w:val="none"/>
                <w:lang w:val="en-US" w:eastAsia="zh-CN"/>
              </w:rPr>
            </w:pPr>
            <w:r>
              <w:rPr>
                <w:rFonts w:hint="eastAsia" w:cs="仿宋" w:asciiTheme="minorEastAsia" w:hAnsiTheme="minorEastAsia" w:eastAsiaTheme="minorEastAsia"/>
                <w:color w:val="auto"/>
                <w:sz w:val="24"/>
                <w:szCs w:val="24"/>
                <w:highlight w:val="none"/>
                <w:lang w:val="en-US" w:eastAsia="zh-CN"/>
              </w:rPr>
              <w:t>品目</w:t>
            </w:r>
          </w:p>
        </w:tc>
        <w:tc>
          <w:tcPr>
            <w:tcW w:w="2205" w:type="dxa"/>
            <w:shd w:val="clear" w:color="auto" w:fill="auto"/>
            <w:vAlign w:val="center"/>
          </w:tcPr>
          <w:p>
            <w:pPr>
              <w:spacing w:line="360" w:lineRule="auto"/>
              <w:jc w:val="center"/>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w:t>
            </w:r>
            <w:r>
              <w:rPr>
                <w:rFonts w:hint="eastAsia" w:ascii="宋体" w:hAnsi="宋体" w:eastAsia="宋体" w:cs="宋体"/>
                <w:color w:val="auto"/>
                <w:kern w:val="0"/>
                <w:sz w:val="24"/>
                <w:szCs w:val="24"/>
                <w:highlight w:val="none"/>
                <w:lang w:val="en-US" w:eastAsia="zh-CN" w:bidi="ar"/>
              </w:rPr>
              <w:t>计划</w:t>
            </w:r>
            <w:r>
              <w:rPr>
                <w:rFonts w:hint="eastAsia" w:cs="仿宋" w:asciiTheme="minorEastAsia" w:hAnsiTheme="minorEastAsia" w:eastAsiaTheme="minorEastAsia"/>
                <w:color w:val="auto"/>
                <w:sz w:val="24"/>
                <w:szCs w:val="24"/>
                <w:highlight w:val="none"/>
              </w:rPr>
              <w:t>编号</w:t>
            </w:r>
          </w:p>
        </w:tc>
        <w:tc>
          <w:tcPr>
            <w:tcW w:w="1860" w:type="dxa"/>
            <w:shd w:val="clear" w:color="auto" w:fill="auto"/>
            <w:vAlign w:val="center"/>
          </w:tcPr>
          <w:p>
            <w:pPr>
              <w:spacing w:line="360" w:lineRule="auto"/>
              <w:jc w:val="center"/>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w:t>
            </w:r>
            <w:r>
              <w:rPr>
                <w:rFonts w:hint="eastAsia" w:ascii="宋体" w:hAnsi="宋体" w:eastAsia="宋体" w:cs="宋体"/>
                <w:color w:val="auto"/>
                <w:kern w:val="0"/>
                <w:sz w:val="24"/>
                <w:szCs w:val="24"/>
                <w:highlight w:val="none"/>
                <w:lang w:val="en-US" w:eastAsia="zh-CN" w:bidi="ar"/>
              </w:rPr>
              <w:t>计划</w:t>
            </w:r>
            <w:r>
              <w:rPr>
                <w:rFonts w:hint="eastAsia" w:cs="仿宋" w:asciiTheme="minorEastAsia" w:hAnsiTheme="minorEastAsia" w:eastAsiaTheme="minorEastAsia"/>
                <w:color w:val="auto"/>
                <w:sz w:val="24"/>
                <w:szCs w:val="24"/>
                <w:highlight w:val="none"/>
              </w:rPr>
              <w:t>名称</w:t>
            </w:r>
          </w:p>
        </w:tc>
        <w:tc>
          <w:tcPr>
            <w:tcW w:w="645" w:type="dxa"/>
            <w:shd w:val="clear" w:color="auto" w:fill="auto"/>
            <w:vAlign w:val="center"/>
          </w:tcPr>
          <w:p>
            <w:pPr>
              <w:spacing w:line="360" w:lineRule="auto"/>
              <w:jc w:val="center"/>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数量</w:t>
            </w:r>
          </w:p>
        </w:tc>
        <w:tc>
          <w:tcPr>
            <w:tcW w:w="856" w:type="dxa"/>
            <w:shd w:val="clear" w:color="auto" w:fill="auto"/>
            <w:vAlign w:val="center"/>
          </w:tcPr>
          <w:p>
            <w:pPr>
              <w:spacing w:line="360" w:lineRule="auto"/>
              <w:jc w:val="center"/>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单位</w:t>
            </w:r>
          </w:p>
        </w:tc>
        <w:tc>
          <w:tcPr>
            <w:tcW w:w="1460" w:type="dxa"/>
            <w:shd w:val="clear" w:color="auto" w:fill="auto"/>
            <w:vAlign w:val="center"/>
          </w:tcPr>
          <w:p>
            <w:pPr>
              <w:spacing w:line="360" w:lineRule="auto"/>
              <w:jc w:val="center"/>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采购预算</w:t>
            </w:r>
            <w:r>
              <w:rPr>
                <w:rFonts w:hint="eastAsia" w:cs="仿宋" w:asciiTheme="minorEastAsia" w:hAnsiTheme="minorEastAsia" w:eastAsiaTheme="minorEastAsia"/>
                <w:color w:val="auto"/>
                <w:sz w:val="24"/>
                <w:szCs w:val="24"/>
                <w:highlight w:val="none"/>
              </w:rPr>
              <w:br w:type="textWrapping"/>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color w:val="auto"/>
                <w:sz w:val="24"/>
                <w:szCs w:val="24"/>
                <w:highlight w:val="none"/>
                <w:lang w:val="en-US" w:eastAsia="zh-CN"/>
              </w:rPr>
              <w:t>万元</w:t>
            </w:r>
            <w:r>
              <w:rPr>
                <w:rFonts w:hint="eastAsia" w:cs="仿宋" w:asciiTheme="minorEastAsia" w:hAnsiTheme="minorEastAsia" w:eastAsiaTheme="minorEastAsia"/>
                <w:color w:val="auto"/>
                <w:sz w:val="24"/>
                <w:szCs w:val="24"/>
                <w:highlight w:val="none"/>
              </w:rPr>
              <w:t>人民币）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5" w:hRule="atLeast"/>
          <w:jc w:val="center"/>
        </w:trPr>
        <w:tc>
          <w:tcPr>
            <w:tcW w:w="2205" w:type="dxa"/>
            <w:shd w:val="clear" w:color="auto" w:fill="auto"/>
            <w:vAlign w:val="center"/>
          </w:tcPr>
          <w:p>
            <w:pPr>
              <w:widowControl/>
              <w:spacing w:line="360" w:lineRule="auto"/>
              <w:jc w:val="center"/>
              <w:rPr>
                <w:rFonts w:hint="default" w:cs="微软雅黑" w:asciiTheme="minorEastAsia" w:hAnsiTheme="minorEastAsia" w:eastAsiaTheme="minorEastAsia"/>
                <w:color w:val="auto"/>
                <w:sz w:val="24"/>
                <w:szCs w:val="24"/>
                <w:highlight w:val="none"/>
                <w:lang w:val="en-US" w:eastAsia="zh-CN"/>
              </w:rPr>
            </w:pPr>
            <w:r>
              <w:rPr>
                <w:rFonts w:hint="eastAsia" w:cs="微软雅黑" w:asciiTheme="minorEastAsia" w:hAnsiTheme="minorEastAsia" w:eastAsiaTheme="minorEastAsia"/>
                <w:color w:val="auto"/>
                <w:sz w:val="24"/>
                <w:szCs w:val="24"/>
                <w:highlight w:val="none"/>
                <w:lang w:val="en-US" w:eastAsia="zh-CN"/>
              </w:rPr>
              <w:t>1</w:t>
            </w:r>
          </w:p>
        </w:tc>
        <w:tc>
          <w:tcPr>
            <w:tcW w:w="2205" w:type="dxa"/>
            <w:shd w:val="clear" w:color="auto" w:fill="auto"/>
            <w:vAlign w:val="center"/>
          </w:tcPr>
          <w:p>
            <w:pPr>
              <w:widowControl/>
              <w:spacing w:line="360" w:lineRule="auto"/>
              <w:jc w:val="center"/>
              <w:rPr>
                <w:rFonts w:hint="eastAsia" w:cs="微软雅黑" w:asciiTheme="minorEastAsia" w:hAnsiTheme="minorEastAsia" w:eastAsiaTheme="minorEastAsia"/>
                <w:color w:val="auto"/>
                <w:sz w:val="24"/>
                <w:szCs w:val="24"/>
                <w:highlight w:val="none"/>
                <w:lang w:eastAsia="zh-CN"/>
              </w:rPr>
            </w:pPr>
            <w:r>
              <w:rPr>
                <w:rFonts w:hint="eastAsia" w:cs="微软雅黑" w:asciiTheme="minorEastAsia" w:hAnsiTheme="minorEastAsia" w:eastAsiaTheme="minorEastAsia"/>
                <w:color w:val="auto"/>
                <w:sz w:val="24"/>
                <w:szCs w:val="24"/>
                <w:highlight w:val="none"/>
                <w:lang w:eastAsia="zh-CN"/>
              </w:rPr>
              <w:t>赣购2024J001169952</w:t>
            </w:r>
          </w:p>
        </w:tc>
        <w:tc>
          <w:tcPr>
            <w:tcW w:w="1860" w:type="dxa"/>
            <w:shd w:val="clear" w:color="auto" w:fill="auto"/>
            <w:vAlign w:val="center"/>
          </w:tcPr>
          <w:p>
            <w:pPr>
              <w:widowControl/>
              <w:spacing w:line="360" w:lineRule="auto"/>
              <w:jc w:val="center"/>
              <w:rPr>
                <w:rFonts w:cs="微软雅黑" w:asciiTheme="minorEastAsia" w:hAnsiTheme="minorEastAsia" w:eastAsiaTheme="minorEastAsia"/>
                <w:color w:val="auto"/>
                <w:sz w:val="24"/>
                <w:szCs w:val="24"/>
                <w:highlight w:val="none"/>
              </w:rPr>
            </w:pPr>
            <w:r>
              <w:rPr>
                <w:rFonts w:hint="eastAsia" w:cs="微软雅黑" w:asciiTheme="minorEastAsia" w:hAnsiTheme="minorEastAsia" w:eastAsiaTheme="minorEastAsia"/>
                <w:color w:val="auto"/>
                <w:sz w:val="24"/>
                <w:szCs w:val="24"/>
                <w:highlight w:val="none"/>
              </w:rPr>
              <w:t>艺传学院计算机教学机房更新</w:t>
            </w:r>
          </w:p>
        </w:tc>
        <w:tc>
          <w:tcPr>
            <w:tcW w:w="645" w:type="dxa"/>
            <w:shd w:val="clear" w:color="auto" w:fill="auto"/>
            <w:vAlign w:val="center"/>
          </w:tcPr>
          <w:p>
            <w:pPr>
              <w:widowControl/>
              <w:spacing w:line="360" w:lineRule="auto"/>
              <w:jc w:val="center"/>
              <w:rPr>
                <w:rFonts w:hint="eastAsia" w:cs="微软雅黑" w:asciiTheme="minorEastAsia" w:hAnsiTheme="minorEastAsia" w:eastAsiaTheme="minorEastAsia"/>
                <w:color w:val="auto"/>
                <w:sz w:val="24"/>
                <w:szCs w:val="24"/>
                <w:highlight w:val="none"/>
                <w:lang w:val="en-US" w:eastAsia="zh-CN"/>
              </w:rPr>
            </w:pPr>
            <w:r>
              <w:rPr>
                <w:rFonts w:hint="eastAsia" w:cs="微软雅黑" w:asciiTheme="minorEastAsia" w:hAnsiTheme="minorEastAsia" w:eastAsiaTheme="minorEastAsia"/>
                <w:color w:val="auto"/>
                <w:sz w:val="24"/>
                <w:szCs w:val="24"/>
                <w:highlight w:val="none"/>
                <w:lang w:val="en-US" w:eastAsia="zh-CN"/>
              </w:rPr>
              <w:t>1</w:t>
            </w:r>
          </w:p>
        </w:tc>
        <w:tc>
          <w:tcPr>
            <w:tcW w:w="856" w:type="dxa"/>
            <w:shd w:val="clear" w:color="auto" w:fill="auto"/>
            <w:vAlign w:val="center"/>
          </w:tcPr>
          <w:p>
            <w:pPr>
              <w:widowControl/>
              <w:spacing w:line="360" w:lineRule="auto"/>
              <w:jc w:val="center"/>
              <w:rPr>
                <w:rFonts w:hint="eastAsia" w:cs="微软雅黑" w:asciiTheme="minorEastAsia" w:hAnsiTheme="minorEastAsia" w:eastAsiaTheme="minorEastAsia"/>
                <w:color w:val="auto"/>
                <w:sz w:val="24"/>
                <w:szCs w:val="24"/>
                <w:highlight w:val="none"/>
                <w:lang w:val="en-US" w:eastAsia="zh-CN"/>
              </w:rPr>
            </w:pPr>
            <w:r>
              <w:rPr>
                <w:rFonts w:hint="eastAsia" w:cs="微软雅黑" w:asciiTheme="minorEastAsia" w:hAnsiTheme="minorEastAsia" w:eastAsiaTheme="minorEastAsia"/>
                <w:color w:val="auto"/>
                <w:sz w:val="24"/>
                <w:szCs w:val="24"/>
                <w:highlight w:val="none"/>
                <w:lang w:val="en-US" w:eastAsia="zh-CN"/>
              </w:rPr>
              <w:t>批</w:t>
            </w:r>
          </w:p>
        </w:tc>
        <w:tc>
          <w:tcPr>
            <w:tcW w:w="1460" w:type="dxa"/>
            <w:shd w:val="clear" w:color="auto" w:fill="auto"/>
            <w:vAlign w:val="center"/>
          </w:tcPr>
          <w:p>
            <w:pPr>
              <w:widowControl/>
              <w:spacing w:line="360" w:lineRule="auto"/>
              <w:jc w:val="center"/>
              <w:rPr>
                <w:rFonts w:hint="default" w:cs="微软雅黑" w:asciiTheme="minorEastAsia" w:hAnsiTheme="minorEastAsia" w:eastAsiaTheme="minorEastAsia"/>
                <w:color w:val="auto"/>
                <w:sz w:val="24"/>
                <w:szCs w:val="24"/>
                <w:highlight w:val="none"/>
                <w:lang w:val="en-US" w:eastAsia="zh-CN"/>
              </w:rPr>
            </w:pPr>
            <w:r>
              <w:rPr>
                <w:rFonts w:hint="eastAsia" w:cs="微软雅黑" w:asciiTheme="minorEastAsia" w:hAnsiTheme="minorEastAsia" w:eastAsiaTheme="minorEastAsia"/>
                <w:color w:val="auto"/>
                <w:sz w:val="24"/>
                <w:szCs w:val="24"/>
                <w:highlight w:val="none"/>
                <w:lang w:val="en-US" w:eastAsia="zh-CN"/>
              </w:rPr>
              <w:t>322</w:t>
            </w:r>
          </w:p>
        </w:tc>
      </w:tr>
    </w:tbl>
    <w:p>
      <w:pPr>
        <w:spacing w:line="360" w:lineRule="auto"/>
        <w:rPr>
          <w:rFonts w:hint="default" w:asciiTheme="minorEastAsia" w:hAnsiTheme="minorEastAsia" w:eastAsiaTheme="minorEastAsia"/>
          <w:b/>
          <w:bCs/>
          <w:color w:val="auto"/>
          <w:highlight w:val="none"/>
          <w:lang w:val="en-US" w:eastAsia="zh-CN"/>
        </w:rPr>
      </w:pPr>
      <w:r>
        <w:rPr>
          <w:rFonts w:hint="eastAsia" w:asciiTheme="minorEastAsia" w:hAnsiTheme="minorEastAsia" w:eastAsiaTheme="minorEastAsia"/>
          <w:b/>
          <w:bCs/>
          <w:color w:val="auto"/>
          <w:highlight w:val="none"/>
          <w:lang w:val="en-US" w:eastAsia="zh-CN"/>
        </w:rPr>
        <w:t>注：投标人各品目报价不能超过对应品目采购预算，否则投标无效。</w:t>
      </w:r>
    </w:p>
    <w:tbl>
      <w:tblPr>
        <w:tblStyle w:val="41"/>
        <w:tblpPr w:leftFromText="180" w:rightFromText="180" w:vertAnchor="text" w:tblpX="10597" w:tblpY="-2163"/>
        <w:tblOverlap w:val="never"/>
        <w:tblW w:w="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98" w:type="dxa"/>
          </w:tcPr>
          <w:p>
            <w:pPr>
              <w:spacing w:line="360" w:lineRule="auto"/>
              <w:rPr>
                <w:rFonts w:cs="仿宋" w:asciiTheme="minorEastAsia" w:hAnsiTheme="minorEastAsia" w:eastAsiaTheme="minorEastAsia"/>
                <w:b/>
                <w:color w:val="auto"/>
                <w:sz w:val="24"/>
                <w:szCs w:val="24"/>
                <w:highlight w:val="none"/>
              </w:rPr>
            </w:pPr>
          </w:p>
        </w:tc>
      </w:tr>
    </w:tbl>
    <w:p>
      <w:pPr>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合同履行期限：合同签订后60日内。</w:t>
      </w:r>
    </w:p>
    <w:p>
      <w:pPr>
        <w:spacing w:line="360" w:lineRule="auto"/>
        <w:ind w:firstLine="480" w:firstLineChars="200"/>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rPr>
        <w:t>本项目</w:t>
      </w:r>
      <w:r>
        <w:rPr>
          <w:rFonts w:hint="eastAsia" w:cs="仿宋" w:asciiTheme="minorEastAsia" w:hAnsiTheme="minorEastAsia" w:eastAsiaTheme="minorEastAsia"/>
          <w:i w:val="0"/>
          <w:iCs w:val="0"/>
          <w:color w:val="auto"/>
          <w:sz w:val="24"/>
          <w:szCs w:val="24"/>
          <w:highlight w:val="none"/>
        </w:rPr>
        <w:t>（是/否）</w:t>
      </w:r>
      <w:r>
        <w:rPr>
          <w:rFonts w:hint="eastAsia" w:cs="仿宋" w:asciiTheme="minorEastAsia" w:hAnsiTheme="minorEastAsia" w:eastAsiaTheme="minorEastAsia"/>
          <w:color w:val="auto"/>
          <w:sz w:val="24"/>
          <w:szCs w:val="24"/>
          <w:highlight w:val="none"/>
        </w:rPr>
        <w:t>接受联合体投标：</w:t>
      </w:r>
      <w:r>
        <w:rPr>
          <w:rFonts w:hint="eastAsia" w:cs="仿宋" w:asciiTheme="minorEastAsia" w:hAnsiTheme="minorEastAsia" w:eastAsiaTheme="minorEastAsia"/>
          <w:color w:val="auto"/>
          <w:sz w:val="24"/>
          <w:szCs w:val="24"/>
          <w:highlight w:val="none"/>
          <w:lang w:val="en-US" w:eastAsia="zh-CN"/>
        </w:rPr>
        <w:t>否</w:t>
      </w:r>
    </w:p>
    <w:p>
      <w:pPr>
        <w:pStyle w:val="6"/>
        <w:keepNext w:val="0"/>
        <w:keepLines w:val="0"/>
        <w:spacing w:before="0" w:after="0" w:line="360" w:lineRule="auto"/>
        <w:outlineLvl w:val="3"/>
        <w:rPr>
          <w:rFonts w:cs="仿宋" w:asciiTheme="minorEastAsia" w:hAnsiTheme="minorEastAsia" w:eastAsiaTheme="minorEastAsia"/>
          <w:b/>
          <w:bCs w:val="0"/>
          <w:color w:val="auto"/>
          <w:sz w:val="24"/>
          <w:szCs w:val="24"/>
          <w:highlight w:val="none"/>
        </w:rPr>
      </w:pPr>
      <w:bookmarkStart w:id="11" w:name="_Toc28359080"/>
      <w:bookmarkStart w:id="12" w:name="_Toc35393622"/>
      <w:bookmarkStart w:id="13" w:name="_Toc28359003"/>
      <w:bookmarkStart w:id="14" w:name="_Toc35393791"/>
      <w:r>
        <w:rPr>
          <w:rFonts w:hint="eastAsia" w:cs="仿宋" w:asciiTheme="minorEastAsia" w:hAnsiTheme="minorEastAsia" w:eastAsiaTheme="minorEastAsia"/>
          <w:b/>
          <w:bCs w:val="0"/>
          <w:color w:val="auto"/>
          <w:sz w:val="24"/>
          <w:szCs w:val="24"/>
          <w:highlight w:val="none"/>
        </w:rPr>
        <w:t>二、申请人的资格要求</w:t>
      </w:r>
      <w:bookmarkEnd w:id="11"/>
      <w:bookmarkEnd w:id="12"/>
      <w:bookmarkEnd w:id="13"/>
      <w:bookmarkEnd w:id="14"/>
    </w:p>
    <w:p>
      <w:pPr>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1.满足《中华人民共和国政府采购法》第二十二条规定；</w:t>
      </w:r>
    </w:p>
    <w:p>
      <w:pPr>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（1）具有独立承担民事责任的能力</w:t>
      </w:r>
    </w:p>
    <w:p>
      <w:pPr>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（2）具有良好的商业信誉和健全的财务会计制度 </w:t>
      </w:r>
    </w:p>
    <w:p>
      <w:pPr>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（3）具有履行合同所</w:t>
      </w:r>
      <w:r>
        <w:rPr>
          <w:rFonts w:hint="eastAsia" w:ascii="宋体" w:hAnsi="宋体" w:eastAsia="宋体" w:cs="宋体"/>
          <w:color w:val="auto"/>
          <w:sz w:val="24"/>
          <w:szCs w:val="24"/>
          <w:highlight w:val="none"/>
        </w:rPr>
        <w:t>必</w:t>
      </w:r>
      <w:r>
        <w:rPr>
          <w:rFonts w:hint="eastAsia" w:ascii="宋体" w:hAnsi="宋体" w:eastAsia="宋体" w:cs="宋体"/>
          <w:color w:val="auto"/>
          <w:sz w:val="24"/>
          <w:szCs w:val="24"/>
          <w:highlight w:val="none"/>
          <w:lang w:val="en-US" w:eastAsia="zh-CN"/>
        </w:rPr>
        <w:t>需</w:t>
      </w:r>
      <w:r>
        <w:rPr>
          <w:rFonts w:hint="eastAsia" w:cs="仿宋" w:asciiTheme="minorEastAsia" w:hAnsiTheme="minorEastAsia" w:eastAsiaTheme="minorEastAsia"/>
          <w:color w:val="auto"/>
          <w:sz w:val="24"/>
          <w:szCs w:val="24"/>
          <w:highlight w:val="none"/>
        </w:rPr>
        <w:t xml:space="preserve">的设备和专业技术能力 </w:t>
      </w:r>
    </w:p>
    <w:p>
      <w:pPr>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（4）有依法缴纳税收和社会保障资金的良好记录</w:t>
      </w:r>
    </w:p>
    <w:p>
      <w:pPr>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（5）参加政府采购活动前三年内,在经营活动中没有重大违法记录</w:t>
      </w:r>
    </w:p>
    <w:p>
      <w:pPr>
        <w:spacing w:line="360" w:lineRule="auto"/>
        <w:rPr>
          <w:rFonts w:hint="eastAsia" w:cs="仿宋" w:asciiTheme="minorEastAsia" w:hAnsiTheme="minorEastAsia" w:eastAsiaTheme="minorEastAsia"/>
          <w:color w:val="auto"/>
          <w:sz w:val="24"/>
          <w:szCs w:val="24"/>
          <w:highlight w:val="none"/>
        </w:rPr>
      </w:pPr>
      <w:bookmarkStart w:id="15" w:name="_Toc28359004"/>
      <w:bookmarkStart w:id="16" w:name="_Toc35393623"/>
      <w:bookmarkStart w:id="17" w:name="_Toc35393792"/>
      <w:bookmarkStart w:id="18" w:name="_Toc28359081"/>
      <w:r>
        <w:rPr>
          <w:rFonts w:hint="eastAsia" w:cs="仿宋" w:asciiTheme="minorEastAsia" w:hAnsiTheme="minorEastAsia" w:eastAsiaTheme="minorEastAsia"/>
          <w:color w:val="auto"/>
          <w:sz w:val="24"/>
          <w:szCs w:val="24"/>
          <w:highlight w:val="none"/>
        </w:rPr>
        <w:t>（6）法律、行政法规规定的其他条件。</w:t>
      </w:r>
    </w:p>
    <w:p>
      <w:pPr>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2.单位负责人为同一人或者存在直接控股、管理关系的不同投标人，不得参加同一合同项下的采购活动。</w:t>
      </w:r>
    </w:p>
    <w:p>
      <w:pPr>
        <w:spacing w:line="360" w:lineRule="auto"/>
        <w:rPr>
          <w:rFonts w:hint="default" w:cs="仿宋" w:asciiTheme="minorEastAsia" w:hAnsiTheme="minorEastAsia" w:eastAsiaTheme="minorEastAsia"/>
          <w:color w:val="auto"/>
          <w:sz w:val="24"/>
          <w:szCs w:val="24"/>
          <w:highlight w:val="none"/>
          <w:lang w:val="en-US" w:eastAsia="zh-CN"/>
        </w:rPr>
      </w:pPr>
      <w:r>
        <w:rPr>
          <w:rFonts w:hint="eastAsia" w:cs="仿宋" w:asciiTheme="minorEastAsia" w:hAnsiTheme="minorEastAsia" w:eastAsiaTheme="minorEastAsia"/>
          <w:color w:val="auto"/>
          <w:sz w:val="24"/>
          <w:szCs w:val="24"/>
          <w:highlight w:val="none"/>
          <w:lang w:val="en-US" w:eastAsia="zh-CN"/>
        </w:rPr>
        <w:t>3.为本采购项目提供整体设计、规范编制或者项目管理、监理、检测等服务的，不得参加本项目的政府采购活动。</w:t>
      </w:r>
    </w:p>
    <w:p>
      <w:pPr>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val="en-US" w:eastAsia="zh-CN"/>
        </w:rPr>
        <w:t>4</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color w:val="auto"/>
          <w:sz w:val="24"/>
          <w:szCs w:val="24"/>
          <w:highlight w:val="none"/>
          <w:lang w:val="en-US" w:eastAsia="zh-CN"/>
        </w:rPr>
        <w:t>通过“信用中国”网站和中国政府采购网查询相关主体信用记录，被列入失信被执行人、重大税收违法失信主体、政府采购严重违法失信行为记录名单的供应商（处罚期限尚未届满的），不得参与本项目的政府采购活动。</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cs="仿宋" w:asciiTheme="minorEastAsia" w:hAnsiTheme="minorEastAsia" w:eastAsiaTheme="minorEastAsia"/>
          <w:color w:val="auto"/>
          <w:sz w:val="24"/>
          <w:szCs w:val="24"/>
          <w:highlight w:val="none"/>
          <w:lang w:val="en-US" w:eastAsia="zh-CN"/>
        </w:rPr>
      </w:pPr>
      <w:r>
        <w:rPr>
          <w:rFonts w:hint="eastAsia" w:cs="仿宋" w:asciiTheme="minorEastAsia" w:hAnsiTheme="minorEastAsia" w:eastAsiaTheme="minorEastAsia"/>
          <w:color w:val="auto"/>
          <w:sz w:val="24"/>
          <w:szCs w:val="24"/>
          <w:highlight w:val="none"/>
          <w:lang w:val="en-US" w:eastAsia="zh-CN"/>
        </w:rPr>
        <w:t>5</w:t>
      </w:r>
      <w:r>
        <w:rPr>
          <w:rFonts w:hint="eastAsia" w:cs="仿宋" w:asciiTheme="minorEastAsia" w:hAnsiTheme="minorEastAsia" w:eastAsiaTheme="minorEastAsia"/>
          <w:color w:val="auto"/>
          <w:sz w:val="24"/>
          <w:szCs w:val="24"/>
          <w:highlight w:val="none"/>
        </w:rPr>
        <w:t>.落实政府采购政策需满足的资格要求：</w:t>
      </w:r>
      <w:r>
        <w:rPr>
          <w:rFonts w:hint="eastAsia" w:cs="仿宋" w:asciiTheme="minorEastAsia" w:hAnsiTheme="minorEastAsia" w:eastAsiaTheme="minorEastAsia"/>
          <w:color w:val="auto"/>
          <w:sz w:val="24"/>
          <w:szCs w:val="24"/>
          <w:highlight w:val="none"/>
          <w:lang w:val="en-US" w:eastAsia="zh-CN"/>
        </w:rPr>
        <w:t>如本项目采购的产品属于政府强制采购节能产品的，必须提供《节能产品政府采购品目清单》的产品。</w:t>
      </w:r>
    </w:p>
    <w:p>
      <w:pPr>
        <w:spacing w:line="360" w:lineRule="auto"/>
        <w:ind w:left="692" w:leftChars="100" w:hanging="482" w:hangingChars="200"/>
        <w:outlineLvl w:val="3"/>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三、获取招标文件</w:t>
      </w:r>
      <w:bookmarkEnd w:id="15"/>
      <w:bookmarkEnd w:id="16"/>
      <w:bookmarkEnd w:id="17"/>
      <w:bookmarkEnd w:id="18"/>
    </w:p>
    <w:p>
      <w:pPr>
        <w:spacing w:line="360" w:lineRule="auto"/>
        <w:ind w:left="1279" w:leftChars="266" w:hanging="720" w:hangingChars="3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时间：</w:t>
      </w:r>
      <w:r>
        <w:rPr>
          <w:rFonts w:hint="eastAsia" w:cs="仿宋" w:asciiTheme="minorEastAsia" w:hAnsiTheme="minorEastAsia" w:eastAsiaTheme="minorEastAsia"/>
          <w:color w:val="auto"/>
          <w:sz w:val="24"/>
          <w:szCs w:val="24"/>
          <w:highlight w:val="none"/>
          <w:lang w:val="en-US" w:eastAsia="zh-CN"/>
        </w:rPr>
        <w:t>2024</w:t>
      </w:r>
      <w:r>
        <w:rPr>
          <w:rFonts w:hint="eastAsia" w:cs="仿宋" w:asciiTheme="minorEastAsia" w:hAnsiTheme="minorEastAsia" w:eastAsiaTheme="minorEastAsia"/>
          <w:color w:val="auto"/>
          <w:sz w:val="24"/>
          <w:szCs w:val="24"/>
          <w:highlight w:val="none"/>
        </w:rPr>
        <w:t>年</w:t>
      </w:r>
      <w:r>
        <w:rPr>
          <w:rFonts w:hint="eastAsia" w:cs="仿宋" w:asciiTheme="minorEastAsia" w:hAnsiTheme="minorEastAsia" w:eastAsiaTheme="minorEastAsia"/>
          <w:color w:val="auto"/>
          <w:sz w:val="24"/>
          <w:szCs w:val="24"/>
          <w:highlight w:val="none"/>
          <w:lang w:val="en-US" w:eastAsia="zh-CN"/>
        </w:rPr>
        <w:t>6</w:t>
      </w:r>
      <w:r>
        <w:rPr>
          <w:rFonts w:hint="eastAsia" w:cs="仿宋" w:asciiTheme="minorEastAsia" w:hAnsiTheme="minorEastAsia" w:eastAsiaTheme="minorEastAsia"/>
          <w:color w:val="auto"/>
          <w:sz w:val="24"/>
          <w:szCs w:val="24"/>
          <w:highlight w:val="none"/>
        </w:rPr>
        <w:t>月</w:t>
      </w:r>
      <w:r>
        <w:rPr>
          <w:rFonts w:hint="eastAsia" w:cs="仿宋" w:asciiTheme="minorEastAsia" w:hAnsiTheme="minorEastAsia" w:eastAsiaTheme="minorEastAsia"/>
          <w:color w:val="auto"/>
          <w:sz w:val="24"/>
          <w:szCs w:val="24"/>
          <w:highlight w:val="none"/>
          <w:lang w:val="en-US" w:eastAsia="zh-CN"/>
        </w:rPr>
        <w:t>17</w:t>
      </w:r>
      <w:r>
        <w:rPr>
          <w:rFonts w:hint="eastAsia" w:cs="仿宋" w:asciiTheme="minorEastAsia" w:hAnsiTheme="minorEastAsia" w:eastAsiaTheme="minorEastAsia"/>
          <w:color w:val="auto"/>
          <w:sz w:val="24"/>
          <w:szCs w:val="24"/>
          <w:highlight w:val="none"/>
        </w:rPr>
        <w:t>日至</w:t>
      </w:r>
      <w:r>
        <w:rPr>
          <w:rFonts w:hint="eastAsia" w:cs="仿宋" w:asciiTheme="minorEastAsia" w:hAnsiTheme="minorEastAsia" w:eastAsiaTheme="minorEastAsia"/>
          <w:color w:val="auto"/>
          <w:sz w:val="24"/>
          <w:szCs w:val="24"/>
          <w:highlight w:val="none"/>
          <w:lang w:val="en-US" w:eastAsia="zh-CN"/>
        </w:rPr>
        <w:t>2024</w:t>
      </w:r>
      <w:r>
        <w:rPr>
          <w:rFonts w:hint="eastAsia" w:cs="仿宋" w:asciiTheme="minorEastAsia" w:hAnsiTheme="minorEastAsia" w:eastAsiaTheme="minorEastAsia"/>
          <w:color w:val="auto"/>
          <w:sz w:val="24"/>
          <w:szCs w:val="24"/>
          <w:highlight w:val="none"/>
        </w:rPr>
        <w:t>年</w:t>
      </w:r>
      <w:r>
        <w:rPr>
          <w:rFonts w:hint="eastAsia" w:cs="仿宋" w:asciiTheme="minorEastAsia" w:hAnsiTheme="minorEastAsia" w:eastAsiaTheme="minorEastAsia"/>
          <w:color w:val="auto"/>
          <w:sz w:val="24"/>
          <w:szCs w:val="24"/>
          <w:highlight w:val="none"/>
          <w:lang w:val="en-US" w:eastAsia="zh-CN"/>
        </w:rPr>
        <w:t>6</w:t>
      </w:r>
      <w:r>
        <w:rPr>
          <w:rFonts w:hint="eastAsia" w:cs="仿宋" w:asciiTheme="minorEastAsia" w:hAnsiTheme="minorEastAsia" w:eastAsiaTheme="minorEastAsia"/>
          <w:color w:val="auto"/>
          <w:sz w:val="24"/>
          <w:szCs w:val="24"/>
          <w:highlight w:val="none"/>
        </w:rPr>
        <w:t>月</w:t>
      </w:r>
      <w:r>
        <w:rPr>
          <w:rFonts w:hint="eastAsia" w:cs="仿宋" w:asciiTheme="minorEastAsia" w:hAnsiTheme="minorEastAsia" w:eastAsiaTheme="minorEastAsia"/>
          <w:color w:val="auto"/>
          <w:sz w:val="24"/>
          <w:szCs w:val="24"/>
          <w:highlight w:val="none"/>
          <w:lang w:val="en-US" w:eastAsia="zh-CN"/>
        </w:rPr>
        <w:t>24</w:t>
      </w:r>
      <w:r>
        <w:rPr>
          <w:rFonts w:hint="eastAsia" w:cs="仿宋" w:asciiTheme="minorEastAsia" w:hAnsiTheme="minorEastAsia" w:eastAsiaTheme="minorEastAsia"/>
          <w:color w:val="auto"/>
          <w:sz w:val="24"/>
          <w:szCs w:val="24"/>
          <w:highlight w:val="none"/>
        </w:rPr>
        <w:t>日（北京时间），</w:t>
      </w:r>
    </w:p>
    <w:p>
      <w:pPr>
        <w:spacing w:line="360" w:lineRule="auto"/>
        <w:ind w:firstLine="540"/>
        <w:rPr>
          <w:rFonts w:cs="仿宋" w:asciiTheme="minorEastAsia" w:hAnsiTheme="minorEastAsia" w:eastAsiaTheme="minorEastAsia"/>
          <w:color w:val="auto"/>
          <w:sz w:val="24"/>
          <w:szCs w:val="24"/>
          <w:highlight w:val="none"/>
          <w:u w:val="single"/>
        </w:rPr>
      </w:pPr>
      <w:r>
        <w:rPr>
          <w:rFonts w:hint="eastAsia" w:cs="仿宋" w:asciiTheme="minorEastAsia" w:hAnsiTheme="minorEastAsia" w:eastAsiaTheme="minorEastAsia"/>
          <w:color w:val="auto"/>
          <w:sz w:val="24"/>
          <w:szCs w:val="24"/>
          <w:highlight w:val="none"/>
        </w:rPr>
        <w:t>地点：江西省公共资源交易网</w:t>
      </w:r>
      <w:r>
        <w:rPr>
          <w:rFonts w:hint="eastAsia" w:cs="仿宋" w:asciiTheme="minorEastAsia" w:hAnsiTheme="minorEastAsia" w:eastAsiaTheme="minorEastAsia"/>
          <w:bCs/>
          <w:color w:val="auto"/>
          <w:sz w:val="24"/>
          <w:szCs w:val="24"/>
          <w:highlight w:val="none"/>
        </w:rPr>
        <w:t>（网址：</w:t>
      </w:r>
      <w:r>
        <w:rPr>
          <w:rFonts w:hint="eastAsia" w:cs="仿宋" w:asciiTheme="minorEastAsia" w:hAnsiTheme="minorEastAsia" w:eastAsiaTheme="minorEastAsia"/>
          <w:bCs/>
          <w:color w:val="auto"/>
          <w:sz w:val="24"/>
          <w:szCs w:val="24"/>
          <w:highlight w:val="none"/>
          <w:u w:val="single"/>
        </w:rPr>
        <w:t>http://jxsggzy.cn/web/</w:t>
      </w:r>
      <w:r>
        <w:rPr>
          <w:rFonts w:hint="eastAsia" w:cs="仿宋" w:asciiTheme="minorEastAsia" w:hAnsiTheme="minorEastAsia" w:eastAsiaTheme="minorEastAsia"/>
          <w:bCs/>
          <w:color w:val="auto"/>
          <w:sz w:val="24"/>
          <w:szCs w:val="24"/>
          <w:highlight w:val="none"/>
        </w:rPr>
        <w:t>）</w:t>
      </w:r>
    </w:p>
    <w:p>
      <w:pPr>
        <w:spacing w:line="360" w:lineRule="auto"/>
        <w:ind w:firstLine="54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方式：网上</w:t>
      </w:r>
      <w:r>
        <w:rPr>
          <w:rFonts w:hint="eastAsia" w:cs="仿宋" w:asciiTheme="minorEastAsia" w:hAnsiTheme="minorEastAsia" w:eastAsiaTheme="minorEastAsia"/>
          <w:color w:val="auto"/>
          <w:sz w:val="24"/>
          <w:szCs w:val="24"/>
          <w:highlight w:val="none"/>
          <w:lang w:val="en-US" w:eastAsia="zh-CN"/>
        </w:rPr>
        <w:t>确认</w:t>
      </w:r>
      <w:r>
        <w:rPr>
          <w:rFonts w:hint="eastAsia" w:cs="仿宋" w:asciiTheme="minorEastAsia" w:hAnsiTheme="minorEastAsia" w:eastAsiaTheme="minorEastAsia"/>
          <w:color w:val="auto"/>
          <w:sz w:val="24"/>
          <w:szCs w:val="24"/>
          <w:highlight w:val="none"/>
        </w:rPr>
        <w:t>和下载招标文件。（详见其他补充事宜）</w:t>
      </w:r>
    </w:p>
    <w:p>
      <w:pPr>
        <w:pStyle w:val="6"/>
        <w:spacing w:before="0" w:after="0" w:line="360" w:lineRule="auto"/>
        <w:outlineLvl w:val="3"/>
        <w:rPr>
          <w:rFonts w:cs="仿宋" w:asciiTheme="minorEastAsia" w:hAnsiTheme="minorEastAsia" w:eastAsiaTheme="minorEastAsia"/>
          <w:b/>
          <w:bCs w:val="0"/>
          <w:color w:val="auto"/>
          <w:sz w:val="24"/>
          <w:szCs w:val="24"/>
          <w:highlight w:val="none"/>
        </w:rPr>
      </w:pPr>
      <w:bookmarkStart w:id="19" w:name="_Toc28359005"/>
      <w:bookmarkStart w:id="20" w:name="_Toc28359082"/>
      <w:bookmarkStart w:id="21" w:name="_Toc35393793"/>
      <w:bookmarkStart w:id="22" w:name="_Toc35393624"/>
      <w:r>
        <w:rPr>
          <w:rFonts w:hint="eastAsia" w:cs="仿宋" w:asciiTheme="minorEastAsia" w:hAnsiTheme="minorEastAsia" w:eastAsiaTheme="minorEastAsia"/>
          <w:b/>
          <w:bCs w:val="0"/>
          <w:color w:val="auto"/>
          <w:sz w:val="24"/>
          <w:szCs w:val="24"/>
          <w:highlight w:val="none"/>
        </w:rPr>
        <w:t>四、提交投标文件</w:t>
      </w:r>
      <w:bookmarkEnd w:id="19"/>
      <w:bookmarkEnd w:id="20"/>
      <w:r>
        <w:rPr>
          <w:rFonts w:hint="eastAsia" w:cs="仿宋" w:asciiTheme="minorEastAsia" w:hAnsiTheme="minorEastAsia" w:eastAsiaTheme="minorEastAsia"/>
          <w:b/>
          <w:bCs w:val="0"/>
          <w:color w:val="auto"/>
          <w:sz w:val="24"/>
          <w:szCs w:val="24"/>
          <w:highlight w:val="none"/>
        </w:rPr>
        <w:t>截止时间、开标时间和地点</w:t>
      </w:r>
      <w:bookmarkEnd w:id="21"/>
      <w:bookmarkEnd w:id="22"/>
    </w:p>
    <w:p>
      <w:pPr>
        <w:spacing w:line="360" w:lineRule="auto"/>
        <w:ind w:firstLine="480" w:firstLineChars="200"/>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color w:val="auto"/>
          <w:sz w:val="24"/>
          <w:szCs w:val="24"/>
          <w:highlight w:val="none"/>
          <w:lang w:val="en-US" w:eastAsia="zh-CN"/>
        </w:rPr>
        <w:t>2024</w:t>
      </w:r>
      <w:r>
        <w:rPr>
          <w:rFonts w:hint="eastAsia" w:cs="仿宋" w:asciiTheme="minorEastAsia" w:hAnsiTheme="minorEastAsia" w:eastAsiaTheme="minorEastAsia"/>
          <w:bCs/>
          <w:color w:val="auto"/>
          <w:sz w:val="24"/>
          <w:szCs w:val="24"/>
          <w:highlight w:val="none"/>
        </w:rPr>
        <w:t>年</w:t>
      </w:r>
      <w:r>
        <w:rPr>
          <w:rFonts w:hint="eastAsia" w:cs="仿宋" w:asciiTheme="minorEastAsia" w:hAnsiTheme="minorEastAsia" w:eastAsiaTheme="minorEastAsia"/>
          <w:bCs/>
          <w:color w:val="auto"/>
          <w:sz w:val="24"/>
          <w:szCs w:val="24"/>
          <w:highlight w:val="none"/>
          <w:lang w:val="en-US" w:eastAsia="zh-CN"/>
        </w:rPr>
        <w:t>7</w:t>
      </w:r>
      <w:r>
        <w:rPr>
          <w:rFonts w:hint="eastAsia" w:cs="仿宋" w:asciiTheme="minorEastAsia" w:hAnsiTheme="minorEastAsia" w:eastAsiaTheme="minorEastAsia"/>
          <w:bCs/>
          <w:color w:val="auto"/>
          <w:sz w:val="24"/>
          <w:szCs w:val="24"/>
          <w:highlight w:val="none"/>
        </w:rPr>
        <w:t>月</w:t>
      </w:r>
      <w:r>
        <w:rPr>
          <w:rFonts w:hint="eastAsia" w:cs="仿宋" w:asciiTheme="minorEastAsia" w:hAnsiTheme="minorEastAsia" w:eastAsiaTheme="minorEastAsia"/>
          <w:color w:val="auto"/>
          <w:sz w:val="24"/>
          <w:szCs w:val="24"/>
          <w:highlight w:val="none"/>
          <w:lang w:val="en-US" w:eastAsia="zh-CN"/>
        </w:rPr>
        <w:t>8</w:t>
      </w:r>
      <w:r>
        <w:rPr>
          <w:rFonts w:hint="eastAsia" w:cs="仿宋" w:asciiTheme="minorEastAsia" w:hAnsiTheme="minorEastAsia" w:eastAsiaTheme="minorEastAsia"/>
          <w:bCs/>
          <w:color w:val="auto"/>
          <w:sz w:val="24"/>
          <w:szCs w:val="24"/>
          <w:highlight w:val="none"/>
        </w:rPr>
        <w:t>日</w:t>
      </w:r>
      <w:r>
        <w:rPr>
          <w:rFonts w:hint="eastAsia" w:cs="仿宋" w:asciiTheme="minorEastAsia" w:hAnsiTheme="minorEastAsia" w:eastAsiaTheme="minorEastAsia"/>
          <w:color w:val="auto"/>
          <w:sz w:val="24"/>
          <w:szCs w:val="24"/>
          <w:highlight w:val="none"/>
          <w:lang w:val="en-US" w:eastAsia="zh-CN"/>
        </w:rPr>
        <w:t>14</w:t>
      </w:r>
      <w:r>
        <w:rPr>
          <w:rFonts w:hint="eastAsia" w:cs="仿宋" w:asciiTheme="minorEastAsia" w:hAnsiTheme="minorEastAsia" w:eastAsiaTheme="minorEastAsia"/>
          <w:bCs/>
          <w:color w:val="auto"/>
          <w:sz w:val="24"/>
          <w:szCs w:val="24"/>
          <w:highlight w:val="none"/>
        </w:rPr>
        <w:t>点</w:t>
      </w:r>
      <w:r>
        <w:rPr>
          <w:rFonts w:hint="eastAsia" w:cs="仿宋" w:asciiTheme="minorEastAsia" w:hAnsiTheme="minorEastAsia" w:eastAsiaTheme="minorEastAsia"/>
          <w:color w:val="auto"/>
          <w:sz w:val="24"/>
          <w:szCs w:val="24"/>
          <w:highlight w:val="none"/>
          <w:lang w:val="en-US" w:eastAsia="zh-CN"/>
        </w:rPr>
        <w:t>30</w:t>
      </w:r>
      <w:r>
        <w:rPr>
          <w:rFonts w:hint="eastAsia" w:cs="仿宋" w:asciiTheme="minorEastAsia" w:hAnsiTheme="minorEastAsia" w:eastAsiaTheme="minorEastAsia"/>
          <w:bCs/>
          <w:color w:val="auto"/>
          <w:sz w:val="24"/>
          <w:szCs w:val="24"/>
          <w:highlight w:val="none"/>
        </w:rPr>
        <w:t>分（北京时间）</w:t>
      </w:r>
    </w:p>
    <w:p>
      <w:pPr>
        <w:spacing w:line="360" w:lineRule="auto"/>
        <w:ind w:firstLine="480" w:firstLineChars="200"/>
        <w:rPr>
          <w:rFonts w:cs="仿宋" w:asciiTheme="minorEastAsia" w:hAnsiTheme="minorEastAsia" w:eastAsiaTheme="minorEastAsia"/>
          <w:bCs/>
          <w:color w:val="auto"/>
          <w:sz w:val="24"/>
          <w:szCs w:val="24"/>
          <w:highlight w:val="none"/>
          <w:u w:val="single"/>
        </w:rPr>
      </w:pPr>
      <w:r>
        <w:rPr>
          <w:rFonts w:hint="eastAsia" w:cs="仿宋" w:asciiTheme="minorEastAsia" w:hAnsiTheme="minorEastAsia" w:eastAsiaTheme="minorEastAsia"/>
          <w:color w:val="auto"/>
          <w:sz w:val="24"/>
          <w:szCs w:val="24"/>
          <w:highlight w:val="none"/>
        </w:rPr>
        <w:t>地点：</w:t>
      </w:r>
      <w:r>
        <w:rPr>
          <w:rFonts w:hint="eastAsia" w:ascii="宋体" w:hAnsi="宋体" w:eastAsia="宋体" w:cs="宋体"/>
          <w:color w:val="auto"/>
          <w:kern w:val="2"/>
          <w:sz w:val="24"/>
          <w:szCs w:val="24"/>
          <w:highlight w:val="none"/>
          <w:lang w:val="en-US" w:eastAsia="zh-CN"/>
        </w:rPr>
        <w:t>江西省公共资源交易中心（南昌市高新区紫</w:t>
      </w:r>
      <w:r>
        <w:rPr>
          <w:rFonts w:hint="eastAsia" w:ascii="宋体" w:hAnsi="宋体" w:eastAsia="宋体" w:cs="宋体"/>
          <w:kern w:val="2"/>
          <w:sz w:val="24"/>
          <w:szCs w:val="24"/>
          <w:highlight w:val="none"/>
          <w:lang w:val="en-US" w:eastAsia="zh-CN"/>
        </w:rPr>
        <w:t>阳大道3088号泰豪科技广场）</w:t>
      </w: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lang w:val="en-US" w:eastAsia="zh-CN"/>
        </w:rPr>
        <w:t>号开标厅。</w:t>
      </w:r>
    </w:p>
    <w:p>
      <w:pPr>
        <w:pStyle w:val="6"/>
        <w:spacing w:before="0" w:after="0" w:line="360" w:lineRule="auto"/>
        <w:outlineLvl w:val="3"/>
        <w:rPr>
          <w:rFonts w:cs="仿宋" w:asciiTheme="minorEastAsia" w:hAnsiTheme="minorEastAsia" w:eastAsiaTheme="minorEastAsia"/>
          <w:b/>
          <w:bCs w:val="0"/>
          <w:color w:val="auto"/>
          <w:sz w:val="24"/>
          <w:szCs w:val="24"/>
          <w:highlight w:val="none"/>
        </w:rPr>
      </w:pPr>
      <w:bookmarkStart w:id="23" w:name="_Toc35393794"/>
      <w:bookmarkStart w:id="24" w:name="_Toc28359084"/>
      <w:bookmarkStart w:id="25" w:name="_Toc28359007"/>
      <w:bookmarkStart w:id="26" w:name="_Toc35393625"/>
      <w:r>
        <w:rPr>
          <w:rFonts w:hint="eastAsia" w:cs="仿宋" w:asciiTheme="minorEastAsia" w:hAnsiTheme="minorEastAsia" w:eastAsiaTheme="minorEastAsia"/>
          <w:b/>
          <w:bCs w:val="0"/>
          <w:color w:val="auto"/>
          <w:sz w:val="24"/>
          <w:szCs w:val="24"/>
          <w:highlight w:val="none"/>
        </w:rPr>
        <w:t>五、公告期限</w:t>
      </w:r>
      <w:bookmarkEnd w:id="23"/>
      <w:bookmarkEnd w:id="24"/>
      <w:bookmarkEnd w:id="25"/>
      <w:bookmarkEnd w:id="26"/>
    </w:p>
    <w:p>
      <w:pPr>
        <w:spacing w:line="360" w:lineRule="auto"/>
        <w:ind w:firstLine="480" w:firstLineChars="200"/>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自本公告发布之日起5个工作日。</w:t>
      </w:r>
    </w:p>
    <w:p>
      <w:pPr>
        <w:pStyle w:val="6"/>
        <w:numPr>
          <w:ilvl w:val="0"/>
          <w:numId w:val="2"/>
        </w:numPr>
        <w:spacing w:before="0" w:after="0" w:line="360" w:lineRule="auto"/>
        <w:outlineLvl w:val="3"/>
        <w:rPr>
          <w:rFonts w:hint="eastAsia" w:cs="仿宋" w:asciiTheme="minorEastAsia" w:hAnsiTheme="minorEastAsia" w:eastAsiaTheme="minorEastAsia"/>
          <w:b/>
          <w:bCs w:val="0"/>
          <w:color w:val="auto"/>
          <w:sz w:val="24"/>
          <w:szCs w:val="24"/>
          <w:highlight w:val="none"/>
        </w:rPr>
      </w:pPr>
      <w:bookmarkStart w:id="27" w:name="_Toc35393795"/>
      <w:bookmarkStart w:id="28" w:name="_Toc35393626"/>
      <w:r>
        <w:rPr>
          <w:rFonts w:hint="eastAsia" w:cs="仿宋" w:asciiTheme="minorEastAsia" w:hAnsiTheme="minorEastAsia" w:eastAsiaTheme="minorEastAsia"/>
          <w:b/>
          <w:bCs w:val="0"/>
          <w:color w:val="auto"/>
          <w:sz w:val="24"/>
          <w:szCs w:val="24"/>
          <w:highlight w:val="none"/>
        </w:rPr>
        <w:t>其他补充事宜</w:t>
      </w:r>
      <w:bookmarkEnd w:id="27"/>
      <w:bookmarkEnd w:id="28"/>
    </w:p>
    <w:p>
      <w:pPr>
        <w:spacing w:line="360" w:lineRule="auto"/>
        <w:ind w:firstLine="482" w:firstLineChars="200"/>
        <w:outlineLvl w:val="3"/>
        <w:rPr>
          <w:rFonts w:hint="default" w:cs="仿宋" w:asciiTheme="minorEastAsia" w:hAnsiTheme="minorEastAsia" w:eastAsiaTheme="minorEastAsia"/>
          <w:b/>
          <w:bCs/>
          <w:color w:val="auto"/>
          <w:sz w:val="24"/>
          <w:szCs w:val="24"/>
          <w:highlight w:val="none"/>
          <w:lang w:val="en-US" w:eastAsia="zh-CN"/>
        </w:rPr>
      </w:pPr>
      <w:r>
        <w:rPr>
          <w:rFonts w:hint="eastAsia" w:cs="仿宋" w:asciiTheme="minorEastAsia" w:hAnsiTheme="minorEastAsia" w:eastAsiaTheme="minorEastAsia"/>
          <w:b/>
          <w:bCs/>
          <w:color w:val="auto"/>
          <w:sz w:val="24"/>
          <w:szCs w:val="24"/>
          <w:highlight w:val="none"/>
          <w:lang w:val="en-US" w:eastAsia="zh-CN"/>
        </w:rPr>
        <w:t>1.本项目非专门面向中小企业采购。</w:t>
      </w:r>
    </w:p>
    <w:p>
      <w:pPr>
        <w:spacing w:line="360" w:lineRule="auto"/>
        <w:ind w:firstLine="480" w:firstLineChars="200"/>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val="en-US" w:eastAsia="zh-CN"/>
        </w:rPr>
        <w:t>2.</w:t>
      </w:r>
      <w:r>
        <w:rPr>
          <w:rFonts w:hint="eastAsia" w:cs="仿宋" w:asciiTheme="minorEastAsia" w:hAnsiTheme="minorEastAsia" w:eastAsiaTheme="minorEastAsia"/>
          <w:color w:val="auto"/>
          <w:sz w:val="24"/>
          <w:szCs w:val="24"/>
          <w:highlight w:val="none"/>
        </w:rPr>
        <w:t>本项目采购国内产品，不允许提供进口产品参与采购活动；</w:t>
      </w:r>
    </w:p>
    <w:p>
      <w:pPr>
        <w:pStyle w:val="6"/>
        <w:spacing w:before="0" w:after="0" w:line="360" w:lineRule="auto"/>
        <w:ind w:firstLine="520" w:firstLineChars="200"/>
        <w:outlineLvl w:val="3"/>
        <w:rPr>
          <w:rFonts w:hint="eastAsia" w:cs="仿宋" w:asciiTheme="minorEastAsia" w:hAnsiTheme="minorEastAsia" w:eastAsiaTheme="minorEastAsia"/>
          <w:b w:val="0"/>
          <w:bCs w:val="0"/>
          <w:color w:val="auto"/>
          <w:sz w:val="24"/>
          <w:szCs w:val="24"/>
          <w:highlight w:val="none"/>
          <w:lang w:val="en-US" w:eastAsia="zh-CN"/>
        </w:rPr>
      </w:pPr>
      <w:r>
        <w:rPr>
          <w:rFonts w:hint="eastAsia" w:cs="仿宋" w:asciiTheme="minorEastAsia" w:hAnsiTheme="minorEastAsia" w:eastAsiaTheme="minorEastAsia"/>
          <w:b w:val="0"/>
          <w:bCs w:val="0"/>
          <w:color w:val="auto"/>
          <w:sz w:val="24"/>
          <w:szCs w:val="24"/>
          <w:highlight w:val="none"/>
          <w:lang w:val="en-US" w:eastAsia="zh-CN"/>
        </w:rPr>
        <w:t>3.潜在投标人必须在江西省公共资源交易网（网址：http://jxsggzy.cn/web/）注册并办理江西省CA数字证书和电子签章。具体要求详见“江西省政府采购网”（网址：</w:t>
      </w:r>
      <w:r>
        <w:rPr>
          <w:rFonts w:hint="eastAsia" w:cs="仿宋" w:asciiTheme="minorEastAsia" w:hAnsiTheme="minorEastAsia" w:eastAsiaTheme="minorEastAsia"/>
          <w:b w:val="0"/>
          <w:bCs w:val="0"/>
          <w:color w:val="auto"/>
          <w:sz w:val="24"/>
          <w:szCs w:val="24"/>
          <w:highlight w:val="none"/>
          <w:lang w:val="en-US" w:eastAsia="zh-CN"/>
        </w:rPr>
        <w:fldChar w:fldCharType="begin"/>
      </w:r>
      <w:r>
        <w:rPr>
          <w:rFonts w:hint="eastAsia" w:cs="仿宋" w:asciiTheme="minorEastAsia" w:hAnsiTheme="minorEastAsia" w:eastAsiaTheme="minorEastAsia"/>
          <w:b w:val="0"/>
          <w:bCs w:val="0"/>
          <w:color w:val="auto"/>
          <w:sz w:val="24"/>
          <w:szCs w:val="24"/>
          <w:highlight w:val="none"/>
          <w:lang w:val="en-US" w:eastAsia="zh-CN"/>
        </w:rPr>
        <w:instrText xml:space="preserve"> HYPERLINK "http://www.ccgp-jiangxi.gov.cn/web/）。潜在投标人未使用CA数字证书在江西省公共资源交易系统下载招标文件的，视为未报名，不得参加本项目的投标活动。" </w:instrText>
      </w:r>
      <w:r>
        <w:rPr>
          <w:rFonts w:hint="eastAsia" w:cs="仿宋" w:asciiTheme="minorEastAsia" w:hAnsiTheme="minorEastAsia" w:eastAsiaTheme="minorEastAsia"/>
          <w:b w:val="0"/>
          <w:bCs w:val="0"/>
          <w:color w:val="auto"/>
          <w:sz w:val="24"/>
          <w:szCs w:val="24"/>
          <w:highlight w:val="none"/>
          <w:lang w:val="en-US" w:eastAsia="zh-CN"/>
        </w:rPr>
        <w:fldChar w:fldCharType="separate"/>
      </w:r>
      <w:r>
        <w:rPr>
          <w:rFonts w:hint="eastAsia" w:cs="仿宋" w:asciiTheme="minorEastAsia" w:hAnsiTheme="minorEastAsia" w:eastAsiaTheme="minorEastAsia"/>
          <w:b w:val="0"/>
          <w:bCs w:val="0"/>
          <w:color w:val="auto"/>
          <w:sz w:val="24"/>
          <w:szCs w:val="24"/>
          <w:highlight w:val="none"/>
          <w:lang w:val="en-US" w:eastAsia="zh-CN"/>
        </w:rPr>
        <w:t>http://www.ccgp-jiangxi.gov.cn/web/）。潜在投标人未使用CA数字证书在江西省公共资源交易系统下载招标文件的，视为未确认，不得参加本项目的投标活动。</w:t>
      </w:r>
      <w:r>
        <w:rPr>
          <w:rFonts w:hint="eastAsia" w:cs="仿宋" w:asciiTheme="minorEastAsia" w:hAnsiTheme="minorEastAsia" w:eastAsiaTheme="minorEastAsia"/>
          <w:b w:val="0"/>
          <w:bCs w:val="0"/>
          <w:color w:val="auto"/>
          <w:sz w:val="24"/>
          <w:szCs w:val="24"/>
          <w:highlight w:val="none"/>
          <w:lang w:val="en-US" w:eastAsia="zh-CN"/>
        </w:rPr>
        <w:fldChar w:fldCharType="end"/>
      </w:r>
    </w:p>
    <w:p>
      <w:pPr>
        <w:spacing w:line="360" w:lineRule="auto"/>
        <w:ind w:firstLine="482" w:firstLineChars="200"/>
        <w:jc w:val="left"/>
        <w:outlineLvl w:val="3"/>
        <w:rPr>
          <w:rFonts w:hint="eastAsia" w:ascii="宋体" w:hAnsi="宋体" w:eastAsia="宋体" w:cs="仿宋"/>
          <w:b/>
          <w:bCs/>
          <w:sz w:val="24"/>
          <w:szCs w:val="24"/>
          <w:highlight w:val="none"/>
          <w:lang w:val="en-US" w:eastAsia="zh-CN"/>
        </w:rPr>
      </w:pPr>
      <w:bookmarkStart w:id="29" w:name="_Toc28359008"/>
      <w:bookmarkStart w:id="30" w:name="_Toc35393627"/>
      <w:bookmarkStart w:id="31" w:name="_Toc28359085"/>
      <w:bookmarkStart w:id="32" w:name="_Toc35393796"/>
      <w:r>
        <w:rPr>
          <w:rFonts w:hint="eastAsia" w:ascii="宋体" w:hAnsi="宋体" w:cs="仿宋"/>
          <w:b/>
          <w:bCs/>
          <w:sz w:val="24"/>
          <w:szCs w:val="24"/>
          <w:highlight w:val="none"/>
          <w:lang w:val="en-US" w:eastAsia="zh-CN"/>
        </w:rPr>
        <w:t>4</w:t>
      </w:r>
      <w:r>
        <w:rPr>
          <w:rFonts w:hint="eastAsia" w:ascii="宋体" w:hAnsi="宋体" w:eastAsia="宋体" w:cs="仿宋"/>
          <w:b/>
          <w:bCs/>
          <w:sz w:val="24"/>
          <w:szCs w:val="24"/>
          <w:highlight w:val="none"/>
          <w:lang w:val="en-US" w:eastAsia="zh-CN"/>
        </w:rPr>
        <w:t>.本项目采用“不见面开标”系统开标，投标人无需到</w:t>
      </w:r>
      <w:r>
        <w:rPr>
          <w:rFonts w:hint="eastAsia" w:ascii="宋体" w:hAnsi="宋体" w:cs="仿宋"/>
          <w:b/>
          <w:bCs/>
          <w:sz w:val="24"/>
          <w:szCs w:val="24"/>
          <w:highlight w:val="none"/>
          <w:lang w:val="en-US" w:eastAsia="zh-CN"/>
        </w:rPr>
        <w:t>达</w:t>
      </w:r>
      <w:r>
        <w:rPr>
          <w:rFonts w:hint="eastAsia" w:ascii="宋体" w:hAnsi="宋体" w:eastAsia="宋体" w:cs="仿宋"/>
          <w:b/>
          <w:bCs/>
          <w:sz w:val="24"/>
          <w:szCs w:val="24"/>
          <w:highlight w:val="none"/>
          <w:lang w:val="en-US" w:eastAsia="zh-CN"/>
        </w:rPr>
        <w:t>开标现场，投标人应在开标截止时间前</w:t>
      </w:r>
      <w:r>
        <w:rPr>
          <w:rFonts w:hint="eastAsia" w:ascii="宋体" w:hAnsi="宋体" w:cs="仿宋"/>
          <w:b/>
          <w:bCs/>
          <w:sz w:val="24"/>
          <w:szCs w:val="24"/>
          <w:highlight w:val="none"/>
          <w:lang w:val="en-US" w:eastAsia="zh-CN"/>
        </w:rPr>
        <w:t>1</w:t>
      </w:r>
      <w:r>
        <w:rPr>
          <w:rFonts w:hint="eastAsia" w:ascii="宋体" w:hAnsi="宋体" w:eastAsia="宋体" w:cs="仿宋"/>
          <w:b/>
          <w:bCs/>
          <w:sz w:val="24"/>
          <w:szCs w:val="24"/>
          <w:highlight w:val="none"/>
          <w:lang w:val="en-US" w:eastAsia="zh-CN"/>
        </w:rPr>
        <w:t>小时进入江西省公共资源交易网-不见面开标大厅进行线上签到（具体详见投标人操作手册）</w:t>
      </w:r>
      <w:r>
        <w:rPr>
          <w:rFonts w:hint="eastAsia" w:ascii="宋体" w:hAnsi="宋体" w:cs="仿宋"/>
          <w:b/>
          <w:bCs/>
          <w:sz w:val="24"/>
          <w:szCs w:val="24"/>
          <w:highlight w:val="none"/>
          <w:lang w:val="en-US" w:eastAsia="zh-CN"/>
        </w:rPr>
        <w:t>，</w:t>
      </w:r>
      <w:r>
        <w:rPr>
          <w:rFonts w:hint="eastAsia" w:ascii="宋体" w:hAnsi="宋体" w:eastAsia="宋体" w:cs="仿宋"/>
          <w:b/>
          <w:bCs/>
          <w:sz w:val="24"/>
          <w:szCs w:val="24"/>
          <w:highlight w:val="none"/>
          <w:lang w:val="en-US" w:eastAsia="zh-CN"/>
        </w:rPr>
        <w:t>否则无法进入后续的开标环节。具体注意事项详见招标文件第二章。</w:t>
      </w:r>
    </w:p>
    <w:p>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3"/>
        <w:rPr>
          <w:rFonts w:hint="eastAsia" w:cs="仿宋" w:asciiTheme="minorEastAsia" w:hAnsiTheme="minorEastAsia" w:eastAsiaTheme="minorEastAsia"/>
          <w:b w:val="0"/>
          <w:color w:val="auto"/>
          <w:sz w:val="24"/>
          <w:szCs w:val="24"/>
          <w:highlight w:val="none"/>
        </w:rPr>
      </w:pPr>
      <w:r>
        <w:rPr>
          <w:rFonts w:hint="eastAsia" w:ascii="宋体" w:hAnsi="宋体" w:cs="仿宋"/>
          <w:b/>
          <w:bCs/>
          <w:sz w:val="24"/>
          <w:szCs w:val="24"/>
          <w:highlight w:val="none"/>
          <w:lang w:val="en-US" w:eastAsia="zh-CN"/>
        </w:rPr>
        <w:t>5</w:t>
      </w:r>
      <w:r>
        <w:rPr>
          <w:rFonts w:hint="eastAsia" w:ascii="宋体" w:hAnsi="宋体" w:eastAsia="宋体" w:cs="仿宋"/>
          <w:b/>
          <w:bCs/>
          <w:sz w:val="24"/>
          <w:szCs w:val="24"/>
          <w:highlight w:val="none"/>
          <w:lang w:val="en-US" w:eastAsia="zh-CN"/>
        </w:rPr>
        <w:t>.投标人应仔细阅读江西省公共资源交易网（ https://www.jxsggzy.cn/web/）有关不见面开标的内容，如有疑问请联系新点工作人员，联系电话：400-998-0000。</w:t>
      </w:r>
    </w:p>
    <w:p>
      <w:pPr>
        <w:pStyle w:val="6"/>
        <w:pageBreakBefore w:val="0"/>
        <w:widowControl w:val="0"/>
        <w:kinsoku/>
        <w:wordWrap/>
        <w:overflowPunct/>
        <w:topLinePunct w:val="0"/>
        <w:autoSpaceDE/>
        <w:autoSpaceDN/>
        <w:bidi w:val="0"/>
        <w:adjustRightInd/>
        <w:snapToGrid/>
        <w:spacing w:before="0" w:after="0" w:line="500" w:lineRule="exact"/>
        <w:textAlignment w:val="auto"/>
        <w:outlineLvl w:val="3"/>
        <w:rPr>
          <w:rFonts w:cs="仿宋" w:asciiTheme="minorEastAsia" w:hAnsiTheme="minorEastAsia" w:eastAsiaTheme="minorEastAsia"/>
          <w:b/>
          <w:bCs w:val="0"/>
          <w:color w:val="auto"/>
          <w:sz w:val="24"/>
          <w:szCs w:val="24"/>
          <w:highlight w:val="none"/>
        </w:rPr>
      </w:pPr>
      <w:r>
        <w:rPr>
          <w:rFonts w:hint="eastAsia" w:cs="仿宋" w:asciiTheme="minorEastAsia" w:hAnsiTheme="minorEastAsia" w:eastAsiaTheme="minorEastAsia"/>
          <w:b/>
          <w:bCs w:val="0"/>
          <w:color w:val="auto"/>
          <w:sz w:val="24"/>
          <w:szCs w:val="24"/>
          <w:highlight w:val="none"/>
        </w:rPr>
        <w:t>七、对本次招标提出询问，请按以下方式联系。</w:t>
      </w:r>
      <w:bookmarkEnd w:id="29"/>
      <w:bookmarkEnd w:id="30"/>
      <w:bookmarkEnd w:id="31"/>
      <w:bookmarkEnd w:id="32"/>
    </w:p>
    <w:p>
      <w:pPr>
        <w:pageBreakBefore w:val="0"/>
        <w:widowControl/>
        <w:kinsoku/>
        <w:wordWrap/>
        <w:overflowPunct/>
        <w:topLinePunct w:val="0"/>
        <w:autoSpaceDE/>
        <w:autoSpaceDN/>
        <w:bidi w:val="0"/>
        <w:adjustRightInd/>
        <w:snapToGrid/>
        <w:spacing w:line="500" w:lineRule="exact"/>
        <w:jc w:val="left"/>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1</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采购人信息</w:t>
      </w:r>
    </w:p>
    <w:p>
      <w:pPr>
        <w:spacing w:line="360" w:lineRule="auto"/>
        <w:ind w:left="1079" w:leftChars="371" w:hanging="300" w:hangingChars="125"/>
        <w:jc w:val="lef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名 称：</w:t>
      </w:r>
      <w:r>
        <w:rPr>
          <w:rFonts w:hint="eastAsia" w:ascii="宋体" w:hAnsi="宋体" w:cs="宋体"/>
          <w:bCs/>
          <w:sz w:val="24"/>
          <w:szCs w:val="24"/>
        </w:rPr>
        <w:t>江西旅游商贸职业学院</w:t>
      </w:r>
      <w:r>
        <w:rPr>
          <w:rFonts w:hint="eastAsia" w:cs="仿宋" w:asciiTheme="minorEastAsia" w:hAnsiTheme="minorEastAsia" w:eastAsiaTheme="minorEastAsia"/>
          <w:color w:val="auto"/>
          <w:sz w:val="24"/>
          <w:szCs w:val="24"/>
          <w:highlight w:val="none"/>
        </w:rPr>
        <w:t>　　　　　　　　　　　　</w:t>
      </w:r>
    </w:p>
    <w:p>
      <w:pPr>
        <w:spacing w:line="360" w:lineRule="auto"/>
        <w:ind w:left="1079" w:leftChars="371" w:hanging="300" w:hangingChars="125"/>
        <w:jc w:val="lef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ascii="宋体" w:hAnsi="宋体" w:cs="宋体"/>
          <w:bCs/>
          <w:sz w:val="24"/>
          <w:szCs w:val="24"/>
        </w:rPr>
        <w:t>南昌市经济开发区丁香路1号</w:t>
      </w:r>
    </w:p>
    <w:p>
      <w:pPr>
        <w:spacing w:line="360" w:lineRule="auto"/>
        <w:ind w:left="1079" w:leftChars="371" w:hanging="300" w:hangingChars="125"/>
        <w:jc w:val="lef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联系方式：</w:t>
      </w:r>
      <w:bookmarkStart w:id="33" w:name="_Toc28359086"/>
      <w:bookmarkStart w:id="34" w:name="_Toc28359009"/>
      <w:r>
        <w:rPr>
          <w:rFonts w:hint="eastAsia" w:ascii="宋体" w:hAnsi="宋体" w:cs="宋体"/>
          <w:sz w:val="24"/>
          <w:szCs w:val="24"/>
        </w:rPr>
        <w:t>龚老师 0791-83771972</w:t>
      </w:r>
    </w:p>
    <w:p>
      <w:pPr>
        <w:spacing w:line="360" w:lineRule="auto"/>
        <w:ind w:left="1079" w:leftChars="371" w:hanging="300" w:hangingChars="125"/>
        <w:jc w:val="lef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采购代理机构信息</w:t>
      </w:r>
      <w:bookmarkEnd w:id="33"/>
      <w:bookmarkEnd w:id="34"/>
    </w:p>
    <w:p>
      <w:pPr>
        <w:spacing w:line="360" w:lineRule="auto"/>
        <w:ind w:left="1079" w:leftChars="371" w:hanging="300" w:hangingChars="125"/>
        <w:jc w:val="lef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名 称： 江西省机电设备招标有限公司　　　　　　　　　　</w:t>
      </w:r>
    </w:p>
    <w:p>
      <w:pPr>
        <w:spacing w:line="360" w:lineRule="auto"/>
        <w:ind w:left="1079" w:leftChars="371" w:hanging="300" w:hangingChars="125"/>
        <w:jc w:val="lef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w:t>
      </w:r>
      <w:r>
        <w:rPr>
          <w:rFonts w:hint="eastAsia" w:cs="仿宋" w:asciiTheme="minorEastAsia" w:hAnsiTheme="minorEastAsia" w:eastAsiaTheme="minorEastAsia"/>
          <w:color w:val="auto"/>
          <w:sz w:val="24"/>
          <w:szCs w:val="24"/>
          <w:highlight w:val="none"/>
          <w:lang w:val="en-US" w:eastAsia="zh-CN"/>
        </w:rPr>
        <w:t xml:space="preserve"> </w:t>
      </w:r>
      <w:r>
        <w:rPr>
          <w:rFonts w:hint="eastAsia" w:cs="仿宋" w:asciiTheme="minorEastAsia" w:hAnsiTheme="minorEastAsia" w:eastAsiaTheme="minorEastAsia"/>
          <w:color w:val="auto"/>
          <w:sz w:val="24"/>
          <w:szCs w:val="24"/>
          <w:highlight w:val="none"/>
        </w:rPr>
        <w:t>址： 江西省南昌市东湖区省政府大院北二路92号（咨询大厦）</w:t>
      </w:r>
    </w:p>
    <w:p>
      <w:pPr>
        <w:spacing w:line="360" w:lineRule="auto"/>
        <w:ind w:firstLine="720" w:firstLineChars="300"/>
        <w:rPr>
          <w:rFonts w:cs="仿宋" w:asciiTheme="minorEastAsia" w:hAnsiTheme="minorEastAsia" w:eastAsiaTheme="minorEastAsia"/>
          <w:color w:val="auto"/>
          <w:sz w:val="24"/>
          <w:szCs w:val="24"/>
          <w:highlight w:val="none"/>
        </w:rPr>
      </w:pPr>
      <w:bookmarkStart w:id="35" w:name="_Toc28359087"/>
      <w:bookmarkStart w:id="36" w:name="_Toc28359010"/>
      <w:r>
        <w:rPr>
          <w:rFonts w:hint="eastAsia" w:cs="仿宋" w:asciiTheme="minorEastAsia" w:hAnsiTheme="minorEastAsia" w:eastAsiaTheme="minorEastAsia"/>
          <w:color w:val="auto"/>
          <w:sz w:val="24"/>
          <w:szCs w:val="24"/>
          <w:highlight w:val="none"/>
        </w:rPr>
        <w:t>电子函件：</w:t>
      </w:r>
      <w:r>
        <w:rPr>
          <w:rFonts w:hint="eastAsia" w:ascii="宋体" w:hAnsi="宋体" w:cs="宋体"/>
          <w:sz w:val="24"/>
          <w:szCs w:val="24"/>
          <w:highlight w:val="none"/>
        </w:rPr>
        <w:t>jzzc@jxzxtz.com</w:t>
      </w:r>
    </w:p>
    <w:p>
      <w:pPr>
        <w:spacing w:line="360" w:lineRule="auto"/>
        <w:ind w:firstLine="720" w:firstLineChars="300"/>
        <w:rPr>
          <w:rFonts w:cs="仿宋" w:asciiTheme="minorEastAsia" w:hAnsiTheme="minorEastAsia" w:eastAsiaTheme="minorEastAsia"/>
          <w:color w:val="auto"/>
          <w:sz w:val="24"/>
          <w:szCs w:val="24"/>
          <w:highlight w:val="none"/>
          <w:u w:val="single"/>
        </w:rPr>
      </w:pPr>
      <w:r>
        <w:rPr>
          <w:rFonts w:hint="eastAsia" w:cs="仿宋" w:asciiTheme="minorEastAsia" w:hAnsiTheme="minorEastAsia" w:eastAsiaTheme="minorEastAsia"/>
          <w:color w:val="auto"/>
          <w:sz w:val="24"/>
          <w:szCs w:val="24"/>
          <w:highlight w:val="none"/>
        </w:rPr>
        <w:t>3</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项目联系方式</w:t>
      </w:r>
      <w:bookmarkEnd w:id="35"/>
      <w:bookmarkEnd w:id="36"/>
    </w:p>
    <w:p>
      <w:pPr>
        <w:pStyle w:val="19"/>
        <w:spacing w:line="360" w:lineRule="auto"/>
        <w:ind w:firstLine="720" w:firstLineChars="300"/>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rPr>
        <w:t>项目联系人：</w:t>
      </w:r>
      <w:r>
        <w:rPr>
          <w:rFonts w:hint="eastAsia" w:cs="仿宋" w:asciiTheme="minorEastAsia" w:hAnsiTheme="minorEastAsia" w:eastAsiaTheme="minorEastAsia"/>
          <w:color w:val="auto"/>
          <w:sz w:val="24"/>
          <w:szCs w:val="24"/>
          <w:highlight w:val="none"/>
          <w:lang w:val="en-US" w:eastAsia="zh-CN"/>
        </w:rPr>
        <w:t>任沛菘</w:t>
      </w:r>
    </w:p>
    <w:p>
      <w:pPr>
        <w:spacing w:line="360" w:lineRule="auto"/>
        <w:ind w:firstLine="720" w:firstLineChars="300"/>
        <w:rPr>
          <w:rFonts w:cs="仿宋" w:asciiTheme="minorEastAsia" w:hAnsiTheme="minorEastAsia" w:eastAsiaTheme="minorEastAsia"/>
          <w:color w:val="auto"/>
          <w:sz w:val="24"/>
          <w:szCs w:val="24"/>
          <w:highlight w:val="none"/>
          <w:u w:val="single"/>
        </w:rPr>
      </w:pPr>
      <w:r>
        <w:rPr>
          <w:rFonts w:hint="eastAsia" w:cs="仿宋" w:asciiTheme="minorEastAsia" w:hAnsiTheme="minorEastAsia" w:eastAsiaTheme="minorEastAsia"/>
          <w:color w:val="auto"/>
          <w:sz w:val="24"/>
          <w:szCs w:val="24"/>
          <w:highlight w:val="none"/>
        </w:rPr>
        <w:t>电</w:t>
      </w:r>
      <w:r>
        <w:rPr>
          <w:rFonts w:hint="eastAsia" w:cs="仿宋" w:asciiTheme="minorEastAsia" w:hAnsiTheme="minorEastAsia" w:eastAsiaTheme="minorEastAsia"/>
          <w:color w:val="auto"/>
          <w:sz w:val="24"/>
          <w:szCs w:val="24"/>
          <w:highlight w:val="none"/>
          <w:lang w:val="en-US" w:eastAsia="zh-CN"/>
        </w:rPr>
        <w:t xml:space="preserve"> </w:t>
      </w:r>
      <w:r>
        <w:rPr>
          <w:rFonts w:hint="eastAsia" w:cs="仿宋" w:asciiTheme="minorEastAsia" w:hAnsiTheme="minorEastAsia" w:eastAsiaTheme="minorEastAsia"/>
          <w:color w:val="auto"/>
          <w:sz w:val="24"/>
          <w:szCs w:val="24"/>
          <w:highlight w:val="none"/>
        </w:rPr>
        <w:t>话：0791-</w:t>
      </w:r>
      <w:r>
        <w:rPr>
          <w:rFonts w:hint="eastAsia" w:ascii="宋体" w:hAnsi="宋体" w:eastAsia="宋体" w:cs="宋体"/>
          <w:color w:val="auto"/>
          <w:sz w:val="24"/>
          <w:szCs w:val="24"/>
          <w:highlight w:val="none"/>
          <w:lang w:val="en-US" w:eastAsia="zh-CN"/>
        </w:rPr>
        <w:t>86212719</w:t>
      </w:r>
    </w:p>
    <w:p>
      <w:pPr>
        <w:widowControl/>
        <w:spacing w:line="360" w:lineRule="auto"/>
        <w:jc w:val="left"/>
        <w:rPr>
          <w:rFonts w:cs="仿宋" w:asciiTheme="minorEastAsia" w:hAnsiTheme="minorEastAsia" w:eastAsiaTheme="minorEastAsia"/>
          <w:color w:val="auto"/>
          <w:sz w:val="24"/>
          <w:szCs w:val="24"/>
          <w:highlight w:val="none"/>
        </w:rPr>
      </w:pPr>
    </w:p>
    <w:p>
      <w:pPr>
        <w:pStyle w:val="3"/>
        <w:spacing w:line="360" w:lineRule="auto"/>
        <w:jc w:val="center"/>
        <w:rPr>
          <w:rFonts w:cs="仿宋" w:asciiTheme="minorEastAsia" w:hAnsiTheme="minorEastAsia" w:eastAsiaTheme="minorEastAsia"/>
          <w:b/>
          <w:bCs/>
          <w:color w:val="auto"/>
          <w:sz w:val="24"/>
          <w:szCs w:val="24"/>
          <w:highlight w:val="none"/>
        </w:rPr>
      </w:pPr>
      <w:bookmarkStart w:id="37" w:name="_Toc8244"/>
      <w:r>
        <w:rPr>
          <w:rFonts w:hint="eastAsia" w:cs="仿宋" w:asciiTheme="minorEastAsia" w:hAnsiTheme="minorEastAsia" w:eastAsiaTheme="minorEastAsia"/>
          <w:b/>
          <w:bCs/>
          <w:color w:val="auto"/>
          <w:sz w:val="32"/>
          <w:szCs w:val="32"/>
          <w:highlight w:val="none"/>
        </w:rPr>
        <w:t>第二章　投标人须知</w:t>
      </w:r>
      <w:bookmarkEnd w:id="37"/>
    </w:p>
    <w:p>
      <w:pPr>
        <w:pStyle w:val="4"/>
        <w:spacing w:before="0" w:after="0" w:line="360" w:lineRule="auto"/>
        <w:jc w:val="left"/>
        <w:rPr>
          <w:rFonts w:cs="仿宋" w:asciiTheme="minorEastAsia" w:hAnsiTheme="minorEastAsia" w:eastAsiaTheme="minorEastAsia"/>
          <w:color w:val="auto"/>
          <w:sz w:val="28"/>
          <w:szCs w:val="28"/>
          <w:highlight w:val="none"/>
        </w:rPr>
      </w:pPr>
      <w:bookmarkStart w:id="38" w:name="_Toc8213"/>
      <w:r>
        <w:rPr>
          <w:rFonts w:hint="eastAsia" w:cs="仿宋" w:asciiTheme="minorEastAsia" w:hAnsiTheme="minorEastAsia" w:eastAsiaTheme="minorEastAsia"/>
          <w:color w:val="auto"/>
          <w:sz w:val="28"/>
          <w:szCs w:val="28"/>
          <w:highlight w:val="none"/>
        </w:rPr>
        <w:t>一、投标人须知前附表</w:t>
      </w:r>
      <w:bookmarkEnd w:id="38"/>
    </w:p>
    <w:tbl>
      <w:tblPr>
        <w:tblStyle w:val="40"/>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72"/>
        <w:gridCol w:w="3644"/>
        <w:gridCol w:w="3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6" w:type="dxa"/>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472" w:type="dxa"/>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7254" w:type="dxa"/>
            <w:gridSpan w:val="2"/>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7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254" w:type="dxa"/>
            <w:gridSpan w:val="2"/>
            <w:vAlign w:val="center"/>
          </w:tcPr>
          <w:p>
            <w:pPr>
              <w:spacing w:line="360" w:lineRule="auto"/>
              <w:ind w:left="180" w:hanging="1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项目名称及招标编号：详见“第一章 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4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7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7254" w:type="dxa"/>
            <w:gridSpan w:val="2"/>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采购人名称：详见“第一章 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4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7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7254" w:type="dxa"/>
            <w:gridSpan w:val="2"/>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采购代理机构：详见“第一章 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4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7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w:t>
            </w:r>
          </w:p>
        </w:tc>
        <w:tc>
          <w:tcPr>
            <w:tcW w:w="7254" w:type="dxa"/>
            <w:gridSpan w:val="2"/>
          </w:tcPr>
          <w:p>
            <w:pPr>
              <w:spacing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本项目是否接受联</w:t>
            </w:r>
            <w:r>
              <w:rPr>
                <w:rFonts w:hint="eastAsia" w:asciiTheme="minorEastAsia" w:hAnsiTheme="minorEastAsia" w:eastAsiaTheme="minorEastAsia" w:cstheme="minorEastAsia"/>
                <w:color w:val="auto"/>
                <w:sz w:val="24"/>
                <w:szCs w:val="24"/>
                <w:highlight w:val="none"/>
              </w:rPr>
              <w:t>合体投标：详见“第一章 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46" w:type="dxa"/>
            <w:vAlign w:val="center"/>
          </w:tcPr>
          <w:p>
            <w:pPr>
              <w:spacing w:line="360" w:lineRule="auto"/>
              <w:jc w:val="center"/>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72" w:type="dxa"/>
            <w:vAlign w:val="center"/>
          </w:tcPr>
          <w:p>
            <w:pPr>
              <w:spacing w:line="360" w:lineRule="auto"/>
              <w:jc w:val="center"/>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254" w:type="dxa"/>
            <w:gridSpan w:val="2"/>
          </w:tcPr>
          <w:p>
            <w:pPr>
              <w:spacing w:beforeLines="50" w:line="360" w:lineRule="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投标人应当提交的资格、资信证明文件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47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254" w:type="dxa"/>
            <w:gridSpan w:val="2"/>
            <w:vAlign w:val="top"/>
          </w:tcPr>
          <w:p>
            <w:pPr>
              <w:spacing w:line="420" w:lineRule="exact"/>
              <w:rPr>
                <w:rFonts w:hint="eastAsia" w:ascii="宋体" w:eastAsia="宋体" w:cs="宋体"/>
                <w:color w:val="auto"/>
                <w:sz w:val="24"/>
                <w:highlight w:val="none"/>
                <w:lang w:eastAsia="zh-CN"/>
              </w:rPr>
            </w:pPr>
            <w:r>
              <w:rPr>
                <w:rFonts w:hint="eastAsia" w:ascii="宋体" w:eastAsia="宋体" w:cs="宋体"/>
                <w:color w:val="auto"/>
                <w:sz w:val="24"/>
                <w:highlight w:val="none"/>
              </w:rPr>
              <w:t>为落实政府采购政策，参加</w:t>
            </w:r>
            <w:r>
              <w:rPr>
                <w:rFonts w:hint="eastAsia" w:ascii="宋体" w:cs="宋体"/>
                <w:color w:val="auto"/>
                <w:sz w:val="24"/>
                <w:highlight w:val="none"/>
                <w:lang w:eastAsia="zh-CN"/>
              </w:rPr>
              <w:t>投标</w:t>
            </w:r>
            <w:r>
              <w:rPr>
                <w:rFonts w:hint="eastAsia" w:ascii="宋体" w:eastAsia="宋体" w:cs="宋体"/>
                <w:color w:val="auto"/>
                <w:sz w:val="24"/>
                <w:highlight w:val="none"/>
              </w:rPr>
              <w:t>的供应商需满足的要求及供应商须提供的证明材料</w:t>
            </w:r>
            <w:r>
              <w:rPr>
                <w:rFonts w:hint="eastAsia" w:ascii="宋体" w:cs="宋体"/>
                <w:color w:val="auto"/>
                <w:sz w:val="24"/>
                <w:highlight w:val="none"/>
                <w:lang w:eastAsia="zh-CN"/>
              </w:rPr>
              <w:t>。</w:t>
            </w:r>
          </w:p>
          <w:p>
            <w:pPr>
              <w:spacing w:line="420" w:lineRule="exact"/>
              <w:rPr>
                <w:rFonts w:hint="default" w:ascii="宋体" w:hAnsi="宋体" w:eastAsia="宋体" w:cs="宋体"/>
                <w:b/>
                <w:color w:val="auto"/>
                <w:sz w:val="24"/>
                <w:szCs w:val="24"/>
                <w:highlight w:val="none"/>
                <w:lang w:val="en-US"/>
              </w:rPr>
            </w:pPr>
            <w:r>
              <w:rPr>
                <w:rFonts w:hint="eastAsia" w:ascii="宋体" w:eastAsia="宋体" w:cs="宋体"/>
                <w:color w:val="auto"/>
                <w:sz w:val="24"/>
                <w:highlight w:val="none"/>
                <w:lang w:val="en-US" w:eastAsia="zh-CN"/>
              </w:rPr>
              <w:t>本项目采购标的所属中小企业行业为：</w:t>
            </w:r>
            <w:r>
              <w:rPr>
                <w:rFonts w:hint="eastAsia" w:ascii="宋体" w:cs="宋体"/>
                <w:color w:val="auto"/>
                <w:sz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47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7254" w:type="dxa"/>
            <w:gridSpan w:val="2"/>
          </w:tcPr>
          <w:p>
            <w:pPr>
              <w:spacing w:beforeLines="50"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采用综合评分法的项目，提供相同品牌产品且通过资格审查、符合性审查的不同投标人参加同一合同项下投标的，评审得分相同的按第</w:t>
            </w: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3</w:t>
            </w: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种办法确定一个投标人获得中标人推荐资格：</w:t>
            </w:r>
          </w:p>
          <w:p>
            <w:pPr>
              <w:spacing w:beforeLines="50"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（1）直接确定为投标报价最低者；</w:t>
            </w:r>
          </w:p>
          <w:p>
            <w:pPr>
              <w:spacing w:beforeLines="50"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（2）由采购人确定；</w:t>
            </w:r>
          </w:p>
          <w:p>
            <w:pPr>
              <w:spacing w:beforeLines="50"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（3）由评标委员会采用随机抽取的方式确定。</w:t>
            </w:r>
          </w:p>
          <w:p>
            <w:pPr>
              <w:spacing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非单一产品采购项目，核心产品为</w:t>
            </w:r>
            <w:r>
              <w:rPr>
                <w:rFonts w:hint="eastAsia" w:ascii="宋体" w:hAnsi="宋体" w:cs="宋体"/>
                <w:color w:val="auto"/>
                <w:sz w:val="24"/>
                <w:szCs w:val="24"/>
                <w:highlight w:val="none"/>
                <w:lang w:eastAsia="zh-CN"/>
              </w:rPr>
              <w:t>：台式计算机1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84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47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7254" w:type="dxa"/>
            <w:gridSpan w:val="2"/>
          </w:tcPr>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投标保证金金额：人民币</w:t>
            </w:r>
            <w:r>
              <w:rPr>
                <w:rFonts w:hint="eastAsia" w:ascii="宋体" w:hAnsi="宋体" w:cs="宋体"/>
                <w:color w:val="auto"/>
                <w:sz w:val="24"/>
                <w:szCs w:val="24"/>
                <w:highlight w:val="none"/>
                <w:lang w:val="en-US" w:eastAsia="zh-CN"/>
              </w:rPr>
              <w:t>60000</w:t>
            </w:r>
            <w:r>
              <w:rPr>
                <w:rFonts w:hint="eastAsia" w:ascii="宋体" w:hAnsi="宋体" w:eastAsia="宋体" w:cs="宋体"/>
                <w:color w:val="auto"/>
                <w:sz w:val="24"/>
                <w:szCs w:val="24"/>
                <w:highlight w:val="none"/>
              </w:rPr>
              <w:t>元</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项目保证金应当采用支票、汇票、本票、网上银行支付或者金融机构、担保机构出具的保函、保险公司出具的保证保险等非现金形式交纳（详见格式7-8投标保证金凭证）。提交投标保证金的截止时间与响应文件递交截止时间一致。</w:t>
            </w: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rPr>
              <w:t>投标保证金银行账户信息：</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户    名：江西省机电设备招标有限公司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行：江西银行南昌红谷滩支行</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账    号：79190720190600156379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4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47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7254" w:type="dxa"/>
            <w:gridSpan w:val="2"/>
          </w:tcPr>
          <w:p>
            <w:pPr>
              <w:spacing w:line="360" w:lineRule="auto"/>
              <w:ind w:left="567" w:hanging="567"/>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投标有效期：从提交投标文件的截止之日起</w:t>
            </w:r>
            <w:r>
              <w:rPr>
                <w:rFonts w:hint="eastAsia" w:ascii="宋体" w:hAnsi="宋体" w:eastAsia="宋体" w:cs="宋体"/>
                <w:b/>
                <w:color w:val="auto"/>
                <w:sz w:val="24"/>
                <w:szCs w:val="24"/>
                <w:highlight w:val="none"/>
                <w:u w:val="single"/>
              </w:rPr>
              <w:t>90</w:t>
            </w:r>
            <w:r>
              <w:rPr>
                <w:rFonts w:hint="eastAsia" w:ascii="宋体" w:hAnsi="宋体" w:eastAsia="宋体" w:cs="宋体"/>
                <w:color w:val="auto"/>
                <w:sz w:val="24"/>
                <w:szCs w:val="24"/>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4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47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7254" w:type="dxa"/>
            <w:gridSpan w:val="2"/>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投标截止时间：详见“第一章 投标邀请”</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加盖电子签章的电子版投标文件必须在投标截止时间前上传到江西省公共资源交易网</w:t>
            </w:r>
            <w:r>
              <w:rPr>
                <w:rFonts w:hint="eastAsia" w:ascii="宋体" w:hAnsi="宋体" w:cs="宋体"/>
                <w:color w:val="auto"/>
                <w:sz w:val="24"/>
                <w:szCs w:val="24"/>
                <w:highlight w:val="none"/>
                <w:lang w:eastAsia="zh-CN"/>
              </w:rPr>
              <w:t>；</w:t>
            </w:r>
            <w:r>
              <w:rPr>
                <w:rFonts w:hint="eastAsia" w:ascii="宋体" w:hAnsi="宋体" w:eastAsia="宋体" w:cs="仿宋"/>
                <w:sz w:val="24"/>
                <w:szCs w:val="24"/>
                <w:highlight w:val="none"/>
                <w:lang w:val="en-US" w:eastAsia="zh-CN"/>
              </w:rPr>
              <w:t>投标截止时间前投标人未进行网上在线签到的或CA数字证书未在规定时间内</w:t>
            </w:r>
            <w:r>
              <w:rPr>
                <w:rFonts w:hint="eastAsia" w:ascii="宋体" w:hAnsi="宋体" w:cs="仿宋"/>
                <w:sz w:val="24"/>
                <w:szCs w:val="24"/>
                <w:highlight w:val="none"/>
                <w:lang w:val="en-US" w:eastAsia="zh-CN"/>
              </w:rPr>
              <w:t>完成</w:t>
            </w:r>
            <w:r>
              <w:rPr>
                <w:rFonts w:hint="eastAsia" w:ascii="宋体" w:hAnsi="宋体" w:eastAsia="宋体" w:cs="仿宋"/>
                <w:sz w:val="24"/>
                <w:szCs w:val="24"/>
                <w:highlight w:val="none"/>
                <w:lang w:val="en-US" w:eastAsia="zh-CN"/>
              </w:rPr>
              <w:t>解密投标文件的，</w:t>
            </w:r>
            <w:r>
              <w:rPr>
                <w:rFonts w:hint="eastAsia" w:ascii="宋体" w:hAnsi="宋体" w:cs="仿宋"/>
                <w:sz w:val="24"/>
                <w:szCs w:val="24"/>
                <w:highlight w:val="none"/>
                <w:lang w:val="en-US" w:eastAsia="zh-CN"/>
              </w:rPr>
              <w:t>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4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47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7254" w:type="dxa"/>
            <w:gridSpan w:val="2"/>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本项目是否允许分包： </w:t>
            </w:r>
            <w:r>
              <w:rPr>
                <w:rFonts w:hint="eastAsia" w:ascii="宋体" w:hAnsi="宋体" w:cs="宋体"/>
                <w:color w:val="auto"/>
                <w:sz w:val="24"/>
                <w:szCs w:val="24"/>
                <w:highlight w:val="none"/>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4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47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7254" w:type="dxa"/>
            <w:gridSpan w:val="2"/>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开标时间：详见“第一章 投标邀请”</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开标地点：详见“第一章 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4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47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p>
        </w:tc>
        <w:tc>
          <w:tcPr>
            <w:tcW w:w="7254" w:type="dxa"/>
            <w:gridSpan w:val="2"/>
            <w:vAlign w:val="top"/>
          </w:tcPr>
          <w:p>
            <w:pPr>
              <w:spacing w:line="460" w:lineRule="exact"/>
              <w:rPr>
                <w:rFonts w:hint="eastAsia" w:ascii="宋体" w:hAnsi="宋体" w:eastAsia="宋体" w:cs="宋体"/>
                <w:b/>
                <w:i/>
                <w:sz w:val="24"/>
                <w:szCs w:val="24"/>
                <w:highlight w:val="none"/>
              </w:rPr>
            </w:pPr>
            <w:r>
              <w:rPr>
                <w:rFonts w:hint="eastAsia" w:ascii="宋体" w:hAnsi="宋体" w:eastAsia="宋体" w:cs="宋体"/>
                <w:sz w:val="24"/>
                <w:szCs w:val="24"/>
                <w:highlight w:val="none"/>
              </w:rPr>
              <w:t>评标方法：</w:t>
            </w:r>
            <w:r>
              <w:rPr>
                <w:rFonts w:hint="eastAsia" w:ascii="宋体" w:hAnsi="宋体" w:eastAsia="宋体" w:cs="宋体"/>
                <w:i/>
                <w:color w:val="FF0000"/>
                <w:sz w:val="24"/>
                <w:szCs w:val="24"/>
                <w:highlight w:val="none"/>
              </w:rPr>
              <w:t xml:space="preserve"> </w:t>
            </w:r>
            <w:r>
              <w:rPr>
                <w:rFonts w:hint="eastAsia" w:ascii="宋体" w:hAnsi="宋体" w:eastAsia="宋体" w:cs="宋体"/>
                <w:sz w:val="24"/>
                <w:szCs w:val="24"/>
                <w:highlight w:val="none"/>
              </w:rPr>
              <w:t>综合评分法</w:t>
            </w:r>
          </w:p>
          <w:p>
            <w:pPr>
              <w:spacing w:line="440" w:lineRule="exact"/>
              <w:rPr>
                <w:rFonts w:hint="eastAsia" w:ascii="宋体" w:hAnsi="宋体" w:eastAsia="宋体" w:cs="宋体"/>
                <w:b w:val="0"/>
                <w:bCs/>
                <w:sz w:val="24"/>
                <w:szCs w:val="24"/>
                <w:highlight w:val="none"/>
              </w:rPr>
            </w:pPr>
            <w:r>
              <w:rPr>
                <w:rFonts w:hint="eastAsia" w:ascii="宋体" w:hAnsi="宋体" w:eastAsia="宋体" w:cs="宋体"/>
                <w:bCs/>
                <w:sz w:val="24"/>
                <w:szCs w:val="24"/>
                <w:highlight w:val="none"/>
              </w:rPr>
              <w:t>注：</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1</w:t>
            </w:r>
            <w:r>
              <w:rPr>
                <w:rFonts w:hint="eastAsia" w:ascii="宋体" w:hAnsi="宋体" w:cs="宋体"/>
                <w:bCs/>
                <w:sz w:val="24"/>
                <w:szCs w:val="24"/>
                <w:highlight w:val="none"/>
                <w:lang w:eastAsia="zh-CN"/>
              </w:rPr>
              <w:t>）</w:t>
            </w:r>
            <w:r>
              <w:rPr>
                <w:rFonts w:hint="eastAsia" w:ascii="宋体" w:hAnsi="宋体" w:eastAsia="宋体" w:cs="宋体"/>
                <w:b w:val="0"/>
                <w:bCs/>
                <w:sz w:val="24"/>
                <w:szCs w:val="24"/>
                <w:highlight w:val="none"/>
              </w:rPr>
              <w:t>对小型、微型企业和监狱企业</w:t>
            </w:r>
            <w:r>
              <w:rPr>
                <w:rFonts w:hint="eastAsia" w:ascii="宋体" w:hAnsi="宋体" w:eastAsia="宋体" w:cs="宋体"/>
                <w:b w:val="0"/>
                <w:bCs/>
                <w:sz w:val="24"/>
                <w:szCs w:val="24"/>
                <w:highlight w:val="none"/>
                <w:lang w:eastAsia="zh-CN"/>
              </w:rPr>
              <w:t>、残疾人福利性单位</w:t>
            </w:r>
            <w:r>
              <w:rPr>
                <w:rFonts w:hint="eastAsia" w:ascii="宋体" w:hAnsi="宋体" w:eastAsia="宋体" w:cs="宋体"/>
                <w:b w:val="0"/>
                <w:bCs/>
                <w:sz w:val="24"/>
                <w:szCs w:val="24"/>
                <w:highlight w:val="none"/>
              </w:rPr>
              <w:t>的</w:t>
            </w:r>
            <w:r>
              <w:rPr>
                <w:rFonts w:hint="eastAsia" w:ascii="宋体" w:hAnsi="宋体" w:cs="宋体"/>
                <w:b w:val="0"/>
                <w:bCs/>
                <w:sz w:val="24"/>
                <w:szCs w:val="24"/>
                <w:highlight w:val="none"/>
                <w:lang w:val="en-US" w:eastAsia="zh-CN"/>
              </w:rPr>
              <w:t>报价</w:t>
            </w:r>
            <w:r>
              <w:rPr>
                <w:rFonts w:hint="eastAsia" w:ascii="宋体" w:hAnsi="宋体" w:eastAsia="宋体" w:cs="宋体"/>
                <w:b w:val="0"/>
                <w:bCs/>
                <w:sz w:val="24"/>
                <w:szCs w:val="24"/>
                <w:highlight w:val="none"/>
              </w:rPr>
              <w:t>给予</w:t>
            </w:r>
            <w:r>
              <w:rPr>
                <w:rFonts w:hint="eastAsia" w:ascii="宋体" w:hAnsi="宋体" w:cs="宋体"/>
                <w:b w:val="0"/>
                <w:bCs/>
                <w:sz w:val="24"/>
                <w:szCs w:val="24"/>
                <w:highlight w:val="none"/>
                <w:lang w:val="en-US" w:eastAsia="zh-CN"/>
              </w:rPr>
              <w:t>10</w:t>
            </w:r>
            <w:r>
              <w:rPr>
                <w:rFonts w:hint="eastAsia" w:ascii="宋体" w:hAnsi="宋体" w:eastAsia="宋体" w:cs="宋体"/>
                <w:b w:val="0"/>
                <w:bCs/>
                <w:sz w:val="24"/>
                <w:szCs w:val="24"/>
                <w:highlight w:val="none"/>
              </w:rPr>
              <w:t>%的扣除，用扣除后的价格参与评审。</w:t>
            </w:r>
            <w:r>
              <w:rPr>
                <w:rFonts w:hint="eastAsia" w:ascii="宋体" w:hAnsi="宋体" w:eastAsia="宋体" w:cs="宋体"/>
                <w:b/>
                <w:bCs/>
                <w:color w:val="auto"/>
                <w:sz w:val="24"/>
                <w:szCs w:val="24"/>
                <w:highlight w:val="none"/>
              </w:rPr>
              <w:t>（适用于</w:t>
            </w:r>
            <w:r>
              <w:rPr>
                <w:rFonts w:hint="eastAsia" w:ascii="宋体" w:hAnsi="宋体" w:eastAsia="宋体" w:cs="宋体"/>
                <w:b/>
                <w:bCs/>
                <w:color w:val="auto"/>
                <w:sz w:val="24"/>
                <w:szCs w:val="24"/>
                <w:highlight w:val="none"/>
                <w:lang w:val="en-US" w:eastAsia="zh-CN"/>
              </w:rPr>
              <w:t>非专门</w:t>
            </w:r>
            <w:r>
              <w:rPr>
                <w:rFonts w:hint="eastAsia" w:ascii="宋体" w:hAnsi="宋体" w:eastAsia="宋体" w:cs="宋体"/>
                <w:b/>
                <w:bCs/>
                <w:color w:val="auto"/>
                <w:sz w:val="24"/>
                <w:szCs w:val="24"/>
                <w:highlight w:val="none"/>
              </w:rPr>
              <w:t>面向中小企业）</w:t>
            </w:r>
          </w:p>
          <w:p>
            <w:pPr>
              <w:spacing w:line="440" w:lineRule="exact"/>
              <w:rPr>
                <w:rFonts w:ascii="宋体" w:hAnsi="宋体" w:cs="宋体"/>
                <w:sz w:val="24"/>
                <w:szCs w:val="24"/>
                <w:highlight w:val="none"/>
              </w:rPr>
            </w:pPr>
            <w:r>
              <w:rPr>
                <w:rFonts w:hint="eastAsia" w:ascii="宋体" w:hAnsi="宋体" w:cs="宋体"/>
                <w:sz w:val="24"/>
                <w:szCs w:val="24"/>
                <w:highlight w:val="none"/>
              </w:rPr>
              <w:t>（2）监狱企业视同小型、微型企业，享受评审中价格扣除等政府促进中小企业发展的政府采购政策。</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（3）残疾人福利性单位视同小型、微型企业，享受评审中价格扣除等政府促进中小企业发展的政府采购政策；福利性单位属于小型、微型企业的，不重复享受政策。</w:t>
            </w:r>
          </w:p>
          <w:p>
            <w:pPr>
              <w:spacing w:line="360" w:lineRule="auto"/>
              <w:rPr>
                <w:rFonts w:hint="eastAsia" w:ascii="宋体" w:hAnsi="宋体" w:eastAsia="宋体" w:cs="宋体"/>
                <w:i w:val="0"/>
                <w:iCs/>
                <w:color w:val="FF0000"/>
                <w:sz w:val="24"/>
                <w:szCs w:val="24"/>
                <w:highlight w:val="none"/>
              </w:rPr>
            </w:pPr>
            <w:r>
              <w:rPr>
                <w:rFonts w:hint="eastAsia" w:ascii="宋体" w:hAnsi="宋体" w:cs="宋体" w:eastAsiaTheme="minorEastAsia"/>
                <w:sz w:val="24"/>
                <w:szCs w:val="24"/>
                <w:highlight w:val="none"/>
                <w:lang w:eastAsia="zh-CN"/>
              </w:rPr>
              <w:t>（</w:t>
            </w:r>
            <w:r>
              <w:rPr>
                <w:rFonts w:hint="eastAsia" w:ascii="宋体" w:hAnsi="宋体" w:cs="宋体" w:eastAsiaTheme="minorEastAsia"/>
                <w:sz w:val="24"/>
                <w:szCs w:val="24"/>
                <w:highlight w:val="none"/>
                <w:lang w:val="en-US" w:eastAsia="zh-CN"/>
              </w:rPr>
              <w:t>4</w:t>
            </w:r>
            <w:r>
              <w:rPr>
                <w:rFonts w:hint="eastAsia" w:ascii="宋体" w:hAnsi="宋体" w:cs="宋体" w:eastAsiaTheme="minorEastAsia"/>
                <w:sz w:val="24"/>
                <w:szCs w:val="24"/>
                <w:highlight w:val="none"/>
                <w:lang w:eastAsia="zh-CN"/>
              </w:rPr>
              <w:t>）</w:t>
            </w:r>
            <w:r>
              <w:rPr>
                <w:rFonts w:hint="eastAsia" w:cs="仿宋" w:asciiTheme="minorEastAsia" w:hAnsiTheme="minorEastAsia" w:eastAsiaTheme="minorEastAsia"/>
                <w:b w:val="0"/>
                <w:bCs/>
                <w:i w:val="0"/>
                <w:iCs/>
                <w:color w:val="auto"/>
                <w:sz w:val="24"/>
                <w:szCs w:val="24"/>
                <w:highlight w:val="none"/>
                <w:lang w:val="en-US" w:eastAsia="zh-CN"/>
              </w:rPr>
              <w:t>接受大中型企业与小微企业组成联合体或者允许大中型企业向一家或者多家小微企业分包，对于联合协议或者分包意向协议约定小微企业的合同份额占到合同总金额 30%以上的，应当对联合体或者大中型企业的报价给予4%的扣除，用扣除后的价格参加评审。</w:t>
            </w:r>
            <w:r>
              <w:rPr>
                <w:rFonts w:hint="eastAsia" w:cs="仿宋" w:asciiTheme="minorEastAsia" w:hAnsiTheme="minorEastAsia" w:eastAsiaTheme="minorEastAsia"/>
                <w:b/>
                <w:i w:val="0"/>
                <w:iCs/>
                <w:color w:val="auto"/>
                <w:sz w:val="24"/>
                <w:szCs w:val="24"/>
                <w:highlight w:val="none"/>
              </w:rPr>
              <w:t>（适用于联合体</w:t>
            </w:r>
            <w:r>
              <w:rPr>
                <w:rFonts w:hint="eastAsia" w:cs="仿宋" w:asciiTheme="minorEastAsia" w:hAnsiTheme="minorEastAsia" w:eastAsiaTheme="minorEastAsia"/>
                <w:b/>
                <w:i w:val="0"/>
                <w:iCs/>
                <w:color w:val="auto"/>
                <w:sz w:val="24"/>
                <w:szCs w:val="24"/>
                <w:highlight w:val="none"/>
                <w:lang w:val="en-US" w:eastAsia="zh-CN"/>
              </w:rPr>
              <w:t>谈判或允许合同分包</w:t>
            </w:r>
            <w:r>
              <w:rPr>
                <w:rFonts w:hint="eastAsia" w:cs="仿宋" w:asciiTheme="minorEastAsia" w:hAnsiTheme="minorEastAsia" w:eastAsiaTheme="minorEastAsia"/>
                <w:b/>
                <w:i w:val="0"/>
                <w:iCs/>
                <w:color w:val="auto"/>
                <w:sz w:val="24"/>
                <w:szCs w:val="24"/>
                <w:highlight w:val="none"/>
              </w:rPr>
              <w:t>）</w:t>
            </w:r>
          </w:p>
          <w:p>
            <w:pPr>
              <w:spacing w:line="460" w:lineRule="exact"/>
              <w:ind w:firstLine="361" w:firstLineChars="150"/>
              <w:rPr>
                <w:rFonts w:hint="eastAsia" w:ascii="宋体" w:hAnsi="宋体" w:eastAsia="宋体" w:cs="宋体"/>
                <w:color w:val="auto"/>
                <w:sz w:val="24"/>
                <w:szCs w:val="24"/>
                <w:highlight w:val="none"/>
              </w:rPr>
            </w:pPr>
            <w:r>
              <w:rPr>
                <w:rFonts w:hint="eastAsia" w:ascii="宋体" w:hAnsi="宋体" w:eastAsia="宋体" w:cs="宋体"/>
                <w:b/>
                <w:kern w:val="0"/>
                <w:sz w:val="24"/>
                <w:szCs w:val="24"/>
                <w:highlight w:val="none"/>
              </w:rPr>
              <w:t>产品属于《节能产品政府采购品目清单》、《环境标志产品政府采购品目清单》范围的，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4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47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7254" w:type="dxa"/>
            <w:gridSpan w:val="2"/>
          </w:tcPr>
          <w:p>
            <w:pPr>
              <w:pStyle w:val="2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评标标准（详见“第六章 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4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47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7254" w:type="dxa"/>
            <w:gridSpan w:val="2"/>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28.1履约保证金金额： 合同总价的</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46" w:type="dxa"/>
            <w:vMerge w:val="restart"/>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472" w:type="dxa"/>
            <w:vMerge w:val="restart"/>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7254" w:type="dxa"/>
            <w:gridSpan w:val="2"/>
          </w:tcPr>
          <w:p>
            <w:pPr>
              <w:spacing w:line="360" w:lineRule="auto"/>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采购代理服务费：本项目采购代理服务费：</w:t>
            </w:r>
            <w:r>
              <w:rPr>
                <w:rFonts w:hint="eastAsia" w:ascii="宋体" w:hAnsi="宋体" w:eastAsia="宋体" w:cs="宋体"/>
                <w:i w:val="0"/>
                <w:iCs w:val="0"/>
                <w:color w:val="auto"/>
                <w:sz w:val="24"/>
                <w:szCs w:val="24"/>
                <w:highlight w:val="none"/>
              </w:rPr>
              <w:t>向中标人收取</w:t>
            </w:r>
          </w:p>
          <w:p>
            <w:pPr>
              <w:spacing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采购代理服务费按差额定率累进法计算收取，收费标准如下表所列</w:t>
            </w:r>
          </w:p>
          <w:p>
            <w:pPr>
              <w:spacing w:line="460" w:lineRule="exact"/>
              <w:rPr>
                <w:rFonts w:hint="default" w:ascii="宋体" w:hAnsi="宋体" w:cs="宋体"/>
                <w:b/>
                <w:bCs/>
                <w:color w:val="auto"/>
                <w:sz w:val="24"/>
                <w:szCs w:val="24"/>
                <w:lang w:val="en-US"/>
              </w:rPr>
            </w:pPr>
            <w:r>
              <w:rPr>
                <w:rFonts w:hint="eastAsia" w:ascii="宋体" w:hAnsi="宋体" w:cs="宋体"/>
                <w:b/>
                <w:bCs/>
                <w:color w:val="auto"/>
                <w:sz w:val="24"/>
                <w:szCs w:val="24"/>
                <w:lang w:eastAsia="zh-CN"/>
              </w:rPr>
              <w:t>（</w:t>
            </w:r>
            <w:r>
              <w:rPr>
                <w:rFonts w:hint="eastAsia" w:ascii="宋体" w:hAnsi="宋体" w:cs="宋体"/>
                <w:b/>
                <w:bCs/>
                <w:color w:val="auto"/>
                <w:sz w:val="24"/>
                <w:szCs w:val="24"/>
              </w:rPr>
              <w:t>收费标准＝成交金额×收费费率＋速算增加数</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*2（倍）</w:t>
            </w:r>
          </w:p>
          <w:p>
            <w:pPr>
              <w:spacing w:line="360" w:lineRule="auto"/>
              <w:ind w:left="1"/>
              <w:rPr>
                <w:rFonts w:hint="eastAsia" w:ascii="宋体" w:hAnsi="宋体" w:eastAsia="宋体" w:cs="宋体"/>
                <w:color w:val="auto"/>
                <w:sz w:val="24"/>
                <w:szCs w:val="24"/>
                <w:highlight w:val="none"/>
              </w:rPr>
            </w:pPr>
          </w:p>
          <w:p>
            <w:pPr>
              <w:spacing w:line="360" w:lineRule="auto"/>
              <w:ind w:left="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cs="宋体"/>
                <w:color w:val="auto"/>
                <w:sz w:val="24"/>
                <w:szCs w:val="24"/>
                <w:lang w:eastAsia="zh-CN"/>
              </w:rPr>
              <w:t>（</w:t>
            </w:r>
            <w:r>
              <w:rPr>
                <w:rFonts w:hint="eastAsia" w:ascii="宋体" w:hAnsi="宋体" w:cs="宋体"/>
                <w:color w:val="auto"/>
                <w:sz w:val="24"/>
                <w:szCs w:val="24"/>
              </w:rPr>
              <w:t>成交金额在40万元以下的，按照40万元计算服务费</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b/>
                <w:bCs/>
                <w:color w:val="auto"/>
                <w:sz w:val="24"/>
                <w:szCs w:val="24"/>
                <w:lang w:val="en-US" w:eastAsia="zh-CN"/>
              </w:rPr>
              <w:t>（倍）</w:t>
            </w:r>
            <w:r>
              <w:rPr>
                <w:rFonts w:hint="eastAsia" w:ascii="宋体" w:hAnsi="宋体" w:cs="宋体"/>
                <w:color w:val="auto"/>
                <w:sz w:val="24"/>
                <w:szCs w:val="24"/>
              </w:rPr>
              <w:t>。</w:t>
            </w:r>
            <w:bookmarkStart w:id="129" w:name="_GoBack"/>
            <w:bookmarkEnd w:id="129"/>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46"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1472" w:type="dxa"/>
            <w:vMerge w:val="continue"/>
            <w:vAlign w:val="center"/>
          </w:tcPr>
          <w:p>
            <w:pPr>
              <w:pStyle w:val="21"/>
              <w:spacing w:line="360" w:lineRule="auto"/>
              <w:ind w:firstLine="240" w:firstLineChars="100"/>
              <w:jc w:val="center"/>
              <w:rPr>
                <w:rFonts w:hint="eastAsia" w:ascii="宋体" w:hAnsi="宋体" w:eastAsia="宋体" w:cs="宋体"/>
                <w:color w:val="auto"/>
                <w:sz w:val="24"/>
                <w:szCs w:val="24"/>
                <w:highlight w:val="none"/>
              </w:rPr>
            </w:pPr>
          </w:p>
        </w:tc>
        <w:tc>
          <w:tcPr>
            <w:tcW w:w="364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中标金额（万元）</w:t>
            </w:r>
          </w:p>
        </w:tc>
        <w:tc>
          <w:tcPr>
            <w:tcW w:w="361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货物招标收费费率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46"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1472" w:type="dxa"/>
            <w:vMerge w:val="continue"/>
            <w:vAlign w:val="center"/>
          </w:tcPr>
          <w:p>
            <w:pPr>
              <w:pStyle w:val="21"/>
              <w:spacing w:line="360" w:lineRule="auto"/>
              <w:ind w:firstLine="240" w:firstLineChars="100"/>
              <w:jc w:val="center"/>
              <w:rPr>
                <w:rFonts w:hint="eastAsia" w:ascii="宋体" w:hAnsi="宋体" w:eastAsia="宋体" w:cs="宋体"/>
                <w:color w:val="auto"/>
                <w:sz w:val="24"/>
                <w:szCs w:val="24"/>
                <w:highlight w:val="none"/>
              </w:rPr>
            </w:pPr>
          </w:p>
        </w:tc>
        <w:tc>
          <w:tcPr>
            <w:tcW w:w="364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100以下</w:t>
            </w:r>
          </w:p>
        </w:tc>
        <w:tc>
          <w:tcPr>
            <w:tcW w:w="361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46"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1472" w:type="dxa"/>
            <w:vMerge w:val="continue"/>
            <w:vAlign w:val="center"/>
          </w:tcPr>
          <w:p>
            <w:pPr>
              <w:pStyle w:val="21"/>
              <w:spacing w:line="360" w:lineRule="auto"/>
              <w:ind w:firstLine="240" w:firstLineChars="100"/>
              <w:jc w:val="center"/>
              <w:rPr>
                <w:rFonts w:hint="eastAsia" w:ascii="宋体" w:hAnsi="宋体" w:eastAsia="宋体" w:cs="宋体"/>
                <w:color w:val="auto"/>
                <w:sz w:val="24"/>
                <w:szCs w:val="24"/>
                <w:highlight w:val="none"/>
              </w:rPr>
            </w:pPr>
          </w:p>
        </w:tc>
        <w:tc>
          <w:tcPr>
            <w:tcW w:w="364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w:t>
            </w:r>
          </w:p>
        </w:tc>
        <w:tc>
          <w:tcPr>
            <w:tcW w:w="361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46"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1472" w:type="dxa"/>
            <w:vMerge w:val="continue"/>
            <w:vAlign w:val="center"/>
          </w:tcPr>
          <w:p>
            <w:pPr>
              <w:pStyle w:val="21"/>
              <w:spacing w:line="360" w:lineRule="auto"/>
              <w:ind w:firstLine="240" w:firstLineChars="100"/>
              <w:jc w:val="center"/>
              <w:rPr>
                <w:rFonts w:hint="eastAsia" w:ascii="宋体" w:hAnsi="宋体" w:eastAsia="宋体" w:cs="宋体"/>
                <w:color w:val="auto"/>
                <w:sz w:val="24"/>
                <w:szCs w:val="24"/>
                <w:highlight w:val="none"/>
              </w:rPr>
            </w:pPr>
          </w:p>
        </w:tc>
        <w:tc>
          <w:tcPr>
            <w:tcW w:w="3644" w:type="dxa"/>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500-1000</w:t>
            </w:r>
          </w:p>
        </w:tc>
        <w:tc>
          <w:tcPr>
            <w:tcW w:w="361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5" w:hRule="atLeast"/>
        </w:trPr>
        <w:tc>
          <w:tcPr>
            <w:tcW w:w="846" w:type="dxa"/>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18</w:t>
            </w:r>
          </w:p>
        </w:tc>
        <w:tc>
          <w:tcPr>
            <w:tcW w:w="8726" w:type="dxa"/>
            <w:gridSpan w:val="3"/>
            <w:noWrap w:val="0"/>
            <w:vAlign w:val="center"/>
          </w:tcPr>
          <w:p>
            <w:pPr>
              <w:spacing w:line="360" w:lineRule="auto"/>
              <w:ind w:left="1"/>
              <w:rPr>
                <w:rFonts w:hint="eastAsia"/>
                <w:highlight w:val="none"/>
                <w:lang w:val="en-US" w:eastAsia="zh-CN"/>
              </w:rPr>
            </w:pPr>
            <w:r>
              <w:rPr>
                <w:rFonts w:hint="eastAsia" w:ascii="宋体" w:hAnsi="宋体" w:eastAsia="宋体" w:cs="仿宋"/>
                <w:b/>
                <w:bCs/>
                <w:sz w:val="24"/>
                <w:szCs w:val="24"/>
                <w:highlight w:val="none"/>
                <w:lang w:val="en-US" w:eastAsia="zh-CN"/>
              </w:rPr>
              <w:t>不见面开标特别事项说明：</w:t>
            </w:r>
          </w:p>
          <w:p>
            <w:pPr>
              <w:numPr>
                <w:ilvl w:val="0"/>
                <w:numId w:val="3"/>
              </w:numPr>
              <w:spacing w:line="360" w:lineRule="auto"/>
              <w:ind w:left="1"/>
              <w:rPr>
                <w:rFonts w:hint="eastAsia" w:ascii="宋体" w:hAnsi="宋体" w:eastAsia="宋体" w:cs="仿宋"/>
                <w:sz w:val="24"/>
                <w:szCs w:val="24"/>
                <w:highlight w:val="none"/>
                <w:lang w:val="en-US" w:eastAsia="zh-CN"/>
              </w:rPr>
            </w:pPr>
            <w:r>
              <w:rPr>
                <w:rFonts w:hint="eastAsia" w:ascii="宋体" w:hAnsi="宋体" w:eastAsia="宋体" w:cs="仿宋"/>
                <w:sz w:val="24"/>
                <w:szCs w:val="24"/>
                <w:highlight w:val="none"/>
                <w:lang w:val="en-US" w:eastAsia="zh-CN"/>
              </w:rPr>
              <w:t>本项目采用“不见面开标”系统开标，投标人无需到</w:t>
            </w:r>
            <w:r>
              <w:rPr>
                <w:rFonts w:hint="eastAsia" w:ascii="宋体" w:hAnsi="宋体" w:cs="仿宋"/>
                <w:sz w:val="24"/>
                <w:szCs w:val="24"/>
                <w:highlight w:val="none"/>
                <w:lang w:val="en-US" w:eastAsia="zh-CN"/>
              </w:rPr>
              <w:t>达</w:t>
            </w:r>
            <w:r>
              <w:rPr>
                <w:rFonts w:hint="eastAsia" w:ascii="宋体" w:hAnsi="宋体" w:eastAsia="宋体" w:cs="仿宋"/>
                <w:sz w:val="24"/>
                <w:szCs w:val="24"/>
                <w:highlight w:val="none"/>
                <w:lang w:val="en-US" w:eastAsia="zh-CN"/>
              </w:rPr>
              <w:t>开标现场，投标人应在开标截止时间前</w:t>
            </w:r>
            <w:r>
              <w:rPr>
                <w:rFonts w:hint="eastAsia" w:ascii="宋体" w:hAnsi="宋体" w:cs="仿宋"/>
                <w:sz w:val="24"/>
                <w:szCs w:val="24"/>
                <w:highlight w:val="none"/>
                <w:lang w:val="en-US" w:eastAsia="zh-CN"/>
              </w:rPr>
              <w:t>1</w:t>
            </w:r>
            <w:r>
              <w:rPr>
                <w:rFonts w:hint="eastAsia" w:ascii="宋体" w:hAnsi="宋体" w:eastAsia="宋体" w:cs="仿宋"/>
                <w:sz w:val="24"/>
                <w:szCs w:val="24"/>
                <w:highlight w:val="none"/>
                <w:lang w:val="en-US" w:eastAsia="zh-CN"/>
              </w:rPr>
              <w:t>小时进入江西省公共资源交易网-不见面开标大厅进行线上签到（具体详见投标人操作手册）</w:t>
            </w:r>
            <w:r>
              <w:rPr>
                <w:rFonts w:hint="eastAsia" w:ascii="宋体" w:hAnsi="宋体" w:cs="仿宋"/>
                <w:sz w:val="24"/>
                <w:szCs w:val="24"/>
                <w:highlight w:val="none"/>
                <w:lang w:val="en-US" w:eastAsia="zh-CN"/>
              </w:rPr>
              <w:t>，</w:t>
            </w:r>
            <w:r>
              <w:rPr>
                <w:rFonts w:hint="eastAsia" w:ascii="宋体" w:hAnsi="宋体" w:eastAsia="宋体" w:cs="仿宋"/>
                <w:sz w:val="24"/>
                <w:szCs w:val="24"/>
                <w:highlight w:val="none"/>
                <w:lang w:val="en-US" w:eastAsia="zh-CN"/>
              </w:rPr>
              <w:t>否则无法进入后续的开标环节</w:t>
            </w:r>
            <w:r>
              <w:rPr>
                <w:rFonts w:hint="eastAsia" w:ascii="宋体" w:hAnsi="宋体" w:cs="仿宋"/>
                <w:sz w:val="24"/>
                <w:szCs w:val="24"/>
                <w:highlight w:val="none"/>
                <w:lang w:val="en-US" w:eastAsia="zh-CN"/>
              </w:rPr>
              <w:t>，</w:t>
            </w:r>
            <w:r>
              <w:rPr>
                <w:rFonts w:hint="eastAsia" w:ascii="宋体" w:hAnsi="宋体" w:eastAsia="宋体" w:cs="仿宋"/>
                <w:sz w:val="24"/>
                <w:szCs w:val="24"/>
                <w:highlight w:val="none"/>
                <w:lang w:val="en-US" w:eastAsia="zh-CN"/>
              </w:rPr>
              <w:t>如投标人未在投标截止时间前在线签到的</w:t>
            </w:r>
            <w:r>
              <w:rPr>
                <w:rFonts w:hint="eastAsia" w:ascii="宋体" w:hAnsi="宋体" w:cs="仿宋"/>
                <w:sz w:val="24"/>
                <w:szCs w:val="24"/>
                <w:highlight w:val="none"/>
                <w:lang w:val="en-US" w:eastAsia="zh-CN"/>
              </w:rPr>
              <w:t>，投标无效</w:t>
            </w:r>
            <w:r>
              <w:rPr>
                <w:rFonts w:hint="eastAsia" w:ascii="宋体" w:hAnsi="宋体" w:eastAsia="宋体" w:cs="仿宋"/>
                <w:sz w:val="24"/>
                <w:szCs w:val="24"/>
                <w:highlight w:val="none"/>
                <w:lang w:val="en-US" w:eastAsia="zh-CN"/>
              </w:rPr>
              <w:t>。如到开标现场进行投标文件解密，开标现场解密一体机与“不见面开标”系统不对接，无法进行解密，因此引起的一切问题由投标</w:t>
            </w:r>
            <w:r>
              <w:rPr>
                <w:rFonts w:hint="eastAsia" w:ascii="宋体" w:hAnsi="宋体" w:cs="仿宋"/>
                <w:sz w:val="24"/>
                <w:szCs w:val="24"/>
                <w:highlight w:val="none"/>
                <w:lang w:val="en-US" w:eastAsia="zh-CN"/>
              </w:rPr>
              <w:t>人</w:t>
            </w:r>
            <w:r>
              <w:rPr>
                <w:rFonts w:hint="eastAsia" w:ascii="宋体" w:hAnsi="宋体" w:eastAsia="宋体" w:cs="仿宋"/>
                <w:sz w:val="24"/>
                <w:szCs w:val="24"/>
                <w:highlight w:val="none"/>
                <w:lang w:val="en-US" w:eastAsia="zh-CN"/>
              </w:rPr>
              <w:t>自行承担。</w:t>
            </w:r>
          </w:p>
          <w:p>
            <w:pPr>
              <w:numPr>
                <w:ilvl w:val="0"/>
                <w:numId w:val="0"/>
              </w:numPr>
              <w:spacing w:line="360" w:lineRule="auto"/>
              <w:rPr>
                <w:rFonts w:hint="eastAsia" w:ascii="宋体" w:hAnsi="宋体" w:eastAsia="宋体" w:cs="仿宋"/>
                <w:sz w:val="24"/>
                <w:szCs w:val="24"/>
                <w:highlight w:val="none"/>
                <w:lang w:val="en-US" w:eastAsia="zh-CN"/>
              </w:rPr>
            </w:pPr>
            <w:r>
              <w:rPr>
                <w:rFonts w:hint="eastAsia" w:ascii="宋体" w:hAnsi="宋体" w:eastAsia="宋体" w:cs="仿宋"/>
                <w:sz w:val="24"/>
                <w:szCs w:val="24"/>
                <w:highlight w:val="none"/>
                <w:lang w:val="en-US" w:eastAsia="zh-CN"/>
              </w:rPr>
              <w:t>2、各投标</w:t>
            </w:r>
            <w:r>
              <w:rPr>
                <w:rFonts w:hint="eastAsia" w:ascii="宋体" w:hAnsi="宋体" w:cs="仿宋"/>
                <w:sz w:val="24"/>
                <w:szCs w:val="24"/>
                <w:highlight w:val="none"/>
                <w:lang w:val="en-US" w:eastAsia="zh-CN"/>
              </w:rPr>
              <w:t>人</w:t>
            </w:r>
            <w:r>
              <w:rPr>
                <w:rFonts w:hint="eastAsia" w:ascii="宋体" w:hAnsi="宋体" w:eastAsia="宋体" w:cs="仿宋"/>
                <w:sz w:val="24"/>
                <w:szCs w:val="24"/>
                <w:highlight w:val="none"/>
                <w:lang w:val="en-US" w:eastAsia="zh-CN"/>
              </w:rPr>
              <w:t>的法定代表委托人必须符合招标文件要求，并且应当熟练的操作新点系统，因业务不熟悉而导致的一切后果由投标</w:t>
            </w:r>
            <w:r>
              <w:rPr>
                <w:rFonts w:hint="eastAsia" w:ascii="宋体" w:hAnsi="宋体" w:cs="仿宋"/>
                <w:sz w:val="24"/>
                <w:szCs w:val="24"/>
                <w:highlight w:val="none"/>
                <w:lang w:val="en-US" w:eastAsia="zh-CN"/>
              </w:rPr>
              <w:t>人</w:t>
            </w:r>
            <w:r>
              <w:rPr>
                <w:rFonts w:hint="eastAsia" w:ascii="宋体" w:hAnsi="宋体" w:eastAsia="宋体" w:cs="仿宋"/>
                <w:sz w:val="24"/>
                <w:szCs w:val="24"/>
                <w:highlight w:val="none"/>
                <w:lang w:val="en-US" w:eastAsia="zh-CN"/>
              </w:rPr>
              <w:t>自行承担。一个项目只能有一个委托代理人，委托代理人需将法人代表授权委托书（法定代表人参与投标的无需提供授权委托书）、本人身份证的证明材料原件扫描制作到投标文件中。授权委托人在项目开、评标期间必须保持在线状态，随时通过“不见面开标”系统接收评标委员会的询标等信息，并在“互动交流”中对询标内容进行回复（自询标内容发出起20分钟内完成回复），否则视为放弃解释说明的权利且完全认可专家的意见。投标人回复询标内容时需将询标内容和回复意见打印并加盖投标人单位公章后扫描上传至“互动交流”（回复样式以招标人发出的询标函格式为准）。</w:t>
            </w:r>
          </w:p>
          <w:p>
            <w:pPr>
              <w:spacing w:line="360" w:lineRule="auto"/>
              <w:ind w:left="1"/>
              <w:rPr>
                <w:rFonts w:hint="eastAsia" w:ascii="宋体" w:hAnsi="宋体" w:eastAsia="宋体" w:cs="仿宋"/>
                <w:sz w:val="24"/>
                <w:szCs w:val="24"/>
                <w:highlight w:val="none"/>
                <w:lang w:val="en-US" w:eastAsia="zh-CN"/>
              </w:rPr>
            </w:pPr>
            <w:r>
              <w:rPr>
                <w:rFonts w:hint="eastAsia" w:ascii="宋体" w:hAnsi="宋体" w:eastAsia="宋体" w:cs="仿宋"/>
                <w:sz w:val="24"/>
                <w:szCs w:val="24"/>
                <w:highlight w:val="none"/>
                <w:lang w:val="en-US" w:eastAsia="zh-CN"/>
              </w:rPr>
              <w:t>3、本项目采用“不见面开标”系统开标，投标</w:t>
            </w:r>
            <w:r>
              <w:rPr>
                <w:rFonts w:hint="eastAsia" w:ascii="宋体" w:hAnsi="宋体" w:cs="仿宋"/>
                <w:sz w:val="24"/>
                <w:szCs w:val="24"/>
                <w:highlight w:val="none"/>
                <w:lang w:val="en-US" w:eastAsia="zh-CN"/>
              </w:rPr>
              <w:t>人</w:t>
            </w:r>
            <w:r>
              <w:rPr>
                <w:rFonts w:hint="eastAsia" w:ascii="宋体" w:hAnsi="宋体" w:eastAsia="宋体" w:cs="仿宋"/>
                <w:sz w:val="24"/>
                <w:szCs w:val="24"/>
                <w:highlight w:val="none"/>
                <w:lang w:val="en-US" w:eastAsia="zh-CN"/>
              </w:rPr>
              <w:t>不需到</w:t>
            </w:r>
            <w:r>
              <w:rPr>
                <w:rFonts w:hint="eastAsia" w:ascii="宋体" w:hAnsi="宋体" w:cs="仿宋"/>
                <w:sz w:val="24"/>
                <w:szCs w:val="24"/>
                <w:highlight w:val="none"/>
                <w:lang w:val="en-US" w:eastAsia="zh-CN"/>
              </w:rPr>
              <w:t>现</w:t>
            </w:r>
            <w:r>
              <w:rPr>
                <w:rFonts w:hint="eastAsia" w:ascii="宋体" w:hAnsi="宋体" w:eastAsia="宋体" w:cs="仿宋"/>
                <w:sz w:val="24"/>
                <w:szCs w:val="24"/>
                <w:highlight w:val="none"/>
                <w:lang w:val="en-US" w:eastAsia="zh-CN"/>
              </w:rPr>
              <w:t>场参加开标</w:t>
            </w:r>
            <w:r>
              <w:rPr>
                <w:rFonts w:hint="eastAsia" w:ascii="宋体" w:hAnsi="宋体" w:cs="仿宋"/>
                <w:sz w:val="24"/>
                <w:szCs w:val="24"/>
                <w:highlight w:val="none"/>
                <w:lang w:val="en-US" w:eastAsia="zh-CN"/>
              </w:rPr>
              <w:t>活动</w:t>
            </w:r>
            <w:r>
              <w:rPr>
                <w:rFonts w:hint="eastAsia" w:ascii="宋体" w:hAnsi="宋体" w:eastAsia="宋体" w:cs="仿宋"/>
                <w:sz w:val="24"/>
                <w:szCs w:val="24"/>
                <w:highlight w:val="none"/>
                <w:lang w:val="en-US" w:eastAsia="zh-CN"/>
              </w:rPr>
              <w:t>，现场环节全部转为不见面开标系统线上操作。授权委托人</w:t>
            </w:r>
            <w:r>
              <w:rPr>
                <w:rFonts w:hint="eastAsia" w:ascii="宋体" w:hAnsi="宋体" w:cs="仿宋"/>
                <w:sz w:val="24"/>
                <w:szCs w:val="24"/>
                <w:highlight w:val="none"/>
                <w:lang w:val="en-US" w:eastAsia="zh-CN"/>
              </w:rPr>
              <w:t>也</w:t>
            </w:r>
            <w:r>
              <w:rPr>
                <w:rFonts w:hint="eastAsia" w:ascii="宋体" w:hAnsi="宋体" w:eastAsia="宋体" w:cs="仿宋"/>
                <w:sz w:val="24"/>
                <w:szCs w:val="24"/>
                <w:highlight w:val="none"/>
                <w:lang w:val="en-US" w:eastAsia="zh-CN"/>
              </w:rPr>
              <w:t>不需到开标现场参与本项目的开标活动，也无需递交任何材料原件，由投标</w:t>
            </w:r>
            <w:r>
              <w:rPr>
                <w:rFonts w:hint="eastAsia" w:ascii="宋体" w:hAnsi="宋体" w:cs="仿宋"/>
                <w:sz w:val="24"/>
                <w:szCs w:val="24"/>
                <w:highlight w:val="none"/>
                <w:lang w:val="en-US" w:eastAsia="zh-CN"/>
              </w:rPr>
              <w:t>人</w:t>
            </w:r>
            <w:r>
              <w:rPr>
                <w:rFonts w:hint="eastAsia" w:ascii="宋体" w:hAnsi="宋体" w:eastAsia="宋体" w:cs="仿宋"/>
                <w:sz w:val="24"/>
                <w:szCs w:val="24"/>
                <w:highlight w:val="none"/>
                <w:lang w:val="en-US" w:eastAsia="zh-CN"/>
              </w:rPr>
              <w:t>自行将参与本项目所需的材料原件（含委托书）的扫描件全部放入电子投标文件中，扫描件未放入的，视为未提供。</w:t>
            </w:r>
          </w:p>
          <w:p>
            <w:pPr>
              <w:pageBreakBefore w:val="0"/>
              <w:widowControl w:val="0"/>
              <w:kinsoku/>
              <w:wordWrap/>
              <w:overflowPunct/>
              <w:topLinePunct w:val="0"/>
              <w:autoSpaceDE/>
              <w:autoSpaceDN/>
              <w:bidi w:val="0"/>
              <w:adjustRightInd/>
              <w:snapToGrid/>
              <w:spacing w:line="400" w:lineRule="exact"/>
              <w:ind w:left="1"/>
              <w:textAlignment w:val="auto"/>
              <w:rPr>
                <w:rFonts w:hint="eastAsia" w:ascii="宋体" w:hAnsi="宋体" w:eastAsia="宋体" w:cs="仿宋"/>
                <w:sz w:val="24"/>
                <w:szCs w:val="24"/>
                <w:highlight w:val="none"/>
                <w:lang w:val="en-US" w:eastAsia="zh-CN"/>
              </w:rPr>
            </w:pPr>
            <w:r>
              <w:rPr>
                <w:rFonts w:hint="eastAsia" w:ascii="宋体" w:hAnsi="宋体" w:cs="仿宋"/>
                <w:sz w:val="24"/>
                <w:szCs w:val="24"/>
                <w:highlight w:val="none"/>
                <w:lang w:val="en-US" w:eastAsia="zh-CN"/>
              </w:rPr>
              <w:t>4</w:t>
            </w:r>
            <w:r>
              <w:rPr>
                <w:rFonts w:hint="eastAsia" w:ascii="宋体" w:hAnsi="宋体" w:eastAsia="宋体" w:cs="仿宋"/>
                <w:sz w:val="24"/>
                <w:szCs w:val="24"/>
                <w:highlight w:val="none"/>
                <w:lang w:val="en-US" w:eastAsia="zh-CN"/>
              </w:rPr>
              <w:t>、投标文件解密时间：在</w:t>
            </w:r>
            <w:r>
              <w:rPr>
                <w:rFonts w:hint="eastAsia" w:ascii="宋体" w:hAnsi="宋体" w:cs="仿宋"/>
                <w:sz w:val="24"/>
                <w:szCs w:val="24"/>
                <w:highlight w:val="none"/>
                <w:lang w:val="en-US" w:eastAsia="zh-CN"/>
              </w:rPr>
              <w:t>采购代理机构</w:t>
            </w:r>
            <w:r>
              <w:rPr>
                <w:rFonts w:hint="eastAsia" w:ascii="宋体" w:hAnsi="宋体" w:eastAsia="宋体" w:cs="仿宋"/>
                <w:sz w:val="24"/>
                <w:szCs w:val="24"/>
                <w:highlight w:val="none"/>
                <w:lang w:val="en-US" w:eastAsia="zh-CN"/>
              </w:rPr>
              <w:t>宣布开始解密后20分钟内必须完成解密，未在规定时间内</w:t>
            </w:r>
            <w:r>
              <w:rPr>
                <w:rFonts w:hint="eastAsia" w:ascii="宋体" w:hAnsi="宋体" w:cs="仿宋"/>
                <w:sz w:val="24"/>
                <w:szCs w:val="24"/>
                <w:highlight w:val="none"/>
                <w:lang w:val="en-US" w:eastAsia="zh-CN"/>
              </w:rPr>
              <w:t>完成</w:t>
            </w:r>
            <w:r>
              <w:rPr>
                <w:rFonts w:hint="eastAsia" w:ascii="宋体" w:hAnsi="宋体" w:eastAsia="宋体" w:cs="仿宋"/>
                <w:sz w:val="24"/>
                <w:szCs w:val="24"/>
                <w:highlight w:val="none"/>
                <w:lang w:val="en-US" w:eastAsia="zh-CN"/>
              </w:rPr>
              <w:t>解密的，</w:t>
            </w:r>
            <w:r>
              <w:rPr>
                <w:rFonts w:hint="eastAsia" w:ascii="宋体" w:hAnsi="宋体" w:cs="仿宋"/>
                <w:sz w:val="24"/>
                <w:szCs w:val="24"/>
                <w:highlight w:val="none"/>
                <w:lang w:val="en-US" w:eastAsia="zh-CN"/>
              </w:rPr>
              <w:t>投标无效。</w:t>
            </w:r>
          </w:p>
          <w:p>
            <w:pPr>
              <w:pStyle w:val="6"/>
              <w:pageBreakBefore w:val="0"/>
              <w:widowControl w:val="0"/>
              <w:kinsoku/>
              <w:wordWrap/>
              <w:overflowPunct/>
              <w:topLinePunct w:val="0"/>
              <w:autoSpaceDE/>
              <w:autoSpaceDN/>
              <w:bidi w:val="0"/>
              <w:adjustRightInd/>
              <w:snapToGrid/>
              <w:spacing w:line="400" w:lineRule="exact"/>
              <w:textAlignment w:val="auto"/>
              <w:outlineLvl w:val="3"/>
              <w:rPr>
                <w:rFonts w:hint="eastAsia" w:ascii="宋体" w:hAnsi="宋体" w:eastAsia="宋体" w:cs="仿宋"/>
                <w:b w:val="0"/>
                <w:bCs w:val="0"/>
                <w:kern w:val="2"/>
                <w:sz w:val="24"/>
                <w:szCs w:val="24"/>
                <w:highlight w:val="none"/>
                <w:lang w:val="en-US" w:eastAsia="zh-CN" w:bidi="ar-SA"/>
              </w:rPr>
            </w:pPr>
            <w:r>
              <w:rPr>
                <w:rFonts w:hint="eastAsia" w:ascii="宋体" w:hAnsi="宋体" w:eastAsia="宋体" w:cs="仿宋"/>
                <w:b w:val="0"/>
                <w:bCs w:val="0"/>
                <w:kern w:val="2"/>
                <w:sz w:val="24"/>
                <w:szCs w:val="24"/>
                <w:highlight w:val="none"/>
                <w:lang w:val="en-US" w:eastAsia="zh-CN" w:bidi="ar-SA"/>
              </w:rPr>
              <w:t>5、投标人对开标过程和评标结果有异议的，可将异议内容以书面形式提出并加盖单位公章后扫描上传至本项目不见面开标大厅“开标异议文字提问”栏中。</w:t>
            </w:r>
          </w:p>
          <w:p>
            <w:pPr>
              <w:pageBreakBefore w:val="0"/>
              <w:widowControl w:val="0"/>
              <w:kinsoku/>
              <w:wordWrap/>
              <w:overflowPunct/>
              <w:topLinePunct w:val="0"/>
              <w:autoSpaceDE/>
              <w:autoSpaceDN/>
              <w:bidi w:val="0"/>
              <w:adjustRightInd/>
              <w:snapToGrid/>
              <w:spacing w:line="400" w:lineRule="exact"/>
              <w:ind w:left="1"/>
              <w:textAlignment w:val="auto"/>
              <w:rPr>
                <w:rFonts w:hint="eastAsia" w:ascii="宋体" w:hAnsi="宋体" w:eastAsia="宋体" w:cs="仿宋"/>
                <w:b w:val="0"/>
                <w:bCs w:val="0"/>
                <w:kern w:val="2"/>
                <w:sz w:val="24"/>
                <w:szCs w:val="24"/>
                <w:highlight w:val="none"/>
                <w:lang w:val="en-US" w:eastAsia="zh-CN" w:bidi="ar-SA"/>
              </w:rPr>
            </w:pPr>
            <w:r>
              <w:rPr>
                <w:rFonts w:hint="eastAsia" w:ascii="宋体" w:hAnsi="宋体" w:cs="仿宋"/>
                <w:b w:val="0"/>
                <w:bCs w:val="0"/>
                <w:kern w:val="2"/>
                <w:sz w:val="24"/>
                <w:szCs w:val="24"/>
                <w:highlight w:val="none"/>
                <w:lang w:val="en-US" w:eastAsia="zh-CN" w:bidi="ar-SA"/>
              </w:rPr>
              <w:t>6</w:t>
            </w:r>
            <w:r>
              <w:rPr>
                <w:rFonts w:hint="eastAsia" w:ascii="宋体" w:hAnsi="宋体" w:eastAsia="宋体" w:cs="仿宋"/>
                <w:b w:val="0"/>
                <w:bCs w:val="0"/>
                <w:kern w:val="2"/>
                <w:sz w:val="24"/>
                <w:szCs w:val="24"/>
                <w:highlight w:val="none"/>
                <w:lang w:val="en-US" w:eastAsia="zh-CN" w:bidi="ar-SA"/>
              </w:rPr>
              <w:t>、意外情况的处理：</w:t>
            </w:r>
          </w:p>
          <w:p>
            <w:pPr>
              <w:spacing w:line="360" w:lineRule="auto"/>
              <w:ind w:left="1" w:firstLine="480" w:firstLineChars="200"/>
              <w:rPr>
                <w:rFonts w:hint="eastAsia" w:ascii="宋体" w:hAnsi="宋体" w:eastAsia="宋体" w:cs="仿宋"/>
                <w:sz w:val="24"/>
                <w:szCs w:val="24"/>
                <w:highlight w:val="none"/>
                <w:lang w:val="en-US" w:eastAsia="zh-CN"/>
              </w:rPr>
            </w:pPr>
            <w:r>
              <w:rPr>
                <w:rFonts w:hint="eastAsia" w:ascii="宋体" w:hAnsi="宋体" w:eastAsia="宋体" w:cs="仿宋"/>
                <w:sz w:val="24"/>
                <w:szCs w:val="24"/>
                <w:highlight w:val="none"/>
                <w:lang w:val="en-US" w:eastAsia="zh-CN"/>
              </w:rPr>
              <w:t>开标场所出现下列情形导致系统无法正常运行，或者无法保证交易过程的公平、公正和信息安全时，招标人、招标代理机构、交易中心免责：</w:t>
            </w:r>
          </w:p>
          <w:p>
            <w:pPr>
              <w:spacing w:line="360" w:lineRule="auto"/>
              <w:ind w:left="1"/>
              <w:rPr>
                <w:rFonts w:hint="eastAsia" w:ascii="宋体" w:hAnsi="宋体" w:eastAsia="宋体" w:cs="仿宋"/>
                <w:sz w:val="24"/>
                <w:szCs w:val="24"/>
                <w:highlight w:val="none"/>
                <w:lang w:val="en-US" w:eastAsia="zh-CN"/>
              </w:rPr>
            </w:pPr>
            <w:r>
              <w:rPr>
                <w:rFonts w:hint="eastAsia" w:ascii="宋体" w:hAnsi="宋体" w:eastAsia="宋体" w:cs="仿宋"/>
                <w:sz w:val="24"/>
                <w:szCs w:val="24"/>
                <w:highlight w:val="none"/>
                <w:lang w:val="en-US" w:eastAsia="zh-CN"/>
              </w:rPr>
              <w:t>①所涉开标项目电子服务、交易系统服务器发生故障而无法访问网站或无法使用系统；</w:t>
            </w:r>
          </w:p>
          <w:p>
            <w:pPr>
              <w:spacing w:line="360" w:lineRule="auto"/>
              <w:ind w:left="1"/>
              <w:rPr>
                <w:rFonts w:hint="eastAsia" w:ascii="宋体" w:hAnsi="宋体" w:eastAsia="宋体" w:cs="仿宋"/>
                <w:sz w:val="24"/>
                <w:szCs w:val="24"/>
                <w:highlight w:val="none"/>
                <w:lang w:val="en-US" w:eastAsia="zh-CN"/>
              </w:rPr>
            </w:pPr>
            <w:r>
              <w:rPr>
                <w:rFonts w:hint="eastAsia" w:ascii="宋体" w:hAnsi="宋体" w:eastAsia="宋体" w:cs="仿宋"/>
                <w:sz w:val="24"/>
                <w:szCs w:val="24"/>
                <w:highlight w:val="none"/>
                <w:lang w:val="en-US" w:eastAsia="zh-CN"/>
              </w:rPr>
              <w:t>②所涉开标项目电子服务、交易系统的软件或网络数据库出现错误，不能进行操作；</w:t>
            </w:r>
          </w:p>
          <w:p>
            <w:pPr>
              <w:spacing w:line="360" w:lineRule="auto"/>
              <w:ind w:left="1"/>
              <w:rPr>
                <w:rFonts w:hint="eastAsia" w:ascii="宋体" w:hAnsi="宋体" w:eastAsia="宋体" w:cs="仿宋"/>
                <w:sz w:val="24"/>
                <w:szCs w:val="24"/>
                <w:highlight w:val="none"/>
                <w:lang w:val="en-US" w:eastAsia="zh-CN"/>
              </w:rPr>
            </w:pPr>
            <w:r>
              <w:rPr>
                <w:rFonts w:hint="eastAsia" w:ascii="宋体" w:hAnsi="宋体" w:eastAsia="宋体" w:cs="仿宋"/>
                <w:sz w:val="24"/>
                <w:szCs w:val="24"/>
                <w:highlight w:val="none"/>
                <w:lang w:val="en-US" w:eastAsia="zh-CN"/>
              </w:rPr>
              <w:t>③系统存在安全漏洞，有潜在的涉密危险；</w:t>
            </w:r>
          </w:p>
          <w:p>
            <w:pPr>
              <w:spacing w:line="360" w:lineRule="auto"/>
              <w:ind w:left="1"/>
              <w:rPr>
                <w:rFonts w:hint="eastAsia" w:ascii="宋体" w:hAnsi="宋体" w:eastAsia="宋体" w:cs="仿宋"/>
                <w:sz w:val="24"/>
                <w:szCs w:val="24"/>
                <w:highlight w:val="none"/>
                <w:lang w:val="en-US" w:eastAsia="zh-CN"/>
              </w:rPr>
            </w:pPr>
            <w:r>
              <w:rPr>
                <w:rFonts w:hint="eastAsia" w:ascii="宋体" w:hAnsi="宋体" w:eastAsia="宋体" w:cs="仿宋"/>
                <w:sz w:val="24"/>
                <w:szCs w:val="24"/>
                <w:highlight w:val="none"/>
                <w:lang w:val="en-US" w:eastAsia="zh-CN"/>
              </w:rPr>
              <w:t>④运行服务器病毒发作导致系统无法正常运行的；</w:t>
            </w:r>
          </w:p>
          <w:p>
            <w:pPr>
              <w:spacing w:line="360" w:lineRule="auto"/>
              <w:ind w:left="1"/>
              <w:rPr>
                <w:rFonts w:hint="eastAsia" w:ascii="宋体" w:hAnsi="宋体" w:eastAsia="宋体" w:cs="仿宋"/>
                <w:sz w:val="24"/>
                <w:szCs w:val="24"/>
                <w:highlight w:val="none"/>
                <w:lang w:val="en-US" w:eastAsia="zh-CN"/>
              </w:rPr>
            </w:pPr>
            <w:r>
              <w:rPr>
                <w:rFonts w:hint="eastAsia" w:ascii="宋体" w:hAnsi="宋体" w:eastAsia="宋体" w:cs="仿宋"/>
                <w:sz w:val="24"/>
                <w:szCs w:val="24"/>
                <w:highlight w:val="none"/>
                <w:lang w:val="en-US" w:eastAsia="zh-CN"/>
              </w:rPr>
              <w:t>⑤电力系统发生故障导致交易系统无法运行的；</w:t>
            </w:r>
          </w:p>
          <w:p>
            <w:pPr>
              <w:spacing w:line="360" w:lineRule="auto"/>
              <w:ind w:left="1"/>
              <w:rPr>
                <w:rFonts w:hint="eastAsia" w:ascii="宋体" w:hAnsi="宋体" w:eastAsia="宋体" w:cs="仿宋"/>
                <w:sz w:val="24"/>
                <w:szCs w:val="24"/>
                <w:highlight w:val="none"/>
                <w:lang w:val="en-US" w:eastAsia="zh-CN"/>
              </w:rPr>
            </w:pPr>
            <w:r>
              <w:rPr>
                <w:rFonts w:hint="eastAsia" w:ascii="宋体" w:hAnsi="宋体" w:eastAsia="宋体" w:cs="仿宋"/>
                <w:sz w:val="24"/>
                <w:szCs w:val="24"/>
                <w:highlight w:val="none"/>
                <w:lang w:val="en-US" w:eastAsia="zh-CN"/>
              </w:rPr>
              <w:t>⑥其他不可抗力（地震、洪水等）原因导致开标活动无法正常进行的。</w:t>
            </w:r>
          </w:p>
          <w:p>
            <w:pPr>
              <w:spacing w:line="360" w:lineRule="auto"/>
              <w:ind w:firstLine="480" w:firstLineChars="200"/>
              <w:rPr>
                <w:rFonts w:hint="eastAsia" w:ascii="宋体" w:hAnsi="宋体" w:eastAsia="宋体" w:cs="仿宋"/>
                <w:sz w:val="24"/>
                <w:szCs w:val="24"/>
                <w:highlight w:val="none"/>
                <w:lang w:val="en-US" w:eastAsia="zh-CN"/>
              </w:rPr>
            </w:pPr>
            <w:r>
              <w:rPr>
                <w:rFonts w:hint="eastAsia" w:ascii="宋体" w:hAnsi="宋体" w:eastAsia="宋体" w:cs="仿宋"/>
                <w:sz w:val="24"/>
                <w:szCs w:val="24"/>
                <w:highlight w:val="none"/>
                <w:lang w:val="en-US" w:eastAsia="zh-CN"/>
              </w:rPr>
              <w:t>出现上述所列情形，不能及时解决的，应由项目招标人监管部门和交易中心及时进行协商。可以采取以下办法处理：</w:t>
            </w:r>
          </w:p>
          <w:p>
            <w:pPr>
              <w:spacing w:line="360" w:lineRule="auto"/>
              <w:ind w:left="1"/>
              <w:rPr>
                <w:rFonts w:hint="eastAsia" w:ascii="宋体" w:hAnsi="宋体" w:eastAsia="宋体" w:cs="仿宋"/>
                <w:sz w:val="24"/>
                <w:szCs w:val="24"/>
                <w:highlight w:val="none"/>
                <w:lang w:val="en-US" w:eastAsia="zh-CN"/>
              </w:rPr>
            </w:pPr>
            <w:r>
              <w:rPr>
                <w:rFonts w:hint="eastAsia" w:ascii="宋体" w:hAnsi="宋体" w:eastAsia="宋体" w:cs="仿宋"/>
                <w:sz w:val="24"/>
                <w:szCs w:val="24"/>
                <w:highlight w:val="none"/>
                <w:lang w:val="en-US" w:eastAsia="zh-CN"/>
              </w:rPr>
              <w:t>（一）系统或网络故障在三小时内能排除的，项目不暂停开标，三小时内系统恢复运行后继续实施开标。</w:t>
            </w:r>
          </w:p>
          <w:p>
            <w:pPr>
              <w:keepNext w:val="0"/>
              <w:keepLines w:val="0"/>
              <w:pageBreakBefore w:val="0"/>
              <w:widowControl w:val="0"/>
              <w:kinsoku/>
              <w:wordWrap/>
              <w:overflowPunct/>
              <w:topLinePunct w:val="0"/>
              <w:autoSpaceDE/>
              <w:autoSpaceDN/>
              <w:bidi w:val="0"/>
              <w:adjustRightInd/>
              <w:snapToGrid/>
              <w:spacing w:line="500" w:lineRule="exact"/>
              <w:ind w:left="567" w:hanging="567"/>
              <w:textAlignment w:val="auto"/>
              <w:rPr>
                <w:rFonts w:hint="eastAsia" w:ascii="宋体" w:hAnsi="宋体" w:cs="宋体"/>
                <w:sz w:val="24"/>
                <w:szCs w:val="24"/>
                <w:highlight w:val="none"/>
              </w:rPr>
            </w:pPr>
            <w:r>
              <w:rPr>
                <w:rFonts w:hint="eastAsia" w:ascii="宋体" w:hAnsi="宋体" w:eastAsia="宋体" w:cs="仿宋"/>
                <w:sz w:val="24"/>
                <w:szCs w:val="24"/>
                <w:highlight w:val="none"/>
                <w:lang w:val="en-US" w:eastAsia="zh-CN"/>
              </w:rPr>
              <w:t>（二）系统或网络故障</w:t>
            </w:r>
            <w:r>
              <w:rPr>
                <w:rFonts w:hint="eastAsia" w:ascii="宋体" w:hAnsi="宋体" w:cs="仿宋"/>
                <w:sz w:val="24"/>
                <w:szCs w:val="24"/>
                <w:highlight w:val="none"/>
                <w:lang w:val="en-US" w:eastAsia="zh-CN"/>
              </w:rPr>
              <w:t>如</w:t>
            </w:r>
            <w:r>
              <w:rPr>
                <w:rFonts w:hint="eastAsia" w:ascii="宋体" w:hAnsi="宋体" w:cs="宋体"/>
                <w:sz w:val="24"/>
                <w:szCs w:val="24"/>
                <w:highlight w:val="none"/>
              </w:rPr>
              <w:t>无法排除的，采购活动终止，重新组织采购活动。</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sz w:val="24"/>
                <w:szCs w:val="24"/>
              </w:rPr>
            </w:pPr>
            <w:r>
              <w:rPr>
                <w:rFonts w:hint="eastAsia" w:ascii="宋体" w:hAnsi="宋体" w:cs="仿宋"/>
                <w:sz w:val="24"/>
                <w:szCs w:val="24"/>
                <w:highlight w:val="none"/>
                <w:lang w:val="en-US" w:eastAsia="zh-CN"/>
              </w:rPr>
              <w:t>7</w:t>
            </w:r>
            <w:r>
              <w:rPr>
                <w:rFonts w:hint="eastAsia" w:ascii="宋体" w:hAnsi="宋体" w:eastAsia="宋体" w:cs="仿宋"/>
                <w:sz w:val="24"/>
                <w:szCs w:val="24"/>
                <w:highlight w:val="none"/>
                <w:lang w:val="en-US" w:eastAsia="zh-CN"/>
              </w:rPr>
              <w:t>、投标</w:t>
            </w:r>
            <w:r>
              <w:rPr>
                <w:rFonts w:hint="eastAsia" w:ascii="宋体" w:hAnsi="宋体" w:cs="仿宋"/>
                <w:sz w:val="24"/>
                <w:szCs w:val="24"/>
                <w:highlight w:val="none"/>
                <w:lang w:val="en-US" w:eastAsia="zh-CN"/>
              </w:rPr>
              <w:t>人</w:t>
            </w:r>
            <w:r>
              <w:rPr>
                <w:rFonts w:hint="eastAsia" w:ascii="宋体" w:hAnsi="宋体" w:eastAsia="宋体" w:cs="仿宋"/>
                <w:sz w:val="24"/>
                <w:szCs w:val="24"/>
                <w:highlight w:val="none"/>
                <w:lang w:val="en-US" w:eastAsia="zh-CN"/>
              </w:rPr>
              <w:t>应仔细阅读江西省公共资源交易网（ https://www.jxsggzy.cn/web/ ）有关不见面开标的内容，如有疑问请联系新点工作人员，联系电话：400-998-0000。</w:t>
            </w:r>
          </w:p>
        </w:tc>
      </w:tr>
    </w:tbl>
    <w:p>
      <w:pPr>
        <w:spacing w:line="360" w:lineRule="auto"/>
        <w:rPr>
          <w:rFonts w:cs="仿宋" w:asciiTheme="minorEastAsia" w:hAnsiTheme="minorEastAsia" w:eastAsiaTheme="minorEastAsia"/>
          <w:color w:val="auto"/>
          <w:sz w:val="24"/>
          <w:szCs w:val="24"/>
          <w:highlight w:val="none"/>
        </w:rPr>
      </w:pPr>
    </w:p>
    <w:p>
      <w:pPr>
        <w:spacing w:line="360" w:lineRule="auto"/>
        <w:rPr>
          <w:rFonts w:cs="仿宋" w:asciiTheme="minorEastAsia" w:hAnsiTheme="minorEastAsia" w:eastAsiaTheme="minorEastAsia"/>
          <w:vanish/>
          <w:color w:val="auto"/>
          <w:sz w:val="24"/>
          <w:szCs w:val="24"/>
          <w:highlight w:val="none"/>
        </w:rPr>
      </w:pPr>
      <w:r>
        <w:rPr>
          <w:rFonts w:hint="eastAsia" w:cs="仿宋" w:asciiTheme="minorEastAsia" w:hAnsiTheme="minorEastAsia" w:eastAsiaTheme="minorEastAsia"/>
          <w:color w:val="auto"/>
          <w:sz w:val="24"/>
          <w:szCs w:val="24"/>
          <w:highlight w:val="none"/>
        </w:rPr>
        <w:br w:type="page"/>
      </w:r>
    </w:p>
    <w:p>
      <w:pPr>
        <w:pStyle w:val="4"/>
        <w:spacing w:before="0" w:after="0" w:line="320" w:lineRule="exact"/>
        <w:rPr>
          <w:rFonts w:cs="仿宋" w:asciiTheme="minorEastAsia" w:hAnsiTheme="minorEastAsia" w:eastAsiaTheme="minorEastAsia"/>
          <w:color w:val="auto"/>
          <w:sz w:val="24"/>
          <w:szCs w:val="24"/>
          <w:highlight w:val="none"/>
        </w:rPr>
      </w:pPr>
    </w:p>
    <w:p>
      <w:pPr>
        <w:pStyle w:val="4"/>
        <w:spacing w:before="0" w:after="0" w:line="320" w:lineRule="exact"/>
        <w:jc w:val="center"/>
        <w:rPr>
          <w:rFonts w:cs="仿宋" w:asciiTheme="minorEastAsia" w:hAnsiTheme="minorEastAsia" w:eastAsiaTheme="minorEastAsia"/>
          <w:color w:val="auto"/>
          <w:sz w:val="28"/>
          <w:szCs w:val="28"/>
          <w:highlight w:val="none"/>
        </w:rPr>
      </w:pPr>
      <w:bookmarkStart w:id="39" w:name="_Toc25817"/>
      <w:r>
        <w:rPr>
          <w:rFonts w:hint="eastAsia" w:cs="仿宋" w:asciiTheme="minorEastAsia" w:hAnsiTheme="minorEastAsia" w:eastAsiaTheme="minorEastAsia"/>
          <w:color w:val="auto"/>
          <w:sz w:val="28"/>
          <w:szCs w:val="28"/>
          <w:highlight w:val="none"/>
        </w:rPr>
        <w:t>二、招  标</w:t>
      </w:r>
      <w:bookmarkEnd w:id="39"/>
    </w:p>
    <w:p>
      <w:pPr>
        <w:pStyle w:val="6"/>
        <w:spacing w:after="0"/>
        <w:outlineLvl w:val="3"/>
        <w:rPr>
          <w:rFonts w:cs="仿宋" w:asciiTheme="minorEastAsia" w:hAnsiTheme="minorEastAsia" w:eastAsiaTheme="minorEastAsia"/>
          <w:color w:val="auto"/>
          <w:sz w:val="24"/>
          <w:szCs w:val="24"/>
          <w:highlight w:val="none"/>
        </w:rPr>
      </w:pPr>
      <w:bookmarkStart w:id="40" w:name="_Toc286758305"/>
      <w:r>
        <w:rPr>
          <w:rFonts w:hint="eastAsia" w:cs="仿宋" w:asciiTheme="minorEastAsia" w:hAnsiTheme="minorEastAsia" w:eastAsiaTheme="minorEastAsia"/>
          <w:color w:val="auto"/>
          <w:sz w:val="24"/>
          <w:szCs w:val="24"/>
          <w:highlight w:val="none"/>
        </w:rPr>
        <w:t>1. 适用范围</w:t>
      </w:r>
      <w:bookmarkEnd w:id="40"/>
    </w:p>
    <w:p>
      <w:pPr>
        <w:spacing w:line="46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1.1 本招标文件仅适用于本“投标邀请”中所述货物和附属售后服务的采购。</w:t>
      </w:r>
    </w:p>
    <w:p>
      <w:pPr>
        <w:pStyle w:val="6"/>
        <w:spacing w:after="0"/>
        <w:outlineLvl w:val="3"/>
        <w:rPr>
          <w:rFonts w:cs="仿宋" w:asciiTheme="minorEastAsia" w:hAnsiTheme="minorEastAsia" w:eastAsiaTheme="minorEastAsia"/>
          <w:color w:val="auto"/>
          <w:sz w:val="24"/>
          <w:szCs w:val="24"/>
          <w:highlight w:val="none"/>
        </w:rPr>
      </w:pPr>
      <w:bookmarkStart w:id="41" w:name="_Toc286758306"/>
      <w:r>
        <w:rPr>
          <w:rFonts w:hint="eastAsia" w:cs="仿宋" w:asciiTheme="minorEastAsia" w:hAnsiTheme="minorEastAsia" w:eastAsiaTheme="minorEastAsia"/>
          <w:color w:val="auto"/>
          <w:sz w:val="24"/>
          <w:szCs w:val="24"/>
          <w:highlight w:val="none"/>
        </w:rPr>
        <w:t>2. 定义</w:t>
      </w:r>
      <w:bookmarkEnd w:id="41"/>
    </w:p>
    <w:p>
      <w:pPr>
        <w:spacing w:line="460" w:lineRule="exact"/>
        <w:ind w:left="510" w:hanging="51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2.1采购人：详见“投标人须知前附表”。</w:t>
      </w:r>
    </w:p>
    <w:p>
      <w:pPr>
        <w:spacing w:line="460" w:lineRule="exact"/>
        <w:ind w:left="510" w:hanging="51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2.2采购代理机构：江西省机电设备招标有限公司。</w:t>
      </w:r>
    </w:p>
    <w:p>
      <w:pPr>
        <w:spacing w:line="460" w:lineRule="exact"/>
        <w:ind w:left="510" w:hanging="510"/>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sz w:val="24"/>
          <w:szCs w:val="24"/>
          <w:highlight w:val="none"/>
        </w:rPr>
        <w:t>2.3投标人：是指响应招标、参加投标竞争的法人、其他组织或者自然人。</w:t>
      </w:r>
    </w:p>
    <w:p>
      <w:pPr>
        <w:pStyle w:val="6"/>
        <w:spacing w:after="0"/>
        <w:outlineLvl w:val="3"/>
        <w:rPr>
          <w:rFonts w:cs="仿宋" w:asciiTheme="minorEastAsia" w:hAnsiTheme="minorEastAsia" w:eastAsiaTheme="minorEastAsia"/>
          <w:color w:val="auto"/>
          <w:sz w:val="24"/>
          <w:szCs w:val="24"/>
          <w:highlight w:val="none"/>
        </w:rPr>
      </w:pPr>
      <w:bookmarkStart w:id="42" w:name="_Toc286758307"/>
      <w:bookmarkStart w:id="43" w:name="_Toc286758308"/>
      <w:r>
        <w:rPr>
          <w:rFonts w:hint="eastAsia" w:cs="仿宋" w:asciiTheme="minorEastAsia" w:hAnsiTheme="minorEastAsia" w:eastAsiaTheme="minorEastAsia"/>
          <w:color w:val="auto"/>
          <w:sz w:val="24"/>
          <w:szCs w:val="24"/>
          <w:highlight w:val="none"/>
        </w:rPr>
        <w:t>3. 合格投标人</w:t>
      </w:r>
      <w:bookmarkEnd w:id="42"/>
    </w:p>
    <w:p>
      <w:pPr>
        <w:spacing w:line="46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3.1投标人的资格条件： 详见“第一章 投标邀请”。</w:t>
      </w:r>
    </w:p>
    <w:p>
      <w:pPr>
        <w:spacing w:line="440" w:lineRule="exact"/>
        <w:ind w:left="480" w:hanging="480" w:hanging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3.2联合体投标</w:t>
      </w:r>
    </w:p>
    <w:p>
      <w:pPr>
        <w:spacing w:line="44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3.2.1是否接受联合体投标：详见“投标人须知前附表”。</w:t>
      </w:r>
    </w:p>
    <w:p>
      <w:pPr>
        <w:spacing w:line="440" w:lineRule="exact"/>
        <w:ind w:left="480" w:hanging="480" w:hangingChars="200"/>
        <w:rPr>
          <w:rFonts w:hint="eastAsia" w:cs="仿宋" w:asciiTheme="minorEastAsia" w:hAnsiTheme="minorEastAsia" w:eastAsiaTheme="minorEastAsia"/>
          <w:b/>
          <w:i/>
          <w:color w:val="auto"/>
          <w:sz w:val="24"/>
          <w:szCs w:val="24"/>
          <w:highlight w:val="none"/>
        </w:rPr>
      </w:pPr>
      <w:r>
        <w:rPr>
          <w:rFonts w:hint="eastAsia" w:cs="仿宋" w:asciiTheme="minorEastAsia" w:hAnsiTheme="minorEastAsia" w:eastAsiaTheme="minorEastAsia"/>
          <w:color w:val="auto"/>
          <w:sz w:val="24"/>
          <w:szCs w:val="24"/>
          <w:highlight w:val="none"/>
        </w:rPr>
        <w:t>3.2.2两个以上的自然人、法人或者其他组织可以组成一个联合体，以一个投标人的身份共同参加政府采购。</w:t>
      </w:r>
      <w:r>
        <w:rPr>
          <w:rFonts w:hint="eastAsia" w:ascii="宋体" w:hAnsi="宋体" w:eastAsia="宋体" w:cs="宋体"/>
          <w:color w:val="auto"/>
          <w:sz w:val="24"/>
          <w:szCs w:val="24"/>
          <w:highlight w:val="none"/>
        </w:rPr>
        <w:t>以联合体形式进行政府采购的，</w:t>
      </w:r>
      <w:r>
        <w:rPr>
          <w:rFonts w:hint="eastAsia" w:ascii="宋体" w:hAnsi="宋体" w:eastAsia="宋体" w:cs="宋体"/>
          <w:color w:val="auto"/>
          <w:sz w:val="24"/>
          <w:szCs w:val="24"/>
          <w:highlight w:val="none"/>
          <w:lang w:val="en-US" w:eastAsia="zh-CN"/>
        </w:rPr>
        <w:t>参加联合体的供应商均应当具备</w:t>
      </w:r>
      <w:r>
        <w:rPr>
          <w:rFonts w:hint="eastAsia" w:ascii="宋体" w:hAnsi="宋体" w:cs="宋体"/>
          <w:color w:val="auto"/>
          <w:sz w:val="24"/>
          <w:szCs w:val="24"/>
          <w:highlight w:val="none"/>
          <w:lang w:val="en-US" w:eastAsia="zh-CN"/>
        </w:rPr>
        <w:t>申请人的资格</w:t>
      </w:r>
      <w:r>
        <w:rPr>
          <w:rFonts w:hint="eastAsia" w:ascii="宋体" w:hAnsi="宋体" w:eastAsia="宋体" w:cs="宋体"/>
          <w:color w:val="auto"/>
          <w:sz w:val="24"/>
          <w:szCs w:val="24"/>
          <w:highlight w:val="none"/>
          <w:lang w:val="en-US" w:eastAsia="zh-CN"/>
        </w:rPr>
        <w:t>条件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并应当提交联合协议，载明联合体各方承担的工作和义务。联合体各方应当共同与采购人签订采购合同，就采购合同约定的事项对采购人承担连带责任。否则，将导致其</w:t>
      </w:r>
      <w:r>
        <w:rPr>
          <w:rFonts w:hint="eastAsia" w:ascii="宋体" w:hAnsi="宋体" w:eastAsia="宋体" w:cs="宋体"/>
          <w:b/>
          <w:color w:val="auto"/>
          <w:sz w:val="24"/>
          <w:szCs w:val="24"/>
          <w:highlight w:val="none"/>
        </w:rPr>
        <w:t>投标无效。</w:t>
      </w:r>
      <w:r>
        <w:rPr>
          <w:rFonts w:hint="eastAsia" w:ascii="宋体" w:hAnsi="宋体" w:eastAsia="宋体" w:cs="宋体"/>
          <w:b/>
          <w:i/>
          <w:color w:val="auto"/>
          <w:sz w:val="24"/>
          <w:szCs w:val="24"/>
          <w:highlight w:val="none"/>
        </w:rPr>
        <w:t>（适用于联合体投标）</w:t>
      </w:r>
    </w:p>
    <w:p>
      <w:pPr>
        <w:spacing w:line="460" w:lineRule="exact"/>
        <w:ind w:left="480" w:hanging="480" w:hanging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3.2.3联合体各方均应当满足相应的资格条件，项目</w:t>
      </w:r>
      <w:r>
        <w:rPr>
          <w:rFonts w:hint="eastAsia" w:cs="仿宋" w:asciiTheme="minorEastAsia" w:hAnsiTheme="minorEastAsia" w:eastAsiaTheme="minorEastAsia"/>
          <w:color w:val="auto"/>
          <w:sz w:val="24"/>
          <w:szCs w:val="24"/>
          <w:highlight w:val="none"/>
          <w:lang w:val="en-US" w:eastAsia="zh-CN"/>
        </w:rPr>
        <w:t>中</w:t>
      </w:r>
      <w:r>
        <w:rPr>
          <w:rFonts w:hint="eastAsia" w:cs="仿宋" w:asciiTheme="minorEastAsia" w:hAnsiTheme="minorEastAsia" w:eastAsiaTheme="minorEastAsia"/>
          <w:color w:val="auto"/>
          <w:sz w:val="24"/>
          <w:szCs w:val="24"/>
          <w:highlight w:val="none"/>
        </w:rPr>
        <w:t>有</w:t>
      </w:r>
      <w:r>
        <w:rPr>
          <w:rFonts w:hint="eastAsia" w:cs="仿宋" w:asciiTheme="minorEastAsia" w:hAnsiTheme="minorEastAsia" w:eastAsiaTheme="minorEastAsia"/>
          <w:color w:val="auto"/>
          <w:sz w:val="24"/>
          <w:szCs w:val="24"/>
          <w:highlight w:val="none"/>
          <w:lang w:val="en-US" w:eastAsia="zh-CN"/>
        </w:rPr>
        <w:t>特定</w:t>
      </w:r>
      <w:r>
        <w:rPr>
          <w:rFonts w:hint="eastAsia" w:cs="仿宋" w:asciiTheme="minorEastAsia" w:hAnsiTheme="minorEastAsia" w:eastAsiaTheme="minorEastAsia"/>
          <w:color w:val="auto"/>
          <w:sz w:val="24"/>
          <w:szCs w:val="24"/>
          <w:highlight w:val="none"/>
        </w:rPr>
        <w:t>资质要求</w:t>
      </w:r>
      <w:r>
        <w:rPr>
          <w:rFonts w:hint="eastAsia" w:cs="仿宋" w:asciiTheme="minorEastAsia" w:hAnsiTheme="minorEastAsia" w:eastAsiaTheme="minorEastAsia"/>
          <w:color w:val="auto"/>
          <w:sz w:val="24"/>
          <w:szCs w:val="24"/>
          <w:highlight w:val="none"/>
          <w:lang w:val="en-US" w:eastAsia="zh-CN"/>
        </w:rPr>
        <w:t>的</w:t>
      </w:r>
      <w:r>
        <w:rPr>
          <w:rFonts w:hint="eastAsia" w:cs="仿宋" w:asciiTheme="minorEastAsia" w:hAnsiTheme="minorEastAsia" w:eastAsiaTheme="minorEastAsia"/>
          <w:color w:val="auto"/>
          <w:sz w:val="24"/>
          <w:szCs w:val="24"/>
          <w:highlight w:val="none"/>
        </w:rPr>
        <w:t>，联合体</w:t>
      </w:r>
      <w:r>
        <w:rPr>
          <w:rFonts w:hint="eastAsia" w:cs="仿宋" w:asciiTheme="minorEastAsia" w:hAnsiTheme="minorEastAsia" w:eastAsiaTheme="minorEastAsia"/>
          <w:color w:val="auto"/>
          <w:sz w:val="24"/>
          <w:szCs w:val="24"/>
          <w:highlight w:val="none"/>
          <w:lang w:val="en-US" w:eastAsia="zh-CN"/>
        </w:rPr>
        <w:t>当</w:t>
      </w:r>
      <w:r>
        <w:rPr>
          <w:rFonts w:hint="eastAsia" w:cs="仿宋" w:asciiTheme="minorEastAsia" w:hAnsiTheme="minorEastAsia" w:eastAsiaTheme="minorEastAsia"/>
          <w:color w:val="auto"/>
          <w:sz w:val="24"/>
          <w:szCs w:val="24"/>
          <w:highlight w:val="none"/>
        </w:rPr>
        <w:t>中</w:t>
      </w:r>
      <w:r>
        <w:rPr>
          <w:rFonts w:hint="eastAsia" w:cs="仿宋" w:asciiTheme="minorEastAsia" w:hAnsiTheme="minorEastAsia" w:eastAsiaTheme="minorEastAsia"/>
          <w:color w:val="auto"/>
          <w:sz w:val="24"/>
          <w:szCs w:val="24"/>
          <w:highlight w:val="none"/>
          <w:lang w:val="en-US" w:eastAsia="zh-CN"/>
        </w:rPr>
        <w:t>承担此项</w:t>
      </w:r>
      <w:r>
        <w:rPr>
          <w:rFonts w:hint="eastAsia" w:cs="仿宋" w:asciiTheme="minorEastAsia" w:hAnsiTheme="minorEastAsia" w:eastAsiaTheme="minorEastAsia"/>
          <w:color w:val="auto"/>
          <w:sz w:val="24"/>
          <w:szCs w:val="24"/>
          <w:highlight w:val="none"/>
        </w:rPr>
        <w:t>工作的供应商必须具备相应</w:t>
      </w:r>
      <w:r>
        <w:rPr>
          <w:rFonts w:hint="eastAsia" w:cs="仿宋" w:asciiTheme="minorEastAsia" w:hAnsiTheme="minorEastAsia" w:eastAsiaTheme="minorEastAsia"/>
          <w:color w:val="auto"/>
          <w:sz w:val="24"/>
          <w:szCs w:val="24"/>
          <w:highlight w:val="none"/>
          <w:lang w:val="en-US" w:eastAsia="zh-CN"/>
        </w:rPr>
        <w:t>的</w:t>
      </w:r>
      <w:r>
        <w:rPr>
          <w:rFonts w:hint="eastAsia" w:cs="仿宋" w:asciiTheme="minorEastAsia" w:hAnsiTheme="minorEastAsia" w:eastAsiaTheme="minorEastAsia"/>
          <w:color w:val="auto"/>
          <w:sz w:val="24"/>
          <w:szCs w:val="24"/>
          <w:highlight w:val="none"/>
        </w:rPr>
        <w:t>资质。</w:t>
      </w:r>
    </w:p>
    <w:p>
      <w:pPr>
        <w:spacing w:line="460" w:lineRule="exact"/>
        <w:ind w:left="479" w:leftChars="228" w:firstLine="0" w:firstLineChars="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联合体中标后，必须由联合体中具备“相应”资质的供应商承担，否则将承担违约责任，并赔偿因违约给采购人造成的一切损失。</w:t>
      </w:r>
    </w:p>
    <w:p>
      <w:pPr>
        <w:spacing w:line="440" w:lineRule="exact"/>
        <w:ind w:left="480" w:hanging="480" w:hanging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3.2.</w:t>
      </w:r>
      <w:r>
        <w:rPr>
          <w:rFonts w:hint="eastAsia" w:cs="仿宋" w:asciiTheme="minorEastAsia" w:hAnsiTheme="minorEastAsia" w:eastAsiaTheme="minorEastAsia"/>
          <w:color w:val="auto"/>
          <w:sz w:val="24"/>
          <w:szCs w:val="24"/>
          <w:highlight w:val="none"/>
          <w:lang w:val="en-US" w:eastAsia="zh-CN"/>
        </w:rPr>
        <w:t>4</w:t>
      </w:r>
      <w:r>
        <w:rPr>
          <w:rFonts w:hint="eastAsia" w:cs="仿宋" w:asciiTheme="minorEastAsia" w:hAnsiTheme="minorEastAsia" w:eastAsiaTheme="minorEastAsia"/>
          <w:color w:val="auto"/>
          <w:sz w:val="24"/>
          <w:szCs w:val="24"/>
          <w:highlight w:val="none"/>
        </w:rPr>
        <w:t>以联合体参加投标的，联合体中有同类资质的投标人按联合体分工承担相同工作的，应当按照资质等级较低的投标人确定资质等级。</w:t>
      </w:r>
      <w:r>
        <w:rPr>
          <w:rFonts w:hint="eastAsia" w:cs="仿宋" w:asciiTheme="minorEastAsia" w:hAnsiTheme="minorEastAsia" w:eastAsiaTheme="minorEastAsia"/>
          <w:b/>
          <w:i/>
          <w:color w:val="auto"/>
          <w:sz w:val="24"/>
          <w:szCs w:val="24"/>
          <w:highlight w:val="none"/>
        </w:rPr>
        <w:t>（适用于联合体投标）</w:t>
      </w:r>
    </w:p>
    <w:p>
      <w:pPr>
        <w:spacing w:line="440" w:lineRule="exact"/>
        <w:ind w:left="480" w:hanging="480" w:hanging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3.2.</w:t>
      </w:r>
      <w:r>
        <w:rPr>
          <w:rFonts w:hint="eastAsia" w:cs="仿宋" w:asciiTheme="minorEastAsia" w:hAnsiTheme="minorEastAsia" w:eastAsiaTheme="minorEastAsia"/>
          <w:color w:val="auto"/>
          <w:sz w:val="24"/>
          <w:szCs w:val="24"/>
          <w:highlight w:val="none"/>
          <w:lang w:val="en-US" w:eastAsia="zh-CN"/>
        </w:rPr>
        <w:t>5</w:t>
      </w:r>
      <w:r>
        <w:rPr>
          <w:rFonts w:hint="eastAsia" w:cs="仿宋" w:asciiTheme="minorEastAsia" w:hAnsiTheme="minorEastAsia" w:eastAsiaTheme="minorEastAsia"/>
          <w:color w:val="auto"/>
          <w:sz w:val="24"/>
          <w:szCs w:val="24"/>
          <w:highlight w:val="none"/>
        </w:rPr>
        <w:t>联合体各方不得再单独参加或者与其他投标人另外组成联合体参加同一合同项下的政府采购活动。</w:t>
      </w:r>
      <w:r>
        <w:rPr>
          <w:rFonts w:hint="eastAsia" w:cs="仿宋" w:asciiTheme="minorEastAsia" w:hAnsiTheme="minorEastAsia" w:eastAsiaTheme="minorEastAsia"/>
          <w:b/>
          <w:i/>
          <w:color w:val="auto"/>
          <w:sz w:val="24"/>
          <w:szCs w:val="24"/>
          <w:highlight w:val="none"/>
        </w:rPr>
        <w:t>（适用于联合体投标）</w:t>
      </w:r>
    </w:p>
    <w:p>
      <w:pPr>
        <w:pStyle w:val="6"/>
        <w:spacing w:after="0"/>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 投标费用</w:t>
      </w:r>
      <w:bookmarkEnd w:id="43"/>
    </w:p>
    <w:p>
      <w:pPr>
        <w:spacing w:line="460" w:lineRule="exact"/>
        <w:ind w:left="454" w:hanging="454"/>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4.1投标人应自行承担所有与准备和参加投标有关的全部费用。不论投标的结果如何，采购代理机构均无义务和责任承担这些费用。</w:t>
      </w:r>
    </w:p>
    <w:p>
      <w:pPr>
        <w:pStyle w:val="6"/>
        <w:spacing w:after="0"/>
        <w:outlineLvl w:val="3"/>
        <w:rPr>
          <w:rFonts w:cs="仿宋" w:asciiTheme="minorEastAsia" w:hAnsiTheme="minorEastAsia" w:eastAsiaTheme="minorEastAsia"/>
          <w:color w:val="auto"/>
          <w:sz w:val="24"/>
          <w:szCs w:val="24"/>
          <w:highlight w:val="none"/>
        </w:rPr>
      </w:pPr>
      <w:bookmarkStart w:id="44" w:name="_Toc286758309"/>
      <w:r>
        <w:rPr>
          <w:rFonts w:hint="eastAsia" w:cs="仿宋" w:asciiTheme="minorEastAsia" w:hAnsiTheme="minorEastAsia" w:eastAsiaTheme="minorEastAsia"/>
          <w:color w:val="auto"/>
          <w:sz w:val="24"/>
          <w:szCs w:val="24"/>
          <w:highlight w:val="none"/>
        </w:rPr>
        <w:t>5. 投标人代表</w:t>
      </w:r>
      <w:bookmarkEnd w:id="44"/>
    </w:p>
    <w:p>
      <w:pPr>
        <w:spacing w:line="460" w:lineRule="exact"/>
        <w:ind w:left="454" w:hanging="454"/>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5.1指全权代表投标人参加投标活动并签署投标文件的人。如果投标人代表不是法定代表人，须持有《法定代表人授权书》。</w:t>
      </w:r>
    </w:p>
    <w:p>
      <w:pPr>
        <w:pStyle w:val="6"/>
        <w:spacing w:after="0"/>
        <w:outlineLvl w:val="3"/>
        <w:rPr>
          <w:rFonts w:cs="仿宋" w:asciiTheme="minorEastAsia" w:hAnsiTheme="minorEastAsia" w:eastAsiaTheme="minorEastAsia"/>
          <w:color w:val="auto"/>
          <w:sz w:val="24"/>
          <w:szCs w:val="24"/>
          <w:highlight w:val="none"/>
        </w:rPr>
      </w:pPr>
      <w:bookmarkStart w:id="45" w:name="_Toc286758311"/>
      <w:r>
        <w:rPr>
          <w:rFonts w:hint="eastAsia" w:cs="仿宋" w:asciiTheme="minorEastAsia" w:hAnsiTheme="minorEastAsia" w:eastAsiaTheme="minorEastAsia"/>
          <w:color w:val="auto"/>
          <w:sz w:val="24"/>
          <w:szCs w:val="24"/>
          <w:highlight w:val="none"/>
        </w:rPr>
        <w:t>6. 招标文件的构成</w:t>
      </w:r>
      <w:bookmarkEnd w:id="45"/>
    </w:p>
    <w:p>
      <w:pPr>
        <w:spacing w:line="460" w:lineRule="exact"/>
        <w:ind w:left="480" w:hanging="480" w:hanging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6.1 要求提供的货物和附属服务、招标过程和合同条款在招标文件中均有说明。招标文件共六章，各章的内容如下：</w:t>
      </w:r>
    </w:p>
    <w:p>
      <w:pPr>
        <w:spacing w:line="460" w:lineRule="exact"/>
        <w:ind w:left="48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第一章 投标邀请</w:t>
      </w:r>
    </w:p>
    <w:p>
      <w:pPr>
        <w:tabs>
          <w:tab w:val="left" w:pos="480"/>
          <w:tab w:val="left" w:pos="1380"/>
        </w:tabs>
        <w:spacing w:line="460" w:lineRule="exact"/>
        <w:ind w:left="48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第二章 投标人须知</w:t>
      </w:r>
    </w:p>
    <w:p>
      <w:pPr>
        <w:tabs>
          <w:tab w:val="left" w:pos="480"/>
          <w:tab w:val="left" w:pos="1380"/>
        </w:tabs>
        <w:spacing w:line="460" w:lineRule="exact"/>
        <w:ind w:left="48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第三章 拟签订的合同文本</w:t>
      </w:r>
    </w:p>
    <w:p>
      <w:pPr>
        <w:tabs>
          <w:tab w:val="left" w:pos="480"/>
          <w:tab w:val="left" w:pos="1380"/>
        </w:tabs>
        <w:spacing w:line="460" w:lineRule="exact"/>
        <w:ind w:left="48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第四章 投标文件格式</w:t>
      </w:r>
    </w:p>
    <w:p>
      <w:pPr>
        <w:spacing w:line="460" w:lineRule="exact"/>
        <w:ind w:left="48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第五章 货物需求表及采购需求</w:t>
      </w:r>
    </w:p>
    <w:p>
      <w:pPr>
        <w:spacing w:line="460" w:lineRule="exact"/>
        <w:ind w:left="48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第六章 评标标准</w:t>
      </w:r>
    </w:p>
    <w:p>
      <w:pPr>
        <w:spacing w:line="460" w:lineRule="exact"/>
        <w:ind w:left="454" w:hanging="454"/>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6.2 除非有特殊要求，招标文件不单独提供招标货物和附属售后服务使用地的自然环境、气候条件、公用设施等情况，投标人被视为熟悉上述与履行合同有关的一切情况。</w:t>
      </w:r>
    </w:p>
    <w:p>
      <w:pPr>
        <w:pStyle w:val="6"/>
        <w:spacing w:after="0"/>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7.投标人应当提交的资格、资信证明文件</w:t>
      </w:r>
    </w:p>
    <w:p>
      <w:pPr>
        <w:spacing w:line="460" w:lineRule="exact"/>
        <w:ind w:left="454" w:hanging="454"/>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7.1具有独立承担民事责任的能力的资格证明文件</w:t>
      </w:r>
    </w:p>
    <w:p>
      <w:pPr>
        <w:spacing w:line="460" w:lineRule="exact"/>
        <w:ind w:left="454" w:hanging="454"/>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7.2具有良好的商业信誉和健全的财务会计制度的证明文件 </w:t>
      </w:r>
    </w:p>
    <w:p>
      <w:pPr>
        <w:spacing w:line="460" w:lineRule="exact"/>
        <w:ind w:left="454" w:hanging="454"/>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7.3 具有履行合同所必须的设备和专业技术能力的证明文件 </w:t>
      </w:r>
    </w:p>
    <w:p>
      <w:pPr>
        <w:spacing w:line="460" w:lineRule="exact"/>
        <w:ind w:left="454" w:hanging="454"/>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7.4 有依法缴纳税收和社会保障资金的良好记录的证明文件 </w:t>
      </w:r>
    </w:p>
    <w:p>
      <w:pPr>
        <w:spacing w:line="460" w:lineRule="exact"/>
        <w:ind w:left="454" w:hanging="454"/>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7.5参加政府采购前三年内，在经营活动中没有重大违法记录的证明文件 </w:t>
      </w:r>
    </w:p>
    <w:p>
      <w:pPr>
        <w:spacing w:line="460" w:lineRule="exact"/>
        <w:ind w:left="454" w:hanging="454"/>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7.6法定代表人授权书（格式详见“第四章投标文件格式7-6”）</w:t>
      </w:r>
    </w:p>
    <w:p>
      <w:pPr>
        <w:spacing w:line="460" w:lineRule="exact"/>
        <w:ind w:left="454" w:hanging="454"/>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7.7投标人的资格声明（格式详见“第四章投标文件格式7-7”）</w:t>
      </w:r>
    </w:p>
    <w:p>
      <w:pPr>
        <w:spacing w:line="460" w:lineRule="exact"/>
        <w:ind w:left="454" w:hanging="454"/>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7.8投标保证金凭证（格式详见“第四章投标文件格式7-8”）</w:t>
      </w:r>
    </w:p>
    <w:p>
      <w:pPr>
        <w:spacing w:line="460" w:lineRule="exact"/>
        <w:ind w:left="454" w:hanging="454"/>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7.9制造商出具的授权函或投标人与制造商的经销协议、代理协议（格式详见“第四章投标文件格式7-9”，招标文件另有规定的从其规定）</w:t>
      </w:r>
      <w:r>
        <w:rPr>
          <w:rFonts w:hint="eastAsia" w:cs="仿宋" w:asciiTheme="minorEastAsia" w:hAnsiTheme="minorEastAsia" w:eastAsiaTheme="minorEastAsia"/>
          <w:b/>
          <w:i/>
          <w:color w:val="auto"/>
          <w:sz w:val="24"/>
          <w:szCs w:val="24"/>
          <w:highlight w:val="none"/>
        </w:rPr>
        <w:t>（适用于进口产品）</w:t>
      </w:r>
    </w:p>
    <w:p>
      <w:pPr>
        <w:spacing w:line="460" w:lineRule="exact"/>
        <w:ind w:left="454" w:hanging="454"/>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7.10联合体协议（格式详见“第四章投标文件格式7-10”）。</w:t>
      </w:r>
      <w:r>
        <w:rPr>
          <w:rFonts w:hint="eastAsia" w:cs="仿宋" w:asciiTheme="minorEastAsia" w:hAnsiTheme="minorEastAsia" w:eastAsiaTheme="minorEastAsia"/>
          <w:b/>
          <w:i/>
          <w:color w:val="auto"/>
          <w:sz w:val="24"/>
          <w:szCs w:val="24"/>
          <w:highlight w:val="none"/>
        </w:rPr>
        <w:t>（适用于联合体投标）</w:t>
      </w:r>
    </w:p>
    <w:p>
      <w:pPr>
        <w:spacing w:line="460" w:lineRule="exact"/>
        <w:ind w:left="454" w:hanging="454"/>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7.11 其他资格证明文件</w:t>
      </w:r>
    </w:p>
    <w:p>
      <w:pPr>
        <w:pStyle w:val="6"/>
        <w:spacing w:after="0" w:line="440" w:lineRule="exact"/>
        <w:ind w:left="361" w:hanging="390" w:hangingChars="150"/>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8.为落实政府采购政策，采购标的需满足的要求，以及投标人须提供的证明材料</w:t>
      </w:r>
    </w:p>
    <w:p>
      <w:pPr>
        <w:spacing w:line="460" w:lineRule="exact"/>
        <w:ind w:left="454" w:hanging="454"/>
        <w:rPr>
          <w:rFonts w:cs="仿宋" w:asciiTheme="minorEastAsia" w:hAnsiTheme="minorEastAsia" w:eastAsiaTheme="minorEastAsia"/>
          <w:b/>
          <w:color w:val="auto"/>
          <w:sz w:val="24"/>
          <w:szCs w:val="24"/>
          <w:highlight w:val="none"/>
        </w:rPr>
      </w:pPr>
      <w:r>
        <w:rPr>
          <w:rFonts w:hint="eastAsia" w:cs="仿宋" w:asciiTheme="minorEastAsia" w:hAnsiTheme="minorEastAsia" w:eastAsiaTheme="minorEastAsia"/>
          <w:b/>
          <w:color w:val="auto"/>
          <w:sz w:val="24"/>
          <w:szCs w:val="24"/>
          <w:highlight w:val="none"/>
        </w:rPr>
        <w:t>8.1中小企业参加投标</w:t>
      </w:r>
    </w:p>
    <w:p>
      <w:pPr>
        <w:spacing w:line="460" w:lineRule="exact"/>
        <w:ind w:left="454" w:hanging="45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8.1.1中小企业（含中型、小型、微型企业，下同）应当同时符合以下条件</w:t>
      </w:r>
    </w:p>
    <w:p>
      <w:pPr>
        <w:spacing w:line="4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在中华人民共和国境内依法设立，</w:t>
      </w:r>
      <w:r>
        <w:rPr>
          <w:rFonts w:hint="eastAsia" w:asciiTheme="minorEastAsia" w:hAnsiTheme="minorEastAsia" w:eastAsiaTheme="minorEastAsia" w:cstheme="minorEastAsia"/>
          <w:sz w:val="24"/>
          <w:szCs w:val="24"/>
          <w:highlight w:val="none"/>
        </w:rPr>
        <w:t>符合国务院批准的中小企业划分标准（依据国务院批准的中小企业划分标准确定的中型企业、小型企业和微型企业，但与大企业的负责人为同一人，或者与大企业存在直接控股、管理关系的除外）</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符合中小企业划分标准的个体工商户，在政府采购活动中视同中小企业。</w:t>
      </w:r>
    </w:p>
    <w:p>
      <w:pPr>
        <w:spacing w:line="460" w:lineRule="exact"/>
        <w:ind w:left="707" w:leftChars="10" w:hanging="686" w:hangingChars="28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（2）货物由中小企业制造，即货物由中小企业生产且使用该中小企业商号或者注册商标；本项所称货物不包括使用大型企业注册商标的货物；</w:t>
      </w:r>
    </w:p>
    <w:p>
      <w:pPr>
        <w:spacing w:line="4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（3）小型、微型企业提供中型企业制造的货物的，视同为中型企业。</w:t>
      </w:r>
    </w:p>
    <w:p>
      <w:pPr>
        <w:spacing w:line="4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（4）在货物采购项目中，供应商提供的货物既有中小企业制造货物，也有大型企业制造货物的，不享受中小企业扶持政策。</w:t>
      </w:r>
    </w:p>
    <w:p>
      <w:pPr>
        <w:spacing w:line="4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以联合体形式参加政府采购活动，联合体各方均为中小企业的，联合体视同中小企业。其中，联合体各方均为小微企业的，联合体视同小微企业。（适用于联合体投标）</w:t>
      </w:r>
    </w:p>
    <w:p>
      <w:pPr>
        <w:spacing w:line="460" w:lineRule="exac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组成联合体或者接受分包合同的中小企业与联合体内其他企业、分包企业之间不得存在直接控股、管理关系。</w:t>
      </w:r>
      <w:r>
        <w:rPr>
          <w:rFonts w:hint="eastAsia" w:asciiTheme="minorEastAsia" w:hAnsiTheme="minorEastAsia" w:eastAsiaTheme="minorEastAsia" w:cstheme="minorEastAsia"/>
          <w:b/>
          <w:bCs/>
          <w:sz w:val="24"/>
          <w:szCs w:val="24"/>
          <w:highlight w:val="none"/>
        </w:rPr>
        <w:t>(适用于</w:t>
      </w:r>
      <w:r>
        <w:rPr>
          <w:rFonts w:hint="eastAsia" w:asciiTheme="minorEastAsia" w:hAnsiTheme="minorEastAsia" w:eastAsiaTheme="minorEastAsia" w:cstheme="minorEastAsia"/>
          <w:b/>
          <w:bCs/>
          <w:sz w:val="24"/>
          <w:szCs w:val="24"/>
          <w:highlight w:val="none"/>
          <w:lang w:eastAsia="zh-CN"/>
        </w:rPr>
        <w:t>涉及</w:t>
      </w:r>
      <w:r>
        <w:rPr>
          <w:rFonts w:hint="eastAsia" w:asciiTheme="minorEastAsia" w:hAnsiTheme="minorEastAsia" w:eastAsiaTheme="minorEastAsia" w:cstheme="minorEastAsia"/>
          <w:b/>
          <w:bCs/>
          <w:sz w:val="24"/>
          <w:szCs w:val="24"/>
          <w:highlight w:val="none"/>
        </w:rPr>
        <w:t>中小企业的联合体投标</w:t>
      </w:r>
      <w:r>
        <w:rPr>
          <w:rFonts w:hint="eastAsia" w:asciiTheme="minorEastAsia" w:hAnsiTheme="minorEastAsia" w:eastAsiaTheme="minorEastAsia" w:cstheme="minorEastAsia"/>
          <w:b/>
          <w:bCs/>
          <w:sz w:val="24"/>
          <w:szCs w:val="24"/>
          <w:highlight w:val="none"/>
          <w:lang w:eastAsia="zh-CN"/>
        </w:rPr>
        <w:t>或者允许合同分包的采购项目</w:t>
      </w:r>
      <w:r>
        <w:rPr>
          <w:rFonts w:hint="eastAsia" w:asciiTheme="minorEastAsia" w:hAnsiTheme="minorEastAsia" w:eastAsiaTheme="minorEastAsia" w:cstheme="minorEastAsia"/>
          <w:b/>
          <w:bCs/>
          <w:sz w:val="24"/>
          <w:szCs w:val="24"/>
          <w:highlight w:val="none"/>
        </w:rPr>
        <w:t>)</w:t>
      </w:r>
    </w:p>
    <w:p>
      <w:pPr>
        <w:spacing w:line="460" w:lineRule="exact"/>
        <w:ind w:left="844" w:leftChars="59" w:hanging="720" w:hanging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highlight w:val="none"/>
        </w:rPr>
        <w:t>8.1.2供应商提供的货物为中小企业制造的, 投标时必须提供</w:t>
      </w:r>
      <w:r>
        <w:rPr>
          <w:rFonts w:hint="eastAsia" w:asciiTheme="minorEastAsia" w:hAnsiTheme="minorEastAsia" w:eastAsiaTheme="minorEastAsia" w:cstheme="minorEastAsia"/>
          <w:sz w:val="24"/>
          <w:szCs w:val="24"/>
          <w:highlight w:val="none"/>
          <w:lang w:eastAsia="zh-CN"/>
        </w:rPr>
        <w:t>制造商的</w:t>
      </w:r>
      <w:r>
        <w:rPr>
          <w:rFonts w:hint="eastAsia" w:asciiTheme="minorEastAsia" w:hAnsiTheme="minorEastAsia" w:eastAsiaTheme="minorEastAsia" w:cstheme="minorEastAsia"/>
          <w:sz w:val="24"/>
          <w:szCs w:val="24"/>
          <w:highlight w:val="none"/>
        </w:rPr>
        <w:t>《中小企业声明函》。</w:t>
      </w:r>
      <w:r>
        <w:rPr>
          <w:rFonts w:hint="eastAsia" w:asciiTheme="minorEastAsia" w:hAnsiTheme="minorEastAsia" w:eastAsiaTheme="minorEastAsia" w:cstheme="minorEastAsia"/>
          <w:color w:val="0D0D0D"/>
          <w:sz w:val="24"/>
          <w:szCs w:val="24"/>
          <w:highlight w:val="none"/>
        </w:rPr>
        <w:t>（格式详见“第四章投标文件格式8-1”）</w:t>
      </w:r>
    </w:p>
    <w:p>
      <w:pPr>
        <w:spacing w:line="460" w:lineRule="exact"/>
        <w:ind w:left="602" w:hanging="602" w:hangingChars="250"/>
        <w:rPr>
          <w:rFonts w:cs="仿宋" w:asciiTheme="minorEastAsia" w:hAnsiTheme="minorEastAsia" w:eastAsiaTheme="minorEastAsia"/>
          <w:b/>
          <w:color w:val="auto"/>
          <w:sz w:val="24"/>
          <w:szCs w:val="24"/>
          <w:highlight w:val="none"/>
        </w:rPr>
      </w:pPr>
      <w:r>
        <w:rPr>
          <w:rFonts w:hint="eastAsia" w:cs="仿宋" w:asciiTheme="minorEastAsia" w:hAnsiTheme="minorEastAsia" w:eastAsiaTheme="minorEastAsia"/>
          <w:b/>
          <w:color w:val="auto"/>
          <w:sz w:val="24"/>
          <w:szCs w:val="24"/>
          <w:highlight w:val="none"/>
        </w:rPr>
        <w:t>8.2监狱企业参加投标</w:t>
      </w:r>
    </w:p>
    <w:p>
      <w:pPr>
        <w:spacing w:line="460" w:lineRule="exact"/>
        <w:ind w:left="600" w:hanging="600" w:hangingChars="2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8.2.1监狱企业应当符合以下条件</w:t>
      </w:r>
    </w:p>
    <w:p>
      <w:pPr>
        <w:spacing w:line="460" w:lineRule="exact"/>
        <w:ind w:left="525" w:leftChars="2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6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8.2.2监狱企业参加投标须提供的证明材料</w:t>
      </w:r>
    </w:p>
    <w:p>
      <w:pPr>
        <w:spacing w:line="460" w:lineRule="exact"/>
        <w:ind w:left="479" w:leftChars="228"/>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监狱企业参加政府采购活动时，应当提供由省级以上监狱管理局、戒毒管理局（含新疆生产建设兵团）出具的属于监狱企业的证明文件。（格式详见“第四章投标文件格式8-2”）</w:t>
      </w:r>
    </w:p>
    <w:p>
      <w:pPr>
        <w:spacing w:line="460" w:lineRule="exact"/>
        <w:rPr>
          <w:rFonts w:cs="仿宋" w:asciiTheme="minorEastAsia" w:hAnsiTheme="minorEastAsia" w:eastAsiaTheme="minorEastAsia"/>
          <w:b/>
          <w:color w:val="auto"/>
          <w:sz w:val="24"/>
          <w:szCs w:val="24"/>
          <w:highlight w:val="none"/>
        </w:rPr>
      </w:pPr>
      <w:r>
        <w:rPr>
          <w:rFonts w:hint="eastAsia" w:cs="仿宋" w:asciiTheme="minorEastAsia" w:hAnsiTheme="minorEastAsia" w:eastAsiaTheme="minorEastAsia"/>
          <w:b/>
          <w:color w:val="auto"/>
          <w:sz w:val="24"/>
          <w:szCs w:val="24"/>
          <w:highlight w:val="none"/>
        </w:rPr>
        <w:t>8.3残疾人福利性单位参加投标</w:t>
      </w:r>
    </w:p>
    <w:p>
      <w:pPr>
        <w:spacing w:line="46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8.3.1享受政府采购支持政策的残疾人福利性单位应当同时满足以下条件</w:t>
      </w:r>
    </w:p>
    <w:p>
      <w:pPr>
        <w:spacing w:line="460" w:lineRule="exact"/>
        <w:ind w:left="839" w:leftChars="114" w:hanging="600" w:hangingChars="2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（1）安置的残疾人占本单位在职职工人数的比例不低于25%（含25%），并且安置的残疾人人数不少于10人（含10人）；</w:t>
      </w:r>
    </w:p>
    <w:p>
      <w:pPr>
        <w:spacing w:line="46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（2）依法与安置的每位残疾人签订了一年以上（含一年）的劳动合同或服务协议；</w:t>
      </w:r>
    </w:p>
    <w:p>
      <w:pPr>
        <w:spacing w:line="460" w:lineRule="exact"/>
        <w:ind w:left="840" w:hanging="840" w:hangingChars="3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（3）为安置的每位残疾人按月足额缴纳了基本养老保险、基本医疗保险、失业保险、工伤保险和生育保险等社会保险费；</w:t>
      </w:r>
    </w:p>
    <w:p>
      <w:pPr>
        <w:spacing w:line="460" w:lineRule="exact"/>
        <w:ind w:left="840" w:hanging="840" w:hangingChars="3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（4）通过银行等金融机构向安置的每位残疾人，按月支付了不低于单位所在区县适用的经省级人民政府批准的月最低工资标准的工资；</w:t>
      </w:r>
    </w:p>
    <w:p>
      <w:pPr>
        <w:spacing w:line="460" w:lineRule="exact"/>
        <w:ind w:left="810" w:leftChars="100" w:hanging="600" w:hangingChars="2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（5）提供本单位制造的货物、承担的工程或者服务（以下简称产品），或者提供其他残疾人福利性单位制造的货物（不包括使用非残疾人福利性单位注册商标的货物）。</w:t>
      </w:r>
    </w:p>
    <w:p>
      <w:pPr>
        <w:spacing w:line="460" w:lineRule="exact"/>
        <w:ind w:left="600" w:hanging="600" w:hangingChars="2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8.3.2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460" w:lineRule="exact"/>
        <w:ind w:left="840" w:hanging="840" w:hangingChars="3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8.3.3残疾人福利性单位参加投标须提供的证明材料</w:t>
      </w:r>
    </w:p>
    <w:p>
      <w:pPr>
        <w:spacing w:line="460" w:lineRule="exact"/>
        <w:ind w:left="705" w:leftChars="50" w:hanging="600" w:hangingChars="250"/>
        <w:rPr>
          <w:rFonts w:cs="仿宋" w:asciiTheme="minorEastAsia" w:hAnsiTheme="minorEastAsia" w:eastAsiaTheme="minorEastAsia"/>
          <w:b/>
          <w:color w:val="auto"/>
          <w:sz w:val="24"/>
          <w:szCs w:val="24"/>
          <w:highlight w:val="none"/>
        </w:rPr>
      </w:pPr>
      <w:r>
        <w:rPr>
          <w:rFonts w:hint="eastAsia" w:cs="仿宋" w:asciiTheme="minorEastAsia" w:hAnsiTheme="minorEastAsia" w:eastAsiaTheme="minorEastAsia"/>
          <w:color w:val="auto"/>
          <w:sz w:val="24"/>
          <w:szCs w:val="24"/>
          <w:highlight w:val="none"/>
        </w:rPr>
        <w:t>（1）符合条件的残疾人福利性单位在参加政府采购活动时，应当提供《残疾人福利性单位声明函》（格式详见“第四章投标文件格式8-3”），并对声明函的真实性负责。</w:t>
      </w:r>
    </w:p>
    <w:p>
      <w:pPr>
        <w:spacing w:line="460" w:lineRule="exact"/>
        <w:ind w:left="705" w:leftChars="50" w:hanging="600" w:hangingChars="2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（2）投标人提供的《残疾人福利性单位声明函》与事实不符的，依照《政府采购法》第七十七条第一款的规定追究法律责任。</w:t>
      </w:r>
    </w:p>
    <w:p>
      <w:pPr>
        <w:spacing w:line="460" w:lineRule="exact"/>
        <w:ind w:left="602" w:hanging="602" w:hangingChars="250"/>
        <w:rPr>
          <w:rFonts w:cs="仿宋" w:asciiTheme="minorEastAsia" w:hAnsiTheme="minorEastAsia" w:eastAsiaTheme="minorEastAsia"/>
          <w:b/>
          <w:color w:val="auto"/>
          <w:sz w:val="24"/>
          <w:szCs w:val="24"/>
          <w:highlight w:val="none"/>
        </w:rPr>
      </w:pPr>
      <w:r>
        <w:rPr>
          <w:rFonts w:hint="eastAsia" w:cs="仿宋" w:asciiTheme="minorEastAsia" w:hAnsiTheme="minorEastAsia" w:eastAsiaTheme="minorEastAsia"/>
          <w:b/>
          <w:color w:val="auto"/>
          <w:sz w:val="24"/>
          <w:szCs w:val="24"/>
          <w:highlight w:val="none"/>
        </w:rPr>
        <w:t>8.4节能产品、环境标志产品参加投标</w:t>
      </w:r>
    </w:p>
    <w:p>
      <w:pPr>
        <w:spacing w:line="460" w:lineRule="exact"/>
        <w:ind w:left="600" w:hanging="600" w:hangingChars="250"/>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8.4.1节能产品是指财政部、发展改革委、生态环境部等部门发布的《节能产品政府采购品目清单》中的产品；</w:t>
      </w:r>
    </w:p>
    <w:p>
      <w:pPr>
        <w:spacing w:line="460" w:lineRule="exact"/>
        <w:ind w:left="600" w:hanging="600" w:hangingChars="250"/>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8.4.2环境标志产品是指财政部、发展改革委、生态环境部等部门发布的《环境标志产品政府采购品目清单》中的产品；</w:t>
      </w:r>
    </w:p>
    <w:p>
      <w:pPr>
        <w:spacing w:line="460" w:lineRule="exact"/>
        <w:ind w:left="600" w:hanging="600" w:hangingChars="250"/>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8.4.3《节能产品政府采购品目清单》、《环境标志产品政府采购品目清单》以《中国政府采购网》(</w:t>
      </w:r>
      <w:r>
        <w:rPr>
          <w:rFonts w:hint="eastAsia" w:cs="仿宋" w:asciiTheme="minorEastAsia" w:hAnsiTheme="minorEastAsia" w:eastAsiaTheme="minorEastAsia"/>
          <w:color w:val="auto"/>
          <w:sz w:val="24"/>
          <w:szCs w:val="24"/>
          <w:highlight w:val="none"/>
        </w:rPr>
        <w:t>http://www.ccgp.gov.cn/zcfg/mof/</w:t>
      </w:r>
      <w:r>
        <w:rPr>
          <w:rFonts w:hint="eastAsia" w:cs="仿宋" w:asciiTheme="minorEastAsia" w:hAnsiTheme="minorEastAsia" w:eastAsiaTheme="minorEastAsia"/>
          <w:bCs/>
          <w:color w:val="auto"/>
          <w:sz w:val="24"/>
          <w:szCs w:val="24"/>
          <w:highlight w:val="none"/>
        </w:rPr>
        <w:t>)发布的最新一期为准。</w:t>
      </w:r>
    </w:p>
    <w:p>
      <w:pPr>
        <w:spacing w:line="460" w:lineRule="exact"/>
        <w:ind w:left="600" w:hanging="600" w:hangingChars="250"/>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8.4.</w:t>
      </w:r>
      <w:r>
        <w:rPr>
          <w:rFonts w:hint="eastAsia" w:cs="仿宋" w:asciiTheme="minorEastAsia" w:hAnsiTheme="minorEastAsia" w:eastAsiaTheme="minorEastAsia"/>
          <w:color w:val="auto"/>
          <w:sz w:val="24"/>
          <w:szCs w:val="24"/>
          <w:highlight w:val="none"/>
          <w:lang w:val="en-US" w:eastAsia="zh-CN"/>
        </w:rPr>
        <w:t>4</w:t>
      </w:r>
      <w:r>
        <w:rPr>
          <w:rFonts w:hint="eastAsia" w:cs="仿宋" w:asciiTheme="minorEastAsia" w:hAnsiTheme="minorEastAsia" w:eastAsiaTheme="minorEastAsia"/>
          <w:bCs/>
          <w:color w:val="auto"/>
          <w:sz w:val="24"/>
          <w:szCs w:val="24"/>
          <w:highlight w:val="none"/>
          <w:lang w:val="en-US" w:eastAsia="zh-CN"/>
        </w:rPr>
        <w:t>依据品目清单和认证证书实施政府优先采购或强制采购。采购的产品属于品目清单范围的，应当依据国家确定的认证机构出具的、处于有效期之内的节能产品、环境标志产品认证证书，对获得证书的产品实施政府优先采购或强制采购。（认证机构参照《市场监管总局关于发布参与实施政府采购节能产品、环境标志产品认证机构名录的公告》。）须在投标文件中提供证书彩色扫描件。</w:t>
      </w:r>
    </w:p>
    <w:p>
      <w:pPr>
        <w:spacing w:line="460" w:lineRule="exact"/>
        <w:ind w:left="720" w:hanging="720" w:hangingChars="300"/>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8.4.</w:t>
      </w:r>
      <w:r>
        <w:rPr>
          <w:rFonts w:hint="eastAsia" w:cs="仿宋" w:asciiTheme="minorEastAsia" w:hAnsiTheme="minorEastAsia" w:eastAsiaTheme="minorEastAsia"/>
          <w:bCs/>
          <w:color w:val="auto"/>
          <w:sz w:val="24"/>
          <w:szCs w:val="24"/>
          <w:highlight w:val="none"/>
          <w:lang w:val="en-US" w:eastAsia="zh-CN"/>
        </w:rPr>
        <w:t>5</w:t>
      </w:r>
      <w:r>
        <w:rPr>
          <w:rFonts w:hint="eastAsia" w:cs="仿宋" w:asciiTheme="minorEastAsia" w:hAnsiTheme="minorEastAsia" w:eastAsiaTheme="minorEastAsia"/>
          <w:bCs/>
          <w:color w:val="auto"/>
          <w:sz w:val="24"/>
          <w:szCs w:val="24"/>
          <w:highlight w:val="none"/>
        </w:rPr>
        <w:t>对于同时列入《节能产品政府采购品目清单》、《环境标志产品政府采购品目清单》的产品，应当优先于只列入其中一个清单的产品。</w:t>
      </w:r>
    </w:p>
    <w:p>
      <w:pPr>
        <w:spacing w:line="420" w:lineRule="exact"/>
        <w:ind w:left="720" w:hanging="720" w:hangingChars="300"/>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8.4.</w:t>
      </w:r>
      <w:r>
        <w:rPr>
          <w:rFonts w:hint="eastAsia" w:cs="仿宋" w:asciiTheme="minorEastAsia" w:hAnsiTheme="minorEastAsia" w:eastAsiaTheme="minorEastAsia"/>
          <w:bCs/>
          <w:color w:val="auto"/>
          <w:sz w:val="24"/>
          <w:szCs w:val="24"/>
          <w:highlight w:val="none"/>
          <w:lang w:val="en-US" w:eastAsia="zh-CN"/>
        </w:rPr>
        <w:t>6</w:t>
      </w:r>
      <w:r>
        <w:rPr>
          <w:rFonts w:hint="eastAsia" w:cs="仿宋" w:asciiTheme="minorEastAsia" w:hAnsiTheme="minorEastAsia" w:eastAsiaTheme="minorEastAsia"/>
          <w:bCs/>
          <w:color w:val="auto"/>
          <w:sz w:val="24"/>
          <w:szCs w:val="24"/>
          <w:highlight w:val="none"/>
        </w:rPr>
        <w:t>招标文件对节能产品、环境标志产品另有规定的从其规定。</w:t>
      </w:r>
    </w:p>
    <w:p>
      <w:pPr>
        <w:pStyle w:val="6"/>
        <w:pageBreakBefore w:val="0"/>
        <w:widowControl w:val="0"/>
        <w:kinsoku/>
        <w:wordWrap/>
        <w:overflowPunct/>
        <w:topLinePunct w:val="0"/>
        <w:autoSpaceDE/>
        <w:autoSpaceDN/>
        <w:bidi w:val="0"/>
        <w:adjustRightInd/>
        <w:snapToGrid/>
        <w:spacing w:after="0" w:line="500" w:lineRule="exact"/>
        <w:ind w:left="482" w:hanging="520" w:hangingChars="200"/>
        <w:textAlignment w:val="auto"/>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9.对小型和微型企业、监狱企业、残疾人福利性单位产品参加投标享受的政策</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i/>
          <w:color w:val="C00000"/>
          <w:sz w:val="24"/>
          <w:szCs w:val="24"/>
          <w:highlight w:val="none"/>
        </w:rPr>
      </w:pPr>
      <w:r>
        <w:rPr>
          <w:rFonts w:hint="eastAsia" w:ascii="仿宋" w:hAnsi="仿宋" w:eastAsia="仿宋" w:cs="仿宋"/>
          <w:color w:val="0D0D0D"/>
          <w:sz w:val="24"/>
          <w:szCs w:val="24"/>
          <w:highlight w:val="none"/>
        </w:rPr>
        <w:t>9.1</w:t>
      </w:r>
      <w:r>
        <w:rPr>
          <w:rFonts w:hint="eastAsia" w:asciiTheme="minorEastAsia" w:hAnsiTheme="minorEastAsia" w:eastAsiaTheme="minorEastAsia" w:cstheme="minorEastAsia"/>
          <w:b/>
          <w:bCs/>
          <w:color w:val="auto"/>
          <w:sz w:val="24"/>
          <w:szCs w:val="24"/>
          <w:highlight w:val="none"/>
          <w:lang w:val="en-US" w:eastAsia="zh-CN"/>
        </w:rPr>
        <w:t>本项目非专门面向中小企业：</w:t>
      </w:r>
      <w:r>
        <w:rPr>
          <w:rFonts w:hint="eastAsia" w:asciiTheme="minorEastAsia" w:hAnsiTheme="minorEastAsia" w:eastAsiaTheme="minorEastAsia" w:cstheme="minorEastAsia"/>
          <w:color w:val="auto"/>
          <w:sz w:val="24"/>
          <w:szCs w:val="24"/>
          <w:highlight w:val="none"/>
          <w:lang w:val="en-US" w:eastAsia="zh-CN"/>
        </w:rPr>
        <w:t>对小型、微型企业（监狱企业、残疾人福利性单位视同小型、微型企业）的报价给予10%的扣除，用扣除后的价格参与评审；</w:t>
      </w:r>
    </w:p>
    <w:p>
      <w:pPr>
        <w:pageBreakBefore w:val="0"/>
        <w:widowControl w:val="0"/>
        <w:kinsoku/>
        <w:wordWrap/>
        <w:overflowPunct/>
        <w:topLinePunct w:val="0"/>
        <w:autoSpaceDE/>
        <w:autoSpaceDN/>
        <w:bidi w:val="0"/>
        <w:adjustRightInd/>
        <w:snapToGrid/>
        <w:spacing w:line="500" w:lineRule="exact"/>
        <w:ind w:left="720" w:hanging="723" w:hangingChars="300"/>
        <w:textAlignment w:val="auto"/>
        <w:rPr>
          <w:rFonts w:cs="仿宋" w:asciiTheme="minorEastAsia" w:hAnsiTheme="minorEastAsia" w:eastAsiaTheme="minorEastAsia"/>
          <w:bCs/>
          <w:color w:val="auto"/>
          <w:sz w:val="24"/>
          <w:szCs w:val="24"/>
          <w:highlight w:val="none"/>
        </w:rPr>
      </w:pPr>
      <w:r>
        <w:rPr>
          <w:rFonts w:hint="eastAsia" w:asciiTheme="minorEastAsia" w:hAnsiTheme="minorEastAsia" w:eastAsiaTheme="minorEastAsia" w:cstheme="minorEastAsia"/>
          <w:b/>
          <w:i/>
          <w:color w:val="auto"/>
          <w:sz w:val="24"/>
          <w:szCs w:val="24"/>
          <w:highlight w:val="none"/>
          <w:lang w:val="en-US" w:eastAsia="zh-CN"/>
        </w:rPr>
        <w:t>享受政策内容</w:t>
      </w:r>
      <w:r>
        <w:rPr>
          <w:rFonts w:hint="eastAsia" w:asciiTheme="minorEastAsia" w:hAnsiTheme="minorEastAsia" w:eastAsiaTheme="minorEastAsia" w:cstheme="minorEastAsia"/>
          <w:b/>
          <w:i/>
          <w:iCs w:val="0"/>
          <w:color w:val="auto"/>
          <w:sz w:val="24"/>
          <w:szCs w:val="24"/>
          <w:highlight w:val="none"/>
          <w:lang w:eastAsia="zh-CN"/>
        </w:rPr>
        <w:t>详见第二章“</w:t>
      </w:r>
      <w:r>
        <w:rPr>
          <w:rFonts w:hint="eastAsia" w:asciiTheme="minorEastAsia" w:hAnsiTheme="minorEastAsia" w:eastAsiaTheme="minorEastAsia" w:cstheme="minorEastAsia"/>
          <w:b/>
          <w:i/>
          <w:iCs w:val="0"/>
          <w:color w:val="auto"/>
          <w:sz w:val="24"/>
          <w:szCs w:val="24"/>
          <w:highlight w:val="none"/>
        </w:rPr>
        <w:t>投标人须知前附表</w:t>
      </w:r>
      <w:r>
        <w:rPr>
          <w:rFonts w:hint="eastAsia" w:asciiTheme="minorEastAsia" w:hAnsiTheme="minorEastAsia" w:eastAsiaTheme="minorEastAsia" w:cstheme="minorEastAsia"/>
          <w:b/>
          <w:i/>
          <w:iCs w:val="0"/>
          <w:color w:val="auto"/>
          <w:sz w:val="24"/>
          <w:szCs w:val="24"/>
          <w:highlight w:val="none"/>
          <w:lang w:eastAsia="zh-CN"/>
        </w:rPr>
        <w:t>”</w:t>
      </w:r>
    </w:p>
    <w:p>
      <w:pPr>
        <w:pageBreakBefore w:val="0"/>
        <w:widowControl w:val="0"/>
        <w:kinsoku/>
        <w:wordWrap/>
        <w:overflowPunct/>
        <w:topLinePunct w:val="0"/>
        <w:autoSpaceDE/>
        <w:autoSpaceDN/>
        <w:bidi w:val="0"/>
        <w:adjustRightInd/>
        <w:snapToGrid/>
        <w:spacing w:line="500" w:lineRule="exact"/>
        <w:ind w:left="600" w:hanging="600" w:hangingChars="25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9.2监狱企业视同小型、微型企业，享受评审中价格扣除等政府促进中小企业发展的政府采购政策。</w:t>
      </w:r>
    </w:p>
    <w:p>
      <w:pPr>
        <w:spacing w:line="460" w:lineRule="exact"/>
        <w:ind w:left="600" w:hanging="600" w:hangingChars="2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9.3残疾人福利性单位视同小型、微型企业，享受评审中价格扣除等政府促进中小企业发展的政府采购政策。福利性单位属于小型、微型企业的，不重复享受政策。</w:t>
      </w:r>
    </w:p>
    <w:p>
      <w:pPr>
        <w:spacing w:line="460" w:lineRule="exact"/>
        <w:ind w:left="566" w:hanging="566" w:hangingChars="236"/>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b w:val="0"/>
          <w:bCs/>
          <w:i w:val="0"/>
          <w:iCs/>
          <w:color w:val="auto"/>
          <w:sz w:val="24"/>
          <w:szCs w:val="24"/>
          <w:highlight w:val="none"/>
          <w:lang w:val="en-US" w:eastAsia="zh-CN"/>
        </w:rPr>
        <w:t>9.4接受大中型企业与小微企业组成联合体或者允许大中型企业向一家或者多家小微企业分包，对于联合协议或者分包意向协议约定小微企业的合同份额占到合同总金额 30%以上的，应当对联合体或者大中型企业的报价给予4%的扣除，用扣除后的价格参加评审。</w:t>
      </w:r>
      <w:r>
        <w:rPr>
          <w:rFonts w:hint="eastAsia" w:cs="仿宋" w:asciiTheme="minorEastAsia" w:hAnsiTheme="minorEastAsia" w:eastAsiaTheme="minorEastAsia"/>
          <w:b/>
          <w:i/>
          <w:color w:val="auto"/>
          <w:sz w:val="24"/>
          <w:szCs w:val="24"/>
          <w:highlight w:val="none"/>
        </w:rPr>
        <w:t>（适用于联合体投标</w:t>
      </w:r>
      <w:r>
        <w:rPr>
          <w:rFonts w:hint="eastAsia" w:cs="仿宋" w:asciiTheme="minorEastAsia" w:hAnsiTheme="minorEastAsia" w:eastAsiaTheme="minorEastAsia"/>
          <w:b/>
          <w:i/>
          <w:color w:val="auto"/>
          <w:sz w:val="24"/>
          <w:szCs w:val="24"/>
          <w:highlight w:val="none"/>
          <w:lang w:val="en-US" w:eastAsia="zh-CN"/>
        </w:rPr>
        <w:t>或允许合同分包</w:t>
      </w:r>
      <w:r>
        <w:rPr>
          <w:rFonts w:hint="eastAsia" w:cs="仿宋" w:asciiTheme="minorEastAsia" w:hAnsiTheme="minorEastAsia" w:eastAsiaTheme="minorEastAsia"/>
          <w:b/>
          <w:i/>
          <w:color w:val="auto"/>
          <w:sz w:val="24"/>
          <w:szCs w:val="24"/>
          <w:highlight w:val="none"/>
        </w:rPr>
        <w:t>）</w:t>
      </w:r>
      <w:r>
        <w:rPr>
          <w:rFonts w:hint="eastAsia" w:cs="仿宋" w:asciiTheme="minorEastAsia" w:hAnsiTheme="minorEastAsia" w:eastAsiaTheme="minorEastAsia"/>
          <w:b/>
          <w:bCs w:val="0"/>
          <w:i w:val="0"/>
          <w:iCs/>
          <w:color w:val="auto"/>
          <w:sz w:val="24"/>
          <w:szCs w:val="24"/>
          <w:highlight w:val="none"/>
        </w:rPr>
        <w:br w:type="textWrapping"/>
      </w:r>
      <w:r>
        <w:rPr>
          <w:rFonts w:hint="eastAsia" w:cs="仿宋" w:asciiTheme="minorEastAsia" w:hAnsiTheme="minorEastAsia" w:eastAsiaTheme="minorEastAsia"/>
          <w:color w:val="auto"/>
          <w:sz w:val="24"/>
          <w:szCs w:val="24"/>
          <w:highlight w:val="none"/>
        </w:rPr>
        <w:t>联合体各方均为小型、微型企业的，联合体视同为小型、微型企业。</w:t>
      </w:r>
      <w:r>
        <w:rPr>
          <w:rFonts w:hint="eastAsia" w:cs="仿宋" w:asciiTheme="minorEastAsia" w:hAnsiTheme="minorEastAsia" w:eastAsiaTheme="minorEastAsia"/>
          <w:b/>
          <w:i/>
          <w:color w:val="auto"/>
          <w:sz w:val="24"/>
          <w:szCs w:val="24"/>
          <w:highlight w:val="none"/>
        </w:rPr>
        <w:t>（适用于联合体投标）</w:t>
      </w:r>
      <w:r>
        <w:rPr>
          <w:rFonts w:hint="eastAsia" w:cs="仿宋" w:asciiTheme="minorEastAsia" w:hAnsiTheme="minorEastAsia" w:eastAsiaTheme="minorEastAsia"/>
          <w:color w:val="auto"/>
          <w:sz w:val="24"/>
          <w:szCs w:val="24"/>
          <w:highlight w:val="none"/>
        </w:rPr>
        <w:br w:type="textWrapping"/>
      </w:r>
      <w:r>
        <w:rPr>
          <w:rFonts w:hint="eastAsia" w:cs="仿宋" w:asciiTheme="minorEastAsia" w:hAnsiTheme="minorEastAsia" w:eastAsiaTheme="minorEastAsia"/>
          <w:color w:val="auto"/>
          <w:sz w:val="24"/>
          <w:szCs w:val="24"/>
          <w:highlight w:val="none"/>
        </w:rPr>
        <w:t>组成联合体的大中型企业和其他自然人、法人或者其他组织，与小型、微型企业之间不得存在投资关系。</w:t>
      </w:r>
      <w:r>
        <w:rPr>
          <w:rFonts w:hint="eastAsia" w:cs="仿宋" w:asciiTheme="minorEastAsia" w:hAnsiTheme="minorEastAsia" w:eastAsiaTheme="minorEastAsia"/>
          <w:b/>
          <w:i/>
          <w:color w:val="auto"/>
          <w:sz w:val="24"/>
          <w:szCs w:val="24"/>
          <w:highlight w:val="none"/>
        </w:rPr>
        <w:t>（适用于联合体投标）</w:t>
      </w:r>
    </w:p>
    <w:p>
      <w:pPr>
        <w:pStyle w:val="6"/>
        <w:spacing w:after="0"/>
        <w:outlineLvl w:val="3"/>
        <w:rPr>
          <w:rFonts w:cs="仿宋" w:asciiTheme="minorEastAsia" w:hAnsiTheme="minorEastAsia" w:eastAsiaTheme="minorEastAsia"/>
          <w:color w:val="auto"/>
          <w:sz w:val="24"/>
          <w:szCs w:val="24"/>
          <w:highlight w:val="none"/>
        </w:rPr>
      </w:pPr>
      <w:bookmarkStart w:id="46" w:name="_Toc286758313"/>
      <w:r>
        <w:rPr>
          <w:rFonts w:hint="eastAsia" w:cs="仿宋" w:asciiTheme="minorEastAsia" w:hAnsiTheme="minorEastAsia" w:eastAsiaTheme="minorEastAsia"/>
          <w:color w:val="auto"/>
          <w:sz w:val="24"/>
          <w:szCs w:val="24"/>
          <w:highlight w:val="none"/>
        </w:rPr>
        <w:t>10. 招标文件的修改</w:t>
      </w:r>
      <w:bookmarkEnd w:id="46"/>
    </w:p>
    <w:p>
      <w:pPr>
        <w:spacing w:line="460" w:lineRule="exact"/>
        <w:ind w:left="454" w:hanging="454"/>
        <w:rPr>
          <w:rFonts w:cs="仿宋" w:asciiTheme="minorEastAsia" w:hAnsiTheme="minorEastAsia" w:eastAsiaTheme="minorEastAsia"/>
          <w:b/>
          <w:color w:val="auto"/>
          <w:sz w:val="24"/>
          <w:szCs w:val="24"/>
          <w:highlight w:val="none"/>
        </w:rPr>
      </w:pPr>
      <w:r>
        <w:rPr>
          <w:rFonts w:hint="eastAsia" w:cs="仿宋" w:asciiTheme="minorEastAsia" w:hAnsiTheme="minorEastAsia" w:eastAsiaTheme="minorEastAsia"/>
          <w:color w:val="auto"/>
          <w:sz w:val="24"/>
          <w:szCs w:val="24"/>
          <w:highlight w:val="none"/>
        </w:rPr>
        <w:t>10.1采购代理机构可以对已发出的招标文件进行必要澄清或者修改，澄清或者修改的内容可能影响投标文件编制的，采购代理机构在投标截止时间至少15日前，在江西政府采购网以及江西省公共资源交易网上发布更正公告，上传答疑澄清文件。不足15日的，采购代理机构应当顺延提交投标文件的截止时间。</w:t>
      </w:r>
    </w:p>
    <w:p>
      <w:pPr>
        <w:spacing w:line="460" w:lineRule="exact"/>
        <w:ind w:left="454" w:hanging="454"/>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10.2已下载招标文件的投标人必须在江西省公共资源交易网上下载答疑澄清文件。投标人因未下载答疑澄清文件、由此可能引起的投标文件递交失败、解密失败、内容缺失等相关后果由投标人自行承担。</w:t>
      </w:r>
    </w:p>
    <w:p>
      <w:pPr>
        <w:spacing w:line="460" w:lineRule="exact"/>
        <w:ind w:left="454" w:hanging="454"/>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10.3当招标文件和澄清文件在同一内容的表述上不一致时，以最后发出的文件为准。</w:t>
      </w:r>
    </w:p>
    <w:p>
      <w:pPr>
        <w:spacing w:line="460" w:lineRule="exact"/>
        <w:ind w:left="600" w:hanging="600" w:hangingChars="2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10.4 更正或者修改的内容是招标文件的组成部分，并对投标人具有约束力。</w:t>
      </w:r>
    </w:p>
    <w:p>
      <w:pPr>
        <w:pStyle w:val="4"/>
        <w:spacing w:before="0" w:after="0" w:line="460" w:lineRule="exact"/>
        <w:jc w:val="center"/>
        <w:rPr>
          <w:rFonts w:cs="仿宋" w:asciiTheme="minorEastAsia" w:hAnsiTheme="minorEastAsia" w:eastAsiaTheme="minorEastAsia"/>
          <w:strike/>
          <w:color w:val="auto"/>
          <w:sz w:val="28"/>
          <w:szCs w:val="28"/>
          <w:highlight w:val="none"/>
        </w:rPr>
      </w:pPr>
      <w:bookmarkStart w:id="47" w:name="_Toc4871"/>
      <w:r>
        <w:rPr>
          <w:rFonts w:hint="eastAsia" w:cs="仿宋" w:asciiTheme="minorEastAsia" w:hAnsiTheme="minorEastAsia" w:eastAsiaTheme="minorEastAsia"/>
          <w:color w:val="auto"/>
          <w:sz w:val="28"/>
          <w:szCs w:val="28"/>
          <w:highlight w:val="none"/>
        </w:rPr>
        <w:t>三、 投  标</w:t>
      </w:r>
      <w:bookmarkEnd w:id="47"/>
    </w:p>
    <w:p>
      <w:pPr>
        <w:pStyle w:val="6"/>
        <w:spacing w:after="0"/>
        <w:outlineLvl w:val="3"/>
        <w:rPr>
          <w:rFonts w:cs="仿宋" w:asciiTheme="minorEastAsia" w:hAnsiTheme="minorEastAsia" w:eastAsiaTheme="minorEastAsia"/>
          <w:color w:val="auto"/>
          <w:sz w:val="24"/>
          <w:szCs w:val="24"/>
          <w:highlight w:val="none"/>
        </w:rPr>
      </w:pPr>
      <w:bookmarkStart w:id="48" w:name="_Toc286758315"/>
      <w:r>
        <w:rPr>
          <w:rFonts w:hint="eastAsia" w:cs="仿宋" w:asciiTheme="minorEastAsia" w:hAnsiTheme="minorEastAsia" w:eastAsiaTheme="minorEastAsia"/>
          <w:color w:val="auto"/>
          <w:sz w:val="24"/>
          <w:szCs w:val="24"/>
          <w:highlight w:val="none"/>
        </w:rPr>
        <w:t>11</w:t>
      </w:r>
      <w:bookmarkEnd w:id="48"/>
      <w:r>
        <w:rPr>
          <w:rFonts w:hint="eastAsia" w:cs="仿宋" w:asciiTheme="minorEastAsia" w:hAnsiTheme="minorEastAsia" w:eastAsiaTheme="minorEastAsia"/>
          <w:color w:val="auto"/>
          <w:sz w:val="24"/>
          <w:szCs w:val="24"/>
          <w:highlight w:val="none"/>
        </w:rPr>
        <w:t>.投标文件的编制</w:t>
      </w:r>
    </w:p>
    <w:p>
      <w:pPr>
        <w:spacing w:line="440" w:lineRule="exact"/>
        <w:ind w:left="480" w:hanging="480" w:hangingChars="200"/>
        <w:rPr>
          <w:rFonts w:cs="仿宋" w:asciiTheme="minorEastAsia" w:hAnsiTheme="minorEastAsia" w:eastAsiaTheme="minorEastAsia"/>
          <w:b/>
          <w:color w:val="auto"/>
          <w:sz w:val="24"/>
          <w:szCs w:val="24"/>
          <w:highlight w:val="none"/>
        </w:rPr>
      </w:pPr>
      <w:r>
        <w:rPr>
          <w:rFonts w:hint="eastAsia" w:cs="仿宋" w:asciiTheme="minorEastAsia" w:hAnsiTheme="minorEastAsia" w:eastAsiaTheme="minorEastAsia"/>
          <w:color w:val="auto"/>
          <w:sz w:val="24"/>
          <w:szCs w:val="24"/>
          <w:highlight w:val="none"/>
        </w:rPr>
        <w:t>11.1投标人应当按照招标文件的要求编制投标文件。投标文件应当对招标文件提出的要求和条件做出明确响应。</w:t>
      </w:r>
    </w:p>
    <w:p>
      <w:pPr>
        <w:spacing w:line="440" w:lineRule="exact"/>
        <w:ind w:left="480" w:hanging="480" w:hanging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11.2招标文件中注明不可以采购进口产品的（见“第一章 投标邀请”），不允许提供进口产品参与采购活动。提供进口产品参与采购活动的，</w:t>
      </w:r>
      <w:r>
        <w:rPr>
          <w:rFonts w:hint="eastAsia" w:cs="仿宋" w:asciiTheme="minorEastAsia" w:hAnsiTheme="minorEastAsia" w:eastAsiaTheme="minorEastAsia"/>
          <w:b/>
          <w:color w:val="auto"/>
          <w:sz w:val="24"/>
          <w:szCs w:val="24"/>
          <w:highlight w:val="none"/>
        </w:rPr>
        <w:t>被视为投标无效。</w:t>
      </w:r>
    </w:p>
    <w:p>
      <w:pPr>
        <w:spacing w:line="460" w:lineRule="exact"/>
        <w:ind w:left="454" w:hanging="454"/>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11.3投标文件因字迹潦草或表达不清所引起的后果由投标人负责。</w:t>
      </w:r>
    </w:p>
    <w:p>
      <w:pPr>
        <w:pStyle w:val="6"/>
        <w:spacing w:after="0"/>
        <w:outlineLvl w:val="3"/>
        <w:rPr>
          <w:rFonts w:cs="仿宋" w:asciiTheme="minorEastAsia" w:hAnsiTheme="minorEastAsia" w:eastAsiaTheme="minorEastAsia"/>
          <w:color w:val="auto"/>
          <w:sz w:val="24"/>
          <w:szCs w:val="24"/>
          <w:highlight w:val="none"/>
        </w:rPr>
      </w:pPr>
      <w:bookmarkStart w:id="49" w:name="_Toc262628453"/>
      <w:bookmarkStart w:id="50" w:name="_Toc286758318"/>
      <w:r>
        <w:rPr>
          <w:rFonts w:hint="eastAsia" w:cs="仿宋" w:asciiTheme="minorEastAsia" w:hAnsiTheme="minorEastAsia" w:eastAsiaTheme="minorEastAsia"/>
          <w:color w:val="auto"/>
          <w:sz w:val="24"/>
          <w:szCs w:val="24"/>
          <w:highlight w:val="none"/>
        </w:rPr>
        <w:t>12. 投标文件计量单位</w:t>
      </w:r>
      <w:bookmarkEnd w:id="49"/>
      <w:r>
        <w:rPr>
          <w:rFonts w:hint="eastAsia" w:cs="仿宋" w:asciiTheme="minorEastAsia" w:hAnsiTheme="minorEastAsia" w:eastAsiaTheme="minorEastAsia"/>
          <w:color w:val="auto"/>
          <w:sz w:val="24"/>
          <w:szCs w:val="24"/>
          <w:highlight w:val="none"/>
        </w:rPr>
        <w:tab/>
      </w:r>
    </w:p>
    <w:p>
      <w:pPr>
        <w:spacing w:line="460" w:lineRule="exact"/>
        <w:ind w:left="454" w:hanging="454"/>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12.1投标文件中所使用的计量单位, 除招标文件中有特殊要求外，均应采用国家法定计量单位。</w:t>
      </w:r>
    </w:p>
    <w:p>
      <w:pPr>
        <w:pStyle w:val="6"/>
        <w:spacing w:after="0"/>
        <w:ind w:left="482" w:hanging="520" w:hangingChars="200"/>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13.提供相同品牌产品的不同投标人参加同一合同项下投标的，参加评标、获得中标人推荐资格的认定</w:t>
      </w:r>
    </w:p>
    <w:p>
      <w:pPr>
        <w:spacing w:line="460" w:lineRule="exact"/>
        <w:ind w:left="600" w:hanging="600" w:hangingChars="2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13.1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其他投标无效。</w:t>
      </w:r>
    </w:p>
    <w:p>
      <w:pPr>
        <w:spacing w:line="460" w:lineRule="exact"/>
        <w:ind w:left="720" w:hanging="720" w:hangingChars="3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pPr>
        <w:spacing w:line="440" w:lineRule="exact"/>
        <w:ind w:left="720" w:hanging="720" w:hangingChars="300"/>
        <w:rPr>
          <w:rFonts w:cs="仿宋" w:asciiTheme="minorEastAsia" w:hAnsiTheme="minorEastAsia" w:eastAsiaTheme="minorEastAsia"/>
          <w:b/>
          <w:color w:val="auto"/>
          <w:sz w:val="24"/>
          <w:szCs w:val="24"/>
          <w:highlight w:val="none"/>
        </w:rPr>
      </w:pPr>
      <w:r>
        <w:rPr>
          <w:rFonts w:hint="eastAsia" w:cs="仿宋" w:asciiTheme="minorEastAsia" w:hAnsiTheme="minorEastAsia" w:eastAsiaTheme="minorEastAsia"/>
          <w:color w:val="auto"/>
          <w:sz w:val="24"/>
          <w:szCs w:val="24"/>
          <w:highlight w:val="none"/>
        </w:rPr>
        <w:t>13.3非单一产品采购项目，多家投标人提供的核心产品品牌相同的，依据招标文件规定的评分办法，按13.1或13.2条规定处理。核心产品见“投标人须知前附表”。</w:t>
      </w:r>
    </w:p>
    <w:p>
      <w:pPr>
        <w:pStyle w:val="6"/>
        <w:spacing w:after="0"/>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14. 投标文件的构成</w:t>
      </w:r>
      <w:bookmarkEnd w:id="50"/>
    </w:p>
    <w:p>
      <w:pPr>
        <w:spacing w:line="46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14.1投标文件应由下列部分构成。（格式详见“第四章 投标文件格式”）</w:t>
      </w:r>
    </w:p>
    <w:p>
      <w:pPr>
        <w:spacing w:line="460" w:lineRule="exact"/>
        <w:ind w:left="454" w:hanging="454"/>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 投标书</w:t>
      </w:r>
    </w:p>
    <w:p>
      <w:pPr>
        <w:spacing w:line="460" w:lineRule="exact"/>
        <w:ind w:left="454" w:hanging="454"/>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（2）开标一览表</w:t>
      </w:r>
    </w:p>
    <w:p>
      <w:pPr>
        <w:spacing w:line="460" w:lineRule="exact"/>
        <w:ind w:left="454" w:hanging="454"/>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 分项报价表</w:t>
      </w:r>
    </w:p>
    <w:p>
      <w:pPr>
        <w:spacing w:line="460" w:lineRule="exact"/>
        <w:ind w:left="454" w:hanging="454"/>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（4）开标一览明细表</w:t>
      </w:r>
    </w:p>
    <w:p>
      <w:pPr>
        <w:spacing w:line="460" w:lineRule="exact"/>
        <w:ind w:left="454" w:hanging="454"/>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（5）技术需求响应/偏离表</w:t>
      </w:r>
    </w:p>
    <w:p>
      <w:pPr>
        <w:spacing w:line="460" w:lineRule="exact"/>
        <w:ind w:left="454" w:hanging="454"/>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（6）商务条件响应/偏离表</w:t>
      </w:r>
    </w:p>
    <w:p>
      <w:pPr>
        <w:spacing w:line="460" w:lineRule="exact"/>
        <w:ind w:left="454" w:hanging="454"/>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（7）投标人应当提交的资格、资信证明文件</w:t>
      </w:r>
    </w:p>
    <w:p>
      <w:pPr>
        <w:spacing w:line="460" w:lineRule="exact"/>
        <w:ind w:left="454" w:hanging="454"/>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（8）为落实政府采购政策投标人须提供的证明材料</w:t>
      </w:r>
    </w:p>
    <w:p>
      <w:pPr>
        <w:spacing w:line="460" w:lineRule="exact"/>
        <w:ind w:left="454" w:hanging="454"/>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（9）技术文件</w:t>
      </w:r>
    </w:p>
    <w:p>
      <w:pPr>
        <w:spacing w:line="460" w:lineRule="exact"/>
        <w:ind w:left="454" w:hanging="454"/>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（10）其他资料</w:t>
      </w:r>
    </w:p>
    <w:p>
      <w:pPr>
        <w:spacing w:line="46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14.2投标人应编写投标文件目录及页码。</w:t>
      </w:r>
    </w:p>
    <w:p>
      <w:pPr>
        <w:pStyle w:val="6"/>
        <w:spacing w:after="0"/>
        <w:outlineLvl w:val="3"/>
        <w:rPr>
          <w:rFonts w:cs="仿宋" w:asciiTheme="minorEastAsia" w:hAnsiTheme="minorEastAsia" w:eastAsiaTheme="minorEastAsia"/>
          <w:color w:val="auto"/>
          <w:sz w:val="24"/>
          <w:szCs w:val="24"/>
          <w:highlight w:val="none"/>
        </w:rPr>
      </w:pPr>
      <w:bookmarkStart w:id="51" w:name="_Toc286758321"/>
      <w:r>
        <w:rPr>
          <w:rFonts w:hint="eastAsia" w:cs="仿宋" w:asciiTheme="minorEastAsia" w:hAnsiTheme="minorEastAsia" w:eastAsiaTheme="minorEastAsia"/>
          <w:color w:val="auto"/>
          <w:sz w:val="24"/>
          <w:szCs w:val="24"/>
          <w:highlight w:val="none"/>
        </w:rPr>
        <w:t>15. 投标报价</w:t>
      </w:r>
      <w:bookmarkEnd w:id="51"/>
    </w:p>
    <w:p>
      <w:pPr>
        <w:spacing w:line="460" w:lineRule="exact"/>
        <w:ind w:left="720" w:hanging="720" w:hangingChars="3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15.1所有投标均以人民币报价，报价内容包含招标文件规定的货物附属售后服务，标准附件，备品备件，专用工具，安装、调试、检验，培训，技术服务，运至最终目的地的运费和保险费等相关费用。</w:t>
      </w:r>
    </w:p>
    <w:p>
      <w:pPr>
        <w:spacing w:line="460" w:lineRule="exact"/>
        <w:ind w:left="480" w:hanging="480" w:hanging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15.2投标人要按开标一览表（统一格式）和分项报价表（统一格式）、开标一览明细表的内容填写产品单价、总价及其他事项。投标总价中不得包含招标文件要求以外的内容，否则，在评标时不予核减。若投标人不同意，</w:t>
      </w:r>
      <w:r>
        <w:rPr>
          <w:rFonts w:hint="eastAsia" w:cs="仿宋" w:asciiTheme="minorEastAsia" w:hAnsiTheme="minorEastAsia" w:eastAsiaTheme="minorEastAsia"/>
          <w:b/>
          <w:color w:val="auto"/>
          <w:sz w:val="24"/>
          <w:szCs w:val="24"/>
          <w:highlight w:val="none"/>
        </w:rPr>
        <w:t>投标无效。</w:t>
      </w:r>
    </w:p>
    <w:p>
      <w:pPr>
        <w:spacing w:line="460" w:lineRule="exact"/>
        <w:ind w:left="600" w:hanging="600" w:hangingChars="2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15.3投标总价中如缺漏招标文件所要求的内容，投标人中标后须提供，且中标价以投标报价为准。若投标人不同意，</w:t>
      </w:r>
      <w:r>
        <w:rPr>
          <w:rFonts w:hint="eastAsia" w:cs="仿宋" w:asciiTheme="minorEastAsia" w:hAnsiTheme="minorEastAsia" w:eastAsiaTheme="minorEastAsia"/>
          <w:b/>
          <w:color w:val="auto"/>
          <w:sz w:val="24"/>
          <w:szCs w:val="24"/>
          <w:highlight w:val="none"/>
        </w:rPr>
        <w:t>投标无效。</w:t>
      </w:r>
    </w:p>
    <w:p>
      <w:pPr>
        <w:spacing w:line="460" w:lineRule="exact"/>
        <w:ind w:left="480" w:hanging="480" w:hanging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15.4 投标人所报的投标价在合同执行过程中是固定不变的，不得以任何理由予以变更。投标人应对所有招标内容进行投标，且只提供最优方案一套，投标人提交任何包含价格调整要求的投标将按非实质性响应投标，</w:t>
      </w:r>
      <w:r>
        <w:rPr>
          <w:rFonts w:hint="eastAsia" w:cs="仿宋" w:asciiTheme="minorEastAsia" w:hAnsiTheme="minorEastAsia" w:eastAsiaTheme="minorEastAsia"/>
          <w:b/>
          <w:color w:val="auto"/>
          <w:sz w:val="24"/>
          <w:szCs w:val="24"/>
          <w:highlight w:val="none"/>
        </w:rPr>
        <w:t>投标无效。</w:t>
      </w:r>
    </w:p>
    <w:p>
      <w:pPr>
        <w:spacing w:line="460" w:lineRule="exact"/>
        <w:ind w:left="480" w:hanging="480" w:hanging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15.5 投标人如需用外汇购入某些投标货物，须折合人民币（包含进口环节税）计入总报价中。</w:t>
      </w:r>
    </w:p>
    <w:p>
      <w:pPr>
        <w:spacing w:line="46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15.6 </w:t>
      </w:r>
      <w:r>
        <w:rPr>
          <w:rFonts w:hint="eastAsia" w:cs="仿宋" w:asciiTheme="minorEastAsia" w:hAnsiTheme="minorEastAsia" w:eastAsiaTheme="minorEastAsia"/>
          <w:b/>
          <w:color w:val="auto"/>
          <w:sz w:val="24"/>
          <w:szCs w:val="24"/>
          <w:highlight w:val="none"/>
        </w:rPr>
        <w:t>最低报价不能作为中标的保证。</w:t>
      </w:r>
    </w:p>
    <w:p>
      <w:pPr>
        <w:pStyle w:val="6"/>
        <w:spacing w:after="0"/>
        <w:outlineLvl w:val="3"/>
        <w:rPr>
          <w:rFonts w:cs="仿宋" w:asciiTheme="minorEastAsia" w:hAnsiTheme="minorEastAsia" w:eastAsiaTheme="minorEastAsia"/>
          <w:color w:val="auto"/>
          <w:sz w:val="24"/>
          <w:szCs w:val="24"/>
          <w:highlight w:val="none"/>
        </w:rPr>
      </w:pPr>
      <w:bookmarkStart w:id="52" w:name="_Toc286758322"/>
      <w:r>
        <w:rPr>
          <w:rFonts w:hint="eastAsia" w:cs="仿宋" w:asciiTheme="minorEastAsia" w:hAnsiTheme="minorEastAsia" w:eastAsiaTheme="minorEastAsia"/>
          <w:color w:val="auto"/>
          <w:sz w:val="24"/>
          <w:szCs w:val="24"/>
          <w:highlight w:val="none"/>
        </w:rPr>
        <w:t>16.投标保证金</w:t>
      </w:r>
      <w:bookmarkEnd w:id="52"/>
    </w:p>
    <w:p>
      <w:pPr>
        <w:spacing w:line="460" w:lineRule="exact"/>
        <w:ind w:left="567" w:hanging="567"/>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16.1投标人须在投标文件递交截止时间之前向采购代理机构提交投标保证金，并作为其投标文件的一部分，</w:t>
      </w:r>
      <w:r>
        <w:rPr>
          <w:rFonts w:hint="eastAsia" w:cs="仿宋" w:asciiTheme="minorEastAsia" w:hAnsiTheme="minorEastAsia" w:eastAsiaTheme="minorEastAsia"/>
          <w:bCs/>
          <w:color w:val="auto"/>
          <w:sz w:val="24"/>
          <w:szCs w:val="24"/>
          <w:highlight w:val="none"/>
        </w:rPr>
        <w:t>详见</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bCs/>
          <w:color w:val="auto"/>
          <w:sz w:val="24"/>
          <w:szCs w:val="24"/>
          <w:highlight w:val="none"/>
        </w:rPr>
        <w:t>投标人须知前附表”</w:t>
      </w:r>
      <w:r>
        <w:rPr>
          <w:rFonts w:hint="eastAsia" w:cs="仿宋" w:asciiTheme="minorEastAsia" w:hAnsiTheme="minorEastAsia" w:eastAsiaTheme="minorEastAsia"/>
          <w:color w:val="auto"/>
          <w:sz w:val="24"/>
          <w:szCs w:val="24"/>
          <w:highlight w:val="none"/>
        </w:rPr>
        <w:t>。</w:t>
      </w:r>
    </w:p>
    <w:p>
      <w:pPr>
        <w:spacing w:line="460" w:lineRule="exact"/>
        <w:ind w:left="525" w:leftChars="2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联合体投标的，可以由联合体中的一方或者共同提交投标保证金，以一方名义提交投标保证金的，对联合体各方均具有约束力。</w:t>
      </w:r>
      <w:r>
        <w:rPr>
          <w:rFonts w:hint="eastAsia" w:cs="仿宋" w:asciiTheme="minorEastAsia" w:hAnsiTheme="minorEastAsia" w:eastAsiaTheme="minorEastAsia"/>
          <w:b/>
          <w:i/>
          <w:color w:val="auto"/>
          <w:sz w:val="24"/>
          <w:szCs w:val="24"/>
          <w:highlight w:val="none"/>
        </w:rPr>
        <w:t>（适用联合体投标）</w:t>
      </w:r>
    </w:p>
    <w:p>
      <w:pPr>
        <w:spacing w:line="460" w:lineRule="exact"/>
        <w:ind w:left="960" w:hanging="960" w:hangingChars="4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16.2 任何未按“投标人须知第16.1条”要求提交投标保证金的投标文件，</w:t>
      </w:r>
      <w:r>
        <w:rPr>
          <w:rFonts w:hint="eastAsia" w:cs="仿宋" w:asciiTheme="minorEastAsia" w:hAnsiTheme="minorEastAsia" w:eastAsiaTheme="minorEastAsia"/>
          <w:b/>
          <w:color w:val="auto"/>
          <w:sz w:val="24"/>
          <w:szCs w:val="24"/>
          <w:highlight w:val="none"/>
        </w:rPr>
        <w:t>投标无效。</w:t>
      </w:r>
    </w:p>
    <w:p>
      <w:pPr>
        <w:spacing w:line="460" w:lineRule="exact"/>
        <w:ind w:left="567" w:hanging="567"/>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16.3自中标通知书发出之日起5个工作日内退还未中标人的投标保证金，自采购合同签订之日起5个工作日内退还中标人的投标保证金。</w:t>
      </w:r>
    </w:p>
    <w:p>
      <w:pPr>
        <w:spacing w:line="460" w:lineRule="exact"/>
        <w:ind w:left="567" w:hanging="567"/>
        <w:rPr>
          <w:rFonts w:cs="仿宋" w:asciiTheme="minorEastAsia" w:hAnsiTheme="minorEastAsia" w:eastAsiaTheme="minorEastAsia"/>
          <w:b/>
          <w:color w:val="auto"/>
          <w:sz w:val="24"/>
          <w:szCs w:val="24"/>
          <w:highlight w:val="none"/>
        </w:rPr>
      </w:pPr>
      <w:r>
        <w:rPr>
          <w:rFonts w:hint="eastAsia" w:cs="仿宋" w:asciiTheme="minorEastAsia" w:hAnsiTheme="minorEastAsia" w:eastAsiaTheme="minorEastAsia"/>
          <w:color w:val="auto"/>
          <w:sz w:val="24"/>
          <w:szCs w:val="24"/>
          <w:highlight w:val="none"/>
        </w:rPr>
        <w:t>16.4投标人在投标截止时间前撤回已提交的投标文件的，采购代理机构应当自投标截止之日起5个工作日内，退还已收取的投标保证金，但因投标人自身原因导致无法及时退还的除外。</w:t>
      </w:r>
    </w:p>
    <w:p>
      <w:pPr>
        <w:spacing w:line="460" w:lineRule="exact"/>
        <w:ind w:left="567" w:hanging="567"/>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16.5下列任何情况发生时，不予退还其交纳的投标保证金</w:t>
      </w:r>
    </w:p>
    <w:p>
      <w:pPr>
        <w:spacing w:line="460" w:lineRule="exact"/>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（1)投标人在投标有效期内撤回其投标；</w:t>
      </w:r>
    </w:p>
    <w:p>
      <w:pPr>
        <w:spacing w:line="460" w:lineRule="exact"/>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（2)中标人未按招标文件所述规定签订合同；</w:t>
      </w:r>
    </w:p>
    <w:p>
      <w:pPr>
        <w:spacing w:line="460" w:lineRule="exact"/>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（3)中标人未按规定缴付采购代理服务费；</w:t>
      </w:r>
    </w:p>
    <w:p>
      <w:pPr>
        <w:spacing w:line="460" w:lineRule="exact"/>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（4)中标人未按规定提交履约保证金；</w:t>
      </w:r>
      <w:r>
        <w:rPr>
          <w:rFonts w:hint="eastAsia" w:cs="仿宋" w:asciiTheme="minorEastAsia" w:hAnsiTheme="minorEastAsia" w:eastAsiaTheme="minorEastAsia"/>
          <w:b/>
          <w:color w:val="auto"/>
          <w:sz w:val="24"/>
          <w:szCs w:val="24"/>
          <w:highlight w:val="none"/>
        </w:rPr>
        <w:t>（如招标文件要求提交履约保证金）</w:t>
      </w:r>
    </w:p>
    <w:p>
      <w:pPr>
        <w:spacing w:line="460" w:lineRule="exact"/>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（5)中标人提供虚假材料和文件意图骗取中标。</w:t>
      </w:r>
    </w:p>
    <w:p>
      <w:pPr>
        <w:pStyle w:val="6"/>
        <w:spacing w:after="0"/>
        <w:outlineLvl w:val="3"/>
        <w:rPr>
          <w:rFonts w:cs="仿宋" w:asciiTheme="minorEastAsia" w:hAnsiTheme="minorEastAsia" w:eastAsiaTheme="minorEastAsia"/>
          <w:color w:val="auto"/>
          <w:sz w:val="24"/>
          <w:szCs w:val="24"/>
          <w:highlight w:val="none"/>
        </w:rPr>
      </w:pPr>
      <w:bookmarkStart w:id="53" w:name="_Toc286758323"/>
      <w:r>
        <w:rPr>
          <w:rFonts w:hint="eastAsia" w:cs="仿宋" w:asciiTheme="minorEastAsia" w:hAnsiTheme="minorEastAsia" w:eastAsiaTheme="minorEastAsia"/>
          <w:color w:val="auto"/>
          <w:sz w:val="24"/>
          <w:szCs w:val="24"/>
          <w:highlight w:val="none"/>
        </w:rPr>
        <w:t>17.投标有效期</w:t>
      </w:r>
      <w:bookmarkEnd w:id="53"/>
    </w:p>
    <w:p>
      <w:pPr>
        <w:spacing w:line="460" w:lineRule="exact"/>
        <w:ind w:left="567" w:hanging="567"/>
        <w:rPr>
          <w:rFonts w:cs="仿宋" w:asciiTheme="minorEastAsia" w:hAnsiTheme="minorEastAsia" w:eastAsiaTheme="minorEastAsia"/>
          <w:b/>
          <w:color w:val="auto"/>
          <w:sz w:val="24"/>
          <w:szCs w:val="24"/>
          <w:highlight w:val="none"/>
        </w:rPr>
      </w:pPr>
      <w:r>
        <w:rPr>
          <w:rFonts w:hint="eastAsia" w:cs="仿宋" w:asciiTheme="minorEastAsia" w:hAnsiTheme="minorEastAsia" w:eastAsiaTheme="minorEastAsia"/>
          <w:color w:val="auto"/>
          <w:sz w:val="24"/>
          <w:szCs w:val="24"/>
          <w:highlight w:val="none"/>
        </w:rPr>
        <w:t>17.1投标有效期从提交投标文件的截止之日起算。投标文件中承诺的投标有效期应不少于招标文件中载明的投标有效期。并在投标文件中承诺的投标有效期内保持有效。招标文件中载明的投标有效期详见“投标人须知前附表”，投标有效期不足的投标，</w:t>
      </w:r>
      <w:r>
        <w:rPr>
          <w:rFonts w:hint="eastAsia" w:cs="仿宋" w:asciiTheme="minorEastAsia" w:hAnsiTheme="minorEastAsia" w:eastAsiaTheme="minorEastAsia"/>
          <w:b/>
          <w:color w:val="auto"/>
          <w:sz w:val="24"/>
          <w:szCs w:val="24"/>
          <w:highlight w:val="none"/>
        </w:rPr>
        <w:t>投标无效</w:t>
      </w:r>
      <w:r>
        <w:rPr>
          <w:rFonts w:hint="eastAsia" w:cs="仿宋" w:asciiTheme="minorEastAsia" w:hAnsiTheme="minorEastAsia" w:eastAsiaTheme="minorEastAsia"/>
          <w:color w:val="auto"/>
          <w:sz w:val="24"/>
          <w:szCs w:val="24"/>
          <w:highlight w:val="none"/>
        </w:rPr>
        <w:t>。</w:t>
      </w:r>
    </w:p>
    <w:p>
      <w:pPr>
        <w:spacing w:line="460" w:lineRule="exact"/>
        <w:ind w:left="567" w:hanging="567"/>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17.2在特殊情况下，采购代理机构可延长投标有效期。延长投标有效期在江西政府采购网以及江西省公共资源交易网上发布，延期函以网上公告的形式通知所有已参加投标的投标人。已参加投标的投标人应以书面形式答复采购代理机构，同意延长有效期的投标人不能修改其投标文件，有关投标保证金的规定在投标有效期的延长期内继续有效。</w:t>
      </w:r>
    </w:p>
    <w:p>
      <w:pPr>
        <w:pStyle w:val="6"/>
        <w:spacing w:after="0"/>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18.投标文件的递交</w:t>
      </w:r>
    </w:p>
    <w:p>
      <w:pPr>
        <w:spacing w:line="460" w:lineRule="exact"/>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18.1投标截止时间</w:t>
      </w:r>
    </w:p>
    <w:p>
      <w:pPr>
        <w:spacing w:line="46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18.1.1投标截止时间详见“第一章 投标邀请”。</w:t>
      </w:r>
    </w:p>
    <w:p>
      <w:pPr>
        <w:spacing w:line="460" w:lineRule="exact"/>
        <w:ind w:left="567" w:hanging="567"/>
        <w:rPr>
          <w:rFonts w:cs="仿宋" w:asciiTheme="minorEastAsia" w:hAnsiTheme="minorEastAsia" w:eastAsiaTheme="minorEastAsia"/>
          <w:b/>
          <w:color w:val="auto"/>
          <w:sz w:val="24"/>
          <w:szCs w:val="24"/>
          <w:highlight w:val="none"/>
        </w:rPr>
      </w:pPr>
      <w:r>
        <w:rPr>
          <w:rFonts w:hint="eastAsia" w:cs="仿宋" w:asciiTheme="minorEastAsia" w:hAnsiTheme="minorEastAsia" w:eastAsiaTheme="minorEastAsia"/>
          <w:color w:val="auto"/>
          <w:sz w:val="24"/>
          <w:szCs w:val="24"/>
          <w:highlight w:val="none"/>
        </w:rPr>
        <w:t>18.1.2</w:t>
      </w:r>
      <w:r>
        <w:rPr>
          <w:rFonts w:hint="eastAsia" w:ascii="宋体" w:hAnsi="宋体" w:cs="宋体"/>
          <w:color w:val="auto"/>
          <w:sz w:val="24"/>
          <w:szCs w:val="24"/>
          <w:highlight w:val="none"/>
        </w:rPr>
        <w:t>电子版投标文件必须在招标文件规定的投标截止时间前上传到江西省公共资源交</w:t>
      </w:r>
      <w:r>
        <w:rPr>
          <w:rFonts w:hint="eastAsia" w:ascii="宋体" w:hAnsi="宋体" w:eastAsia="宋体" w:cs="宋体"/>
          <w:color w:val="auto"/>
          <w:sz w:val="24"/>
          <w:szCs w:val="24"/>
          <w:highlight w:val="none"/>
        </w:rPr>
        <w:t>易网</w:t>
      </w:r>
      <w:r>
        <w:rPr>
          <w:rFonts w:hint="eastAsia" w:ascii="宋体" w:hAnsi="宋体" w:cs="宋体"/>
          <w:sz w:val="24"/>
          <w:szCs w:val="24"/>
          <w:highlight w:val="none"/>
        </w:rPr>
        <w:t>，</w:t>
      </w:r>
      <w:r>
        <w:rPr>
          <w:rFonts w:hint="eastAsia" w:ascii="宋体" w:hAnsi="宋体" w:cs="宋体"/>
          <w:b/>
          <w:sz w:val="24"/>
          <w:szCs w:val="24"/>
          <w:highlight w:val="none"/>
        </w:rPr>
        <w:t>否则投标无效。</w:t>
      </w:r>
    </w:p>
    <w:p>
      <w:pPr>
        <w:spacing w:line="460" w:lineRule="exact"/>
        <w:ind w:left="567" w:hanging="567"/>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18.1.3采购代理机构推迟投标截止时间，在江西政府采购网以及江西省公共资源交易网上发布延期公告，延期函以网上公告的形式通知所有已下载招标文件的投标人。在这种情况下，采购代理机构、采购人和投标人受投标截止时间制约的所有权利和义务均应延长至新的投标截止时间。</w:t>
      </w:r>
    </w:p>
    <w:p>
      <w:pPr>
        <w:spacing w:line="460" w:lineRule="exact"/>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18.2迟交的投标文件</w:t>
      </w:r>
    </w:p>
    <w:p>
      <w:pPr>
        <w:spacing w:line="460" w:lineRule="exact"/>
        <w:ind w:left="600" w:hanging="600" w:hangingChars="2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18.2.1</w:t>
      </w:r>
      <w:r>
        <w:rPr>
          <w:rFonts w:hint="eastAsia" w:ascii="宋体" w:hAnsi="宋体" w:cs="宋体"/>
          <w:sz w:val="24"/>
          <w:szCs w:val="24"/>
          <w:highlight w:val="none"/>
        </w:rPr>
        <w:t>在投标截止时间以后将无法进行网上在线签到，</w:t>
      </w:r>
      <w:r>
        <w:rPr>
          <w:rFonts w:hint="eastAsia" w:ascii="宋体" w:hAnsi="宋体" w:cs="宋体"/>
          <w:sz w:val="24"/>
          <w:szCs w:val="24"/>
          <w:highlight w:val="none"/>
          <w:lang w:val="en-US" w:eastAsia="zh-CN"/>
        </w:rPr>
        <w:t>视为</w:t>
      </w:r>
      <w:r>
        <w:rPr>
          <w:rFonts w:hint="eastAsia" w:ascii="宋体" w:hAnsi="宋体" w:cs="仿宋"/>
          <w:sz w:val="24"/>
          <w:szCs w:val="24"/>
          <w:highlight w:val="none"/>
          <w:lang w:val="en-US" w:eastAsia="zh-CN"/>
        </w:rPr>
        <w:t>投标无效。</w:t>
      </w:r>
    </w:p>
    <w:p>
      <w:pPr>
        <w:spacing w:line="460" w:lineRule="exact"/>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18.3投标文件的修改和撤回</w:t>
      </w:r>
    </w:p>
    <w:p>
      <w:pPr>
        <w:spacing w:line="460" w:lineRule="exact"/>
        <w:ind w:left="720" w:hanging="720" w:hangingChars="3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18.3.1在投标截止时间前，投标人修改或撤回投标文件的，投标人可以在江西省公共资源交易网上重新上传修改后投标文件或撤回其投标。</w:t>
      </w:r>
    </w:p>
    <w:p>
      <w:pPr>
        <w:spacing w:line="460" w:lineRule="exact"/>
        <w:ind w:left="720" w:hanging="720" w:hangingChars="3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18.3.2从投标截止期至投标有效期期满这段时间内，投标人不得撤回其投标，否则不予退还其交纳的投标保证金。</w:t>
      </w:r>
    </w:p>
    <w:p>
      <w:pPr>
        <w:pStyle w:val="6"/>
        <w:spacing w:after="0"/>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19.分包的规定</w:t>
      </w:r>
    </w:p>
    <w:p>
      <w:pPr>
        <w:spacing w:line="460" w:lineRule="exact"/>
        <w:ind w:left="567" w:hanging="567"/>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19.1 本项目是否允许分包：详见“投标人须知前附表”。</w:t>
      </w:r>
    </w:p>
    <w:p>
      <w:pPr>
        <w:spacing w:line="460" w:lineRule="exact"/>
        <w:ind w:left="567" w:hanging="567"/>
        <w:rPr>
          <w:rFonts w:hint="eastAsia" w:cs="仿宋" w:asciiTheme="minorEastAsia" w:hAnsiTheme="minorEastAsia" w:eastAsiaTheme="minorEastAsia"/>
          <w:b/>
          <w:i/>
          <w:color w:val="auto"/>
          <w:sz w:val="24"/>
          <w:szCs w:val="24"/>
          <w:highlight w:val="none"/>
        </w:rPr>
      </w:pPr>
      <w:r>
        <w:rPr>
          <w:rFonts w:hint="eastAsia" w:cs="仿宋" w:asciiTheme="minorEastAsia" w:hAnsiTheme="minorEastAsia" w:eastAsiaTheme="minorEastAsia"/>
          <w:color w:val="auto"/>
          <w:sz w:val="24"/>
          <w:szCs w:val="24"/>
          <w:highlight w:val="none"/>
        </w:rPr>
        <w:t>19.2在中标后将中标项目的非主体、非关键性工作分包的，应当在投标文件中载明分包承担主体，分包承担主体应当具备相应资质条件且不得再次分包</w:t>
      </w:r>
      <w:r>
        <w:rPr>
          <w:rFonts w:hint="eastAsia" w:cs="仿宋" w:asciiTheme="minorEastAsia" w:hAnsiTheme="minorEastAsia" w:eastAsiaTheme="minorEastAsia"/>
          <w:b/>
          <w:i/>
          <w:color w:val="auto"/>
          <w:sz w:val="24"/>
          <w:szCs w:val="24"/>
          <w:highlight w:val="none"/>
        </w:rPr>
        <w:t>（适用于允许分包）。</w:t>
      </w:r>
    </w:p>
    <w:p>
      <w:pPr>
        <w:pStyle w:val="6"/>
        <w:outlineLvl w:val="3"/>
        <w:rPr>
          <w:b w:val="0"/>
          <w:bCs w:val="0"/>
          <w:highlight w:val="none"/>
        </w:rPr>
      </w:pPr>
      <w:r>
        <w:rPr>
          <w:rFonts w:hint="eastAsia" w:ascii="仿宋" w:hAnsi="仿宋" w:eastAsia="仿宋" w:cs="仿宋"/>
          <w:b w:val="0"/>
          <w:bCs w:val="0"/>
          <w:sz w:val="24"/>
          <w:szCs w:val="24"/>
          <w:highlight w:val="none"/>
        </w:rPr>
        <w:t>19.</w:t>
      </w:r>
      <w:r>
        <w:rPr>
          <w:rFonts w:hint="eastAsia" w:ascii="仿宋" w:hAnsi="仿宋" w:eastAsia="仿宋" w:cs="仿宋"/>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依据</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政府采购促进中小企业发展管理办法》</w:t>
      </w:r>
      <w:r>
        <w:rPr>
          <w:rFonts w:hint="eastAsia" w:asciiTheme="minorEastAsia" w:hAnsiTheme="minorEastAsia" w:eastAsiaTheme="minorEastAsia" w:cstheme="minorEastAsia"/>
          <w:b w:val="0"/>
          <w:bCs w:val="0"/>
          <w:sz w:val="24"/>
          <w:szCs w:val="24"/>
          <w:highlight w:val="none"/>
        </w:rPr>
        <w:t>规定享受扶持政策获得政府采购合同的，小微企业不得将合同分包给大中型企业，中型企业不得将合同分包给大型企业</w:t>
      </w:r>
      <w:r>
        <w:rPr>
          <w:rFonts w:hint="eastAsia" w:asciiTheme="minorEastAsia" w:hAnsiTheme="minorEastAsia" w:eastAsiaTheme="minorEastAsia" w:cstheme="minorEastAsia"/>
          <w:b w:val="0"/>
          <w:bCs w:val="0"/>
          <w:i/>
          <w:sz w:val="24"/>
          <w:szCs w:val="24"/>
          <w:highlight w:val="none"/>
        </w:rPr>
        <w:t>（适用于允许分包）。</w:t>
      </w:r>
    </w:p>
    <w:p>
      <w:pPr>
        <w:pStyle w:val="6"/>
        <w:spacing w:after="0"/>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20.恶意串通等行为的处理及串通投标情形的认定</w:t>
      </w:r>
    </w:p>
    <w:p>
      <w:pPr>
        <w:widowControl/>
        <w:spacing w:before="100" w:beforeAutospacing="1" w:after="100" w:afterAutospacing="1" w:line="360" w:lineRule="auto"/>
        <w:ind w:left="480" w:hanging="480" w:hangingChars="200"/>
        <w:jc w:val="lef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20.1投标人应当遵循公平竞争的原则，不得恶意串通，不得妨碍其他投标人的竞争行为，不得损害采购人或者其他投标人的合法权益。</w:t>
      </w:r>
    </w:p>
    <w:p>
      <w:pPr>
        <w:widowControl/>
        <w:spacing w:before="100" w:beforeAutospacing="1" w:after="100" w:afterAutospacing="1" w:line="360" w:lineRule="auto"/>
        <w:ind w:left="480" w:hanging="480" w:hangingChars="200"/>
        <w:jc w:val="lef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在评标过程中发现投标人有上述情形的，评标委员会应当认定其</w:t>
      </w:r>
      <w:r>
        <w:rPr>
          <w:rFonts w:hint="eastAsia" w:cs="仿宋" w:asciiTheme="minorEastAsia" w:hAnsiTheme="minorEastAsia" w:eastAsiaTheme="minorEastAsia"/>
          <w:b/>
          <w:color w:val="auto"/>
          <w:sz w:val="24"/>
          <w:szCs w:val="24"/>
          <w:highlight w:val="none"/>
        </w:rPr>
        <w:t>投标无效</w:t>
      </w:r>
      <w:r>
        <w:rPr>
          <w:rFonts w:hint="eastAsia" w:cs="仿宋" w:asciiTheme="minorEastAsia" w:hAnsiTheme="minorEastAsia" w:eastAsiaTheme="minorEastAsia"/>
          <w:color w:val="auto"/>
          <w:sz w:val="24"/>
          <w:szCs w:val="24"/>
          <w:highlight w:val="none"/>
        </w:rPr>
        <w:t>，并书面报告本级财政部门。</w:t>
      </w:r>
    </w:p>
    <w:p>
      <w:pPr>
        <w:widowControl/>
        <w:spacing w:before="100" w:beforeAutospacing="1" w:after="100" w:afterAutospacing="1" w:line="360" w:lineRule="auto"/>
        <w:jc w:val="lef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20.2有下列情形之一的，视为投标人串通投标，其</w:t>
      </w:r>
      <w:r>
        <w:rPr>
          <w:rFonts w:hint="eastAsia" w:cs="仿宋" w:asciiTheme="minorEastAsia" w:hAnsiTheme="minorEastAsia" w:eastAsiaTheme="minorEastAsia"/>
          <w:b/>
          <w:color w:val="auto"/>
          <w:sz w:val="24"/>
          <w:szCs w:val="24"/>
          <w:highlight w:val="none"/>
        </w:rPr>
        <w:t>投标无效</w:t>
      </w:r>
    </w:p>
    <w:p>
      <w:pPr>
        <w:widowControl/>
        <w:spacing w:before="100" w:beforeAutospacing="1" w:after="100" w:afterAutospacing="1" w:line="360" w:lineRule="auto"/>
        <w:jc w:val="lef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（1）不同投标人的投标文件由同一单位或者个人编制；</w:t>
      </w:r>
    </w:p>
    <w:p>
      <w:pPr>
        <w:widowControl/>
        <w:spacing w:before="100" w:beforeAutospacing="1" w:after="100" w:afterAutospacing="1" w:line="360" w:lineRule="auto"/>
        <w:jc w:val="lef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（2）不同投标人委托同一单位或者个人办理投标事宜；</w:t>
      </w:r>
    </w:p>
    <w:p>
      <w:pPr>
        <w:widowControl/>
        <w:spacing w:before="100" w:beforeAutospacing="1" w:after="100" w:afterAutospacing="1" w:line="360" w:lineRule="auto"/>
        <w:jc w:val="lef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（3）不同投标人的投标文件载明的项目管理成员或者联系人员为同一人；</w:t>
      </w:r>
    </w:p>
    <w:p>
      <w:pPr>
        <w:widowControl/>
        <w:spacing w:before="100" w:beforeAutospacing="1" w:after="100" w:afterAutospacing="1" w:line="360" w:lineRule="auto"/>
        <w:jc w:val="lef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（4）不同投标人的投标文件异常一致或者投标报价呈规律性差异；</w:t>
      </w:r>
    </w:p>
    <w:p>
      <w:pPr>
        <w:widowControl/>
        <w:spacing w:before="100" w:beforeAutospacing="1" w:after="100" w:afterAutospacing="1" w:line="360" w:lineRule="auto"/>
        <w:jc w:val="lef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（5）不同投标人的投标文件相互混装；</w:t>
      </w:r>
    </w:p>
    <w:p>
      <w:pPr>
        <w:widowControl/>
        <w:spacing w:before="100" w:beforeAutospacing="1" w:after="100" w:afterAutospacing="1" w:line="360" w:lineRule="auto"/>
        <w:jc w:val="lef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（6）不同投标人的投标保证金从同一单位或者个人的账户转出。</w:t>
      </w:r>
    </w:p>
    <w:p>
      <w:pPr>
        <w:pStyle w:val="4"/>
        <w:spacing w:before="0" w:after="0" w:line="460" w:lineRule="exact"/>
        <w:jc w:val="center"/>
        <w:rPr>
          <w:rFonts w:cs="仿宋" w:asciiTheme="minorEastAsia" w:hAnsiTheme="minorEastAsia" w:eastAsiaTheme="minorEastAsia"/>
          <w:color w:val="auto"/>
          <w:sz w:val="28"/>
          <w:szCs w:val="28"/>
          <w:highlight w:val="none"/>
        </w:rPr>
      </w:pPr>
      <w:bookmarkStart w:id="54" w:name="_Toc30201"/>
      <w:r>
        <w:rPr>
          <w:rFonts w:hint="eastAsia" w:cs="仿宋" w:asciiTheme="minorEastAsia" w:hAnsiTheme="minorEastAsia" w:eastAsiaTheme="minorEastAsia"/>
          <w:color w:val="auto"/>
          <w:sz w:val="28"/>
          <w:szCs w:val="28"/>
          <w:highlight w:val="none"/>
        </w:rPr>
        <w:t>四、开标</w:t>
      </w:r>
      <w:bookmarkEnd w:id="54"/>
    </w:p>
    <w:p>
      <w:pPr>
        <w:pStyle w:val="6"/>
        <w:spacing w:after="0"/>
        <w:outlineLvl w:val="3"/>
        <w:rPr>
          <w:rFonts w:cs="仿宋" w:asciiTheme="minorEastAsia" w:hAnsiTheme="minorEastAsia" w:eastAsiaTheme="minorEastAsia"/>
          <w:color w:val="auto"/>
          <w:sz w:val="24"/>
          <w:szCs w:val="24"/>
          <w:highlight w:val="none"/>
        </w:rPr>
      </w:pPr>
      <w:bookmarkStart w:id="55" w:name="_Toc286758331"/>
      <w:r>
        <w:rPr>
          <w:rFonts w:hint="eastAsia" w:cs="仿宋" w:asciiTheme="minorEastAsia" w:hAnsiTheme="minorEastAsia" w:eastAsiaTheme="minorEastAsia"/>
          <w:color w:val="auto"/>
          <w:sz w:val="24"/>
          <w:szCs w:val="24"/>
          <w:highlight w:val="none"/>
        </w:rPr>
        <w:t>21.开标</w:t>
      </w:r>
      <w:bookmarkEnd w:id="55"/>
    </w:p>
    <w:p>
      <w:pPr>
        <w:keepNext w:val="0"/>
        <w:keepLines w:val="0"/>
        <w:pageBreakBefore w:val="0"/>
        <w:widowControl w:val="0"/>
        <w:kinsoku/>
        <w:wordWrap/>
        <w:overflowPunct/>
        <w:topLinePunct w:val="0"/>
        <w:autoSpaceDE/>
        <w:autoSpaceDN/>
        <w:bidi w:val="0"/>
        <w:adjustRightInd/>
        <w:snapToGrid/>
        <w:spacing w:line="500" w:lineRule="exact"/>
        <w:ind w:left="540" w:hanging="540"/>
        <w:textAlignment w:val="auto"/>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1</w:t>
      </w:r>
      <w:r>
        <w:rPr>
          <w:rFonts w:hint="eastAsia" w:ascii="宋体" w:hAnsi="宋体" w:cs="宋体"/>
          <w:sz w:val="24"/>
          <w:szCs w:val="24"/>
          <w:highlight w:val="none"/>
        </w:rPr>
        <w:t>.1</w:t>
      </w:r>
      <w:r>
        <w:rPr>
          <w:rFonts w:hint="eastAsia" w:ascii="宋体" w:hAnsi="宋体" w:eastAsia="宋体" w:cs="仿宋"/>
          <w:sz w:val="24"/>
          <w:szCs w:val="24"/>
          <w:highlight w:val="none"/>
        </w:rPr>
        <w:t>开标</w:t>
      </w:r>
      <w:r>
        <w:rPr>
          <w:rFonts w:hint="eastAsia" w:ascii="宋体" w:hAnsi="宋体" w:eastAsia="宋体" w:cs="仿宋"/>
          <w:sz w:val="24"/>
          <w:szCs w:val="24"/>
          <w:highlight w:val="none"/>
          <w:lang w:eastAsia="zh-CN"/>
        </w:rPr>
        <w:t>：</w:t>
      </w:r>
      <w:r>
        <w:rPr>
          <w:rFonts w:hint="eastAsia" w:ascii="宋体" w:hAnsi="宋体" w:eastAsia="宋体" w:cs="仿宋"/>
          <w:sz w:val="24"/>
          <w:szCs w:val="24"/>
          <w:highlight w:val="none"/>
          <w:lang w:val="en-US" w:eastAsia="zh-CN"/>
        </w:rPr>
        <w:t>本项目为不见面开标，开标注意事项详见第二章。</w:t>
      </w:r>
    </w:p>
    <w:p>
      <w:pPr>
        <w:pStyle w:val="12"/>
        <w:keepNext w:val="0"/>
        <w:keepLines w:val="0"/>
        <w:pageBreakBefore w:val="0"/>
        <w:widowControl w:val="0"/>
        <w:kinsoku/>
        <w:wordWrap/>
        <w:overflowPunct/>
        <w:topLinePunct w:val="0"/>
        <w:autoSpaceDE/>
        <w:autoSpaceDN/>
        <w:bidi w:val="0"/>
        <w:adjustRightInd/>
        <w:snapToGrid/>
        <w:spacing w:line="500" w:lineRule="exact"/>
        <w:ind w:left="480" w:hanging="480" w:hangingChars="200"/>
        <w:textAlignment w:val="auto"/>
        <w:rPr>
          <w:rFonts w:hint="eastAsia"/>
          <w:highlight w:val="none"/>
        </w:rPr>
      </w:pPr>
      <w:r>
        <w:rPr>
          <w:rFonts w:hint="eastAsia"/>
          <w:highlight w:val="none"/>
        </w:rPr>
        <w:t>2</w:t>
      </w:r>
      <w:r>
        <w:rPr>
          <w:rFonts w:hint="eastAsia"/>
          <w:highlight w:val="none"/>
          <w:lang w:val="en-US" w:eastAsia="zh-CN"/>
        </w:rPr>
        <w:t>1</w:t>
      </w:r>
      <w:r>
        <w:rPr>
          <w:rFonts w:hint="eastAsia"/>
          <w:highlight w:val="none"/>
        </w:rPr>
        <w:t>.2开标由采购人或者采购代理机构主持，邀请投标人在线参加。评标委员会成员不得参加开标活动。</w:t>
      </w:r>
    </w:p>
    <w:p>
      <w:pPr>
        <w:keepNext w:val="0"/>
        <w:keepLines w:val="0"/>
        <w:pageBreakBefore w:val="0"/>
        <w:widowControl w:val="0"/>
        <w:kinsoku/>
        <w:wordWrap/>
        <w:overflowPunct/>
        <w:topLinePunct w:val="0"/>
        <w:autoSpaceDE/>
        <w:autoSpaceDN/>
        <w:bidi w:val="0"/>
        <w:adjustRightInd/>
        <w:snapToGrid/>
        <w:spacing w:line="500" w:lineRule="exact"/>
        <w:ind w:left="540" w:hanging="540"/>
        <w:textAlignment w:val="auto"/>
        <w:rPr>
          <w:rFonts w:hint="eastAsia" w:ascii="宋体" w:hAnsi="宋体" w:eastAsia="宋体" w:cs="仿宋"/>
          <w:sz w:val="24"/>
          <w:szCs w:val="24"/>
          <w:highlight w:val="none"/>
          <w:lang w:val="en-US" w:eastAsia="zh-CN"/>
        </w:rPr>
      </w:pPr>
      <w:r>
        <w:rPr>
          <w:rFonts w:hint="eastAsia" w:ascii="宋体" w:hAnsi="宋体" w:eastAsia="宋体" w:cs="仿宋"/>
          <w:sz w:val="24"/>
          <w:szCs w:val="24"/>
          <w:highlight w:val="none"/>
          <w:lang w:val="en-US" w:eastAsia="zh-CN"/>
        </w:rPr>
        <w:t>2</w:t>
      </w:r>
      <w:r>
        <w:rPr>
          <w:rFonts w:hint="eastAsia" w:ascii="宋体" w:hAnsi="宋体" w:cs="仿宋"/>
          <w:sz w:val="24"/>
          <w:szCs w:val="24"/>
          <w:highlight w:val="none"/>
          <w:lang w:val="en-US" w:eastAsia="zh-CN"/>
        </w:rPr>
        <w:t>1</w:t>
      </w:r>
      <w:r>
        <w:rPr>
          <w:rFonts w:hint="eastAsia" w:ascii="宋体" w:hAnsi="宋体" w:eastAsia="宋体" w:cs="仿宋"/>
          <w:sz w:val="24"/>
          <w:szCs w:val="24"/>
          <w:highlight w:val="none"/>
          <w:lang w:val="en-US" w:eastAsia="zh-CN"/>
        </w:rPr>
        <w:t>.3投标截止时间前投标人未进行网上在线签到的或CA数字证书未在规定时间内完成解密投标文件的，</w:t>
      </w:r>
      <w:r>
        <w:rPr>
          <w:rFonts w:hint="eastAsia" w:ascii="宋体" w:hAnsi="宋体" w:eastAsia="宋体" w:cs="仿宋"/>
          <w:b/>
          <w:bCs/>
          <w:sz w:val="24"/>
          <w:szCs w:val="24"/>
          <w:highlight w:val="none"/>
          <w:lang w:val="en-US" w:eastAsia="zh-CN"/>
        </w:rPr>
        <w:t>投标无效。</w:t>
      </w:r>
    </w:p>
    <w:p>
      <w:pPr>
        <w:spacing w:line="460" w:lineRule="exact"/>
        <w:ind w:left="540" w:hanging="540"/>
        <w:rPr>
          <w:rFonts w:cs="仿宋" w:asciiTheme="minorEastAsia" w:hAnsiTheme="minorEastAsia" w:eastAsiaTheme="minorEastAsia"/>
          <w:color w:val="auto"/>
          <w:sz w:val="24"/>
          <w:szCs w:val="24"/>
          <w:highlight w:val="none"/>
        </w:rPr>
      </w:pPr>
      <w:r>
        <w:rPr>
          <w:rFonts w:hint="eastAsia" w:ascii="宋体" w:hAnsi="宋体" w:eastAsia="宋体" w:cs="仿宋"/>
          <w:sz w:val="24"/>
          <w:szCs w:val="24"/>
          <w:highlight w:val="none"/>
          <w:lang w:val="en-US" w:eastAsia="zh-CN"/>
        </w:rPr>
        <w:t>2</w:t>
      </w:r>
      <w:r>
        <w:rPr>
          <w:rFonts w:hint="eastAsia" w:ascii="宋体" w:hAnsi="宋体" w:cs="仿宋"/>
          <w:sz w:val="24"/>
          <w:szCs w:val="24"/>
          <w:highlight w:val="none"/>
          <w:lang w:val="en-US" w:eastAsia="zh-CN"/>
        </w:rPr>
        <w:t>1</w:t>
      </w:r>
      <w:r>
        <w:rPr>
          <w:rFonts w:hint="eastAsia" w:ascii="宋体" w:hAnsi="宋体" w:eastAsia="宋体" w:cs="仿宋"/>
          <w:sz w:val="24"/>
          <w:szCs w:val="24"/>
          <w:highlight w:val="none"/>
          <w:lang w:val="en-US" w:eastAsia="zh-CN"/>
        </w:rPr>
        <w:t>.4开标时，采购代理机构将宣读投标人名称、投标总价以及采购代理机构认为合适的其他内容。</w:t>
      </w:r>
    </w:p>
    <w:p>
      <w:pPr>
        <w:spacing w:line="440" w:lineRule="exact"/>
        <w:ind w:firstLine="482" w:firstLineChars="200"/>
        <w:rPr>
          <w:rFonts w:cs="仿宋" w:asciiTheme="minorEastAsia" w:hAnsiTheme="minorEastAsia" w:eastAsiaTheme="minorEastAsia"/>
          <w:b/>
          <w:color w:val="auto"/>
          <w:kern w:val="0"/>
          <w:sz w:val="24"/>
          <w:szCs w:val="24"/>
          <w:highlight w:val="none"/>
        </w:rPr>
      </w:pPr>
      <w:r>
        <w:rPr>
          <w:rFonts w:hint="eastAsia" w:cs="仿宋" w:asciiTheme="minorEastAsia" w:hAnsiTheme="minorEastAsia" w:eastAsiaTheme="minorEastAsia"/>
          <w:b/>
          <w:color w:val="auto"/>
          <w:sz w:val="24"/>
          <w:szCs w:val="24"/>
          <w:highlight w:val="none"/>
        </w:rPr>
        <w:t>投标人不足3家的，不得开标。</w:t>
      </w:r>
    </w:p>
    <w:p>
      <w:pPr>
        <w:spacing w:line="460" w:lineRule="exact"/>
        <w:ind w:left="540" w:hanging="54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21.</w:t>
      </w:r>
      <w:r>
        <w:rPr>
          <w:rFonts w:hint="eastAsia" w:cs="仿宋" w:asciiTheme="minorEastAsia" w:hAnsiTheme="minorEastAsia" w:eastAsiaTheme="minorEastAsia"/>
          <w:color w:val="auto"/>
          <w:sz w:val="24"/>
          <w:szCs w:val="24"/>
          <w:highlight w:val="none"/>
          <w:lang w:val="en-US" w:eastAsia="zh-CN"/>
        </w:rPr>
        <w:t>5</w:t>
      </w:r>
      <w:r>
        <w:rPr>
          <w:rFonts w:hint="eastAsia" w:cs="仿宋" w:asciiTheme="minorEastAsia" w:hAnsiTheme="minorEastAsia" w:eastAsiaTheme="minorEastAsia"/>
          <w:color w:val="auto"/>
          <w:sz w:val="24"/>
          <w:szCs w:val="24"/>
          <w:highlight w:val="none"/>
        </w:rPr>
        <w:t>开标过程应当由采购代理机构负责记录，并随采购文件一并存档。</w:t>
      </w:r>
    </w:p>
    <w:p>
      <w:pPr>
        <w:spacing w:line="460" w:lineRule="exact"/>
        <w:ind w:left="540" w:hanging="54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460" w:lineRule="exact"/>
        <w:ind w:left="540" w:hanging="540"/>
        <w:rPr>
          <w:rFonts w:cs="仿宋" w:asciiTheme="minorEastAsia" w:hAnsiTheme="minorEastAsia" w:eastAsiaTheme="minorEastAsia"/>
          <w:b/>
          <w:color w:val="auto"/>
          <w:sz w:val="24"/>
          <w:szCs w:val="24"/>
          <w:highlight w:val="none"/>
        </w:rPr>
      </w:pPr>
      <w:r>
        <w:rPr>
          <w:rFonts w:hint="eastAsia" w:cs="仿宋" w:asciiTheme="minorEastAsia" w:hAnsiTheme="minorEastAsia" w:eastAsiaTheme="minorEastAsia"/>
          <w:color w:val="auto"/>
          <w:sz w:val="24"/>
          <w:szCs w:val="24"/>
          <w:highlight w:val="none"/>
        </w:rPr>
        <w:t>　　 投标人未参加开标的，视同认可开标结果。</w:t>
      </w:r>
    </w:p>
    <w:p>
      <w:pPr>
        <w:spacing w:line="460" w:lineRule="exact"/>
        <w:ind w:left="540" w:hanging="540"/>
        <w:rPr>
          <w:rFonts w:cs="仿宋" w:asciiTheme="minorEastAsia" w:hAnsiTheme="minorEastAsia" w:eastAsiaTheme="minorEastAsia"/>
          <w:color w:val="auto"/>
          <w:sz w:val="24"/>
          <w:szCs w:val="24"/>
          <w:highlight w:val="none"/>
        </w:rPr>
      </w:pPr>
    </w:p>
    <w:p>
      <w:pPr>
        <w:pStyle w:val="4"/>
        <w:spacing w:before="0" w:after="0" w:line="460" w:lineRule="exact"/>
        <w:jc w:val="center"/>
        <w:outlineLvl w:val="1"/>
        <w:rPr>
          <w:rFonts w:cs="仿宋" w:asciiTheme="minorEastAsia" w:hAnsiTheme="minorEastAsia" w:eastAsiaTheme="minorEastAsia"/>
          <w:color w:val="auto"/>
          <w:sz w:val="28"/>
          <w:szCs w:val="28"/>
          <w:highlight w:val="none"/>
        </w:rPr>
      </w:pPr>
      <w:bookmarkStart w:id="56" w:name="_Toc7136"/>
      <w:r>
        <w:rPr>
          <w:rFonts w:hint="eastAsia" w:cs="仿宋" w:asciiTheme="minorEastAsia" w:hAnsiTheme="minorEastAsia" w:eastAsiaTheme="minorEastAsia"/>
          <w:color w:val="auto"/>
          <w:sz w:val="28"/>
          <w:szCs w:val="28"/>
          <w:highlight w:val="none"/>
        </w:rPr>
        <w:t>五、评标</w:t>
      </w:r>
      <w:bookmarkEnd w:id="56"/>
    </w:p>
    <w:p>
      <w:pPr>
        <w:pStyle w:val="6"/>
        <w:spacing w:after="0"/>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22.评标</w:t>
      </w:r>
    </w:p>
    <w:p>
      <w:pPr>
        <w:spacing w:line="460" w:lineRule="exact"/>
        <w:ind w:left="540" w:hanging="54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22.1公开招标采购项目开标结束后，采购人或者采购代理机构应当依法对投标人的资格进行审查。</w:t>
      </w:r>
    </w:p>
    <w:p>
      <w:pPr>
        <w:spacing w:line="460" w:lineRule="exact"/>
        <w:ind w:left="540" w:hanging="540"/>
        <w:rPr>
          <w:rFonts w:cs="仿宋" w:asciiTheme="minorEastAsia" w:hAnsiTheme="minorEastAsia" w:eastAsiaTheme="minorEastAsia"/>
          <w:b/>
          <w:color w:val="auto"/>
          <w:sz w:val="24"/>
          <w:szCs w:val="24"/>
          <w:highlight w:val="none"/>
        </w:rPr>
      </w:pPr>
      <w:r>
        <w:rPr>
          <w:rFonts w:hint="eastAsia" w:cs="仿宋" w:asciiTheme="minorEastAsia" w:hAnsiTheme="minorEastAsia" w:eastAsiaTheme="minorEastAsia"/>
          <w:color w:val="auto"/>
          <w:sz w:val="24"/>
          <w:szCs w:val="24"/>
          <w:highlight w:val="none"/>
        </w:rPr>
        <w:t>　　</w:t>
      </w:r>
      <w:r>
        <w:rPr>
          <w:rFonts w:hint="eastAsia" w:cs="仿宋" w:asciiTheme="minorEastAsia" w:hAnsiTheme="minorEastAsia" w:eastAsiaTheme="minorEastAsia"/>
          <w:b/>
          <w:color w:val="auto"/>
          <w:sz w:val="24"/>
          <w:szCs w:val="24"/>
          <w:highlight w:val="none"/>
        </w:rPr>
        <w:t>合格投标人不足3家的，不得评标。</w:t>
      </w:r>
    </w:p>
    <w:p>
      <w:pPr>
        <w:autoSpaceDE w:val="0"/>
        <w:autoSpaceDN w:val="0"/>
        <w:adjustRightInd w:val="0"/>
        <w:spacing w:line="460" w:lineRule="exact"/>
        <w:ind w:left="600" w:hanging="600" w:hangingChars="250"/>
        <w:jc w:val="lef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22.2 招标代理机构将在开、评标期间查询投标人的信用记录并告知评标委员会，经评标委员会评审确定投标人存在不良信用记录的，其</w:t>
      </w:r>
      <w:r>
        <w:rPr>
          <w:rFonts w:hint="eastAsia" w:cs="仿宋" w:asciiTheme="minorEastAsia" w:hAnsiTheme="minorEastAsia" w:eastAsiaTheme="minorEastAsia"/>
          <w:b/>
          <w:color w:val="auto"/>
          <w:sz w:val="24"/>
          <w:szCs w:val="24"/>
          <w:highlight w:val="none"/>
        </w:rPr>
        <w:t>投标无效</w:t>
      </w:r>
      <w:r>
        <w:rPr>
          <w:rFonts w:hint="eastAsia" w:cs="仿宋" w:asciiTheme="minorEastAsia" w:hAnsiTheme="minorEastAsia" w:eastAsiaTheme="minorEastAsia"/>
          <w:color w:val="auto"/>
          <w:sz w:val="24"/>
          <w:szCs w:val="24"/>
          <w:highlight w:val="none"/>
        </w:rPr>
        <w:t>。查询到的不良信用记录随采购文件存档。</w:t>
      </w:r>
    </w:p>
    <w:p>
      <w:pPr>
        <w:autoSpaceDE w:val="0"/>
        <w:autoSpaceDN w:val="0"/>
        <w:adjustRightInd w:val="0"/>
        <w:spacing w:line="460" w:lineRule="exact"/>
        <w:ind w:left="480" w:hanging="480" w:hangingChars="200"/>
        <w:jc w:val="left"/>
        <w:rPr>
          <w:rFonts w:cs="仿宋"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通过“信用中国”网站和中国政府采购网查询相关主体信用记录，被列入失信被执行人、重大税收违法失信主体、政府采购严重违法失信行为记录名单的</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（处罚期限尚未届满的）。</w:t>
      </w:r>
    </w:p>
    <w:p>
      <w:pPr>
        <w:autoSpaceDE w:val="0"/>
        <w:autoSpaceDN w:val="0"/>
        <w:adjustRightInd w:val="0"/>
        <w:spacing w:line="460" w:lineRule="exact"/>
        <w:ind w:left="600" w:hanging="600" w:hangingChars="250"/>
        <w:jc w:val="lef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（2）联合体投标的，联合体成员存在以上不良信用记录的，视同联合体存在不良信用记录。（本项目是否允许联合体投标，详见“投标人须知前附表”）</w:t>
      </w:r>
    </w:p>
    <w:p>
      <w:pPr>
        <w:autoSpaceDE w:val="0"/>
        <w:autoSpaceDN w:val="0"/>
        <w:adjustRightInd w:val="0"/>
        <w:spacing w:line="460" w:lineRule="exact"/>
        <w:jc w:val="lef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（3）投标人不良信用记录以招标代理机构查询结果为准，招标代理机构查询之后，</w:t>
      </w:r>
    </w:p>
    <w:p>
      <w:pPr>
        <w:autoSpaceDE w:val="0"/>
        <w:autoSpaceDN w:val="0"/>
        <w:adjustRightInd w:val="0"/>
        <w:spacing w:line="460" w:lineRule="exact"/>
        <w:ind w:firstLine="600" w:firstLineChars="250"/>
        <w:jc w:val="lef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网站信息发生的任何变更均不再作为评标依据，投标人自行提供的与网站信息</w:t>
      </w:r>
    </w:p>
    <w:p>
      <w:pPr>
        <w:spacing w:line="460" w:lineRule="exact"/>
        <w:ind w:firstLine="600" w:firstLineChars="2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不一致的其他证明材料亦不作为评标依据。</w:t>
      </w:r>
    </w:p>
    <w:p>
      <w:pPr>
        <w:spacing w:line="460" w:lineRule="exact"/>
        <w:ind w:left="540" w:hanging="540"/>
        <w:rPr>
          <w:rFonts w:cs="仿宋" w:asciiTheme="minorEastAsia" w:hAnsiTheme="minorEastAsia" w:eastAsiaTheme="minorEastAsia"/>
          <w:color w:val="auto"/>
          <w:sz w:val="24"/>
          <w:szCs w:val="24"/>
          <w:highlight w:val="none"/>
        </w:rPr>
      </w:pPr>
      <w:bookmarkStart w:id="57" w:name="_Toc286758334"/>
      <w:bookmarkStart w:id="58" w:name="_Toc286758333"/>
      <w:bookmarkStart w:id="59" w:name="_Toc262628245"/>
      <w:bookmarkStart w:id="60" w:name="_Toc262628244"/>
      <w:r>
        <w:rPr>
          <w:rFonts w:hint="eastAsia" w:cs="仿宋" w:asciiTheme="minorEastAsia" w:hAnsiTheme="minorEastAsia" w:eastAsiaTheme="minorEastAsia"/>
          <w:color w:val="auto"/>
          <w:sz w:val="24"/>
          <w:szCs w:val="24"/>
          <w:highlight w:val="none"/>
        </w:rPr>
        <w:t>22.3 评标委员会</w:t>
      </w:r>
    </w:p>
    <w:p>
      <w:pPr>
        <w:spacing w:line="460" w:lineRule="exact"/>
        <w:ind w:left="105" w:leftChars="50"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评标由依照有关法规组建的评标委员会负责。</w:t>
      </w:r>
    </w:p>
    <w:p>
      <w:pPr>
        <w:spacing w:line="460" w:lineRule="exact"/>
        <w:ind w:left="540" w:hanging="540"/>
        <w:rPr>
          <w:rFonts w:cs="仿宋" w:asciiTheme="minorEastAsia" w:hAnsiTheme="minorEastAsia" w:eastAsiaTheme="minorEastAsia"/>
          <w:b/>
          <w:color w:val="auto"/>
          <w:sz w:val="24"/>
          <w:szCs w:val="24"/>
          <w:highlight w:val="none"/>
        </w:rPr>
      </w:pPr>
      <w:r>
        <w:rPr>
          <w:rFonts w:hint="eastAsia" w:cs="仿宋" w:asciiTheme="minorEastAsia" w:hAnsiTheme="minorEastAsia" w:eastAsiaTheme="minorEastAsia"/>
          <w:color w:val="auto"/>
          <w:sz w:val="24"/>
          <w:szCs w:val="24"/>
          <w:highlight w:val="none"/>
        </w:rPr>
        <w:t>22.4评标委员会应当对符合资格的投标人的投标文件进行符合性审查，以确定其是否满足招标文件的实质性要求。</w:t>
      </w:r>
    </w:p>
    <w:p>
      <w:pPr>
        <w:spacing w:line="460" w:lineRule="exact"/>
        <w:ind w:left="540" w:hanging="54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22.5对于投标文件中含义不明确、同类问题表述不一致或者有明显文字和计算错误的内容，评标委员会应当以书面形式要求投标人做出必要的澄清、说明或者补正。</w:t>
      </w:r>
    </w:p>
    <w:p>
      <w:pPr>
        <w:spacing w:line="460" w:lineRule="exact"/>
        <w:ind w:left="540" w:hanging="540"/>
        <w:rPr>
          <w:rFonts w:cs="仿宋" w:asciiTheme="minorEastAsia" w:hAnsiTheme="minorEastAsia" w:eastAsiaTheme="minorEastAsia"/>
          <w:b/>
          <w:color w:val="auto"/>
          <w:kern w:val="0"/>
          <w:sz w:val="24"/>
          <w:szCs w:val="24"/>
          <w:highlight w:val="none"/>
        </w:rPr>
      </w:pPr>
      <w:r>
        <w:rPr>
          <w:rFonts w:hint="eastAsia" w:cs="仿宋" w:asciiTheme="minorEastAsia" w:hAnsiTheme="minorEastAsia" w:eastAsiaTheme="minorEastAsia"/>
          <w:color w:val="auto"/>
          <w:sz w:val="24"/>
          <w:szCs w:val="24"/>
          <w:highlight w:val="none"/>
        </w:rPr>
        <w:t>　　投标人的澄清、说明或者补正应当采用书面形式，并加盖公章，或者由法定代表人或其授权的代表签字。投标人的澄清、说明或者补正不得超出投标文件的范围或者改变投标文件的实质性内容。</w:t>
      </w:r>
    </w:p>
    <w:p>
      <w:pPr>
        <w:widowControl/>
        <w:spacing w:before="100" w:beforeAutospacing="1" w:after="100" w:afterAutospacing="1" w:line="360" w:lineRule="auto"/>
        <w:ind w:left="480" w:hanging="480" w:hangingChars="200"/>
        <w:jc w:val="left"/>
        <w:rPr>
          <w:rFonts w:cs="仿宋" w:asciiTheme="minorEastAsia" w:hAnsiTheme="minorEastAsia" w:eastAsiaTheme="minorEastAsia"/>
          <w:b/>
          <w:color w:val="auto"/>
          <w:kern w:val="0"/>
          <w:sz w:val="24"/>
          <w:szCs w:val="24"/>
          <w:highlight w:val="none"/>
        </w:rPr>
      </w:pPr>
      <w:r>
        <w:rPr>
          <w:rFonts w:hint="eastAsia" w:cs="仿宋" w:asciiTheme="minorEastAsia" w:hAnsiTheme="minorEastAsia" w:eastAsiaTheme="minorEastAsia"/>
          <w:color w:val="auto"/>
          <w:sz w:val="24"/>
          <w:szCs w:val="24"/>
          <w:highlight w:val="none"/>
        </w:rPr>
        <w:t>22.6评标委员会应当按照招标文件中规定的评标方法和标准，对符合性审查合格的投标文件进行商务和技术评估，综合比较与评价。</w:t>
      </w:r>
    </w:p>
    <w:p>
      <w:pPr>
        <w:spacing w:line="460" w:lineRule="exact"/>
        <w:ind w:left="600" w:hanging="600" w:hangingChars="250"/>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Cs/>
          <w:color w:val="auto"/>
          <w:sz w:val="24"/>
          <w:szCs w:val="24"/>
          <w:highlight w:val="none"/>
        </w:rPr>
        <w:t>22.7评标委员会根据全体评标成员签字的原始评标记录和评标结果编写评标报告。</w:t>
      </w:r>
    </w:p>
    <w:p>
      <w:pPr>
        <w:spacing w:line="460" w:lineRule="exact"/>
        <w:ind w:left="600" w:hanging="600" w:hangingChars="250"/>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Cs/>
          <w:color w:val="auto"/>
          <w:sz w:val="24"/>
          <w:szCs w:val="24"/>
          <w:highlight w:val="none"/>
        </w:rPr>
        <w:t>22.8投标文件报价出现前后不一致的，除招标文件另有规定外，按照下列规定修正</w:t>
      </w:r>
    </w:p>
    <w:p>
      <w:pPr>
        <w:spacing w:line="460" w:lineRule="exact"/>
        <w:ind w:left="840" w:hanging="840" w:hangingChars="350"/>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　 （1）投标文件中开标一览表（报价表）内容与投标文件中相应内容不一致的，以开标一览表（报价表）为准；</w:t>
      </w:r>
    </w:p>
    <w:p>
      <w:pPr>
        <w:spacing w:line="460" w:lineRule="exact"/>
        <w:ind w:left="600" w:hanging="600" w:hangingChars="250"/>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　 （2）大写金额和小写金额不一致的，以大写金额为准；</w:t>
      </w:r>
    </w:p>
    <w:p>
      <w:pPr>
        <w:spacing w:line="460" w:lineRule="exact"/>
        <w:ind w:left="840" w:hanging="840" w:hangingChars="350"/>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　 （3）单价金额小数点或者百分比有明显错位的，以开标一览表的总价为准，并修改单价；</w:t>
      </w:r>
    </w:p>
    <w:p>
      <w:pPr>
        <w:spacing w:line="460" w:lineRule="exact"/>
        <w:ind w:left="600" w:hanging="600" w:hangingChars="250"/>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　 （4）总价金额与按单价汇总金额不一致的，以单价金额计算结果为准。</w:t>
      </w:r>
    </w:p>
    <w:p>
      <w:pPr>
        <w:spacing w:line="460" w:lineRule="exact"/>
        <w:ind w:left="733" w:leftChars="349"/>
        <w:jc w:val="left"/>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bCs/>
          <w:color w:val="auto"/>
          <w:sz w:val="24"/>
          <w:szCs w:val="24"/>
          <w:highlight w:val="none"/>
        </w:rPr>
        <w:t>同时出现两种以上不一致的，按照前款规定的顺序修正。修正后的报价按照投标人的澄清、说明或者补正应当采用书面形式，并加盖公章，或者由法定代表人或其授权的代表签字。投标人的澄清、说明或者补正不得超出投标文件的范围或者改变投标文件的实质性内容的规定经投标人确认后产生约束力，投标人不确认的，其</w:t>
      </w:r>
      <w:r>
        <w:rPr>
          <w:rFonts w:hint="eastAsia" w:cs="仿宋" w:asciiTheme="minorEastAsia" w:hAnsiTheme="minorEastAsia" w:eastAsiaTheme="minorEastAsia"/>
          <w:b/>
          <w:bCs/>
          <w:color w:val="auto"/>
          <w:sz w:val="24"/>
          <w:szCs w:val="24"/>
          <w:highlight w:val="none"/>
        </w:rPr>
        <w:t>投标无效</w:t>
      </w:r>
      <w:r>
        <w:rPr>
          <w:rFonts w:hint="eastAsia" w:cs="仿宋" w:asciiTheme="minorEastAsia" w:hAnsiTheme="minorEastAsia" w:eastAsiaTheme="minorEastAsia"/>
          <w:bCs/>
          <w:color w:val="auto"/>
          <w:sz w:val="24"/>
          <w:szCs w:val="24"/>
          <w:highlight w:val="none"/>
        </w:rPr>
        <w:t>。</w:t>
      </w:r>
    </w:p>
    <w:p>
      <w:pPr>
        <w:spacing w:line="460" w:lineRule="exact"/>
        <w:ind w:left="566" w:leftChars="-5" w:hanging="576" w:hangingChars="240"/>
        <w:jc w:val="left"/>
        <w:rPr>
          <w:rFonts w:cs="仿宋" w:asciiTheme="minorEastAsia" w:hAnsiTheme="minorEastAsia" w:eastAsiaTheme="minorEastAsia"/>
          <w:b/>
          <w:color w:val="auto"/>
          <w:kern w:val="0"/>
          <w:sz w:val="24"/>
          <w:szCs w:val="24"/>
          <w:highlight w:val="none"/>
        </w:rPr>
      </w:pPr>
      <w:r>
        <w:rPr>
          <w:rFonts w:hint="eastAsia" w:cs="仿宋" w:asciiTheme="minorEastAsia" w:hAnsiTheme="minorEastAsia" w:eastAsiaTheme="minorEastAsia"/>
          <w:color w:val="auto"/>
          <w:sz w:val="24"/>
          <w:szCs w:val="24"/>
          <w:highlight w:val="none"/>
        </w:rPr>
        <w:t>22.9 评标委员会认为投标人的报价明显低于其他通过符合性审查投标人的报价，有可能影响产品质量或者不能诚信履约的，</w:t>
      </w:r>
      <w:r>
        <w:rPr>
          <w:rFonts w:hint="eastAsia" w:ascii="宋体" w:hAnsi="宋体" w:cs="宋体"/>
          <w:sz w:val="24"/>
          <w:szCs w:val="24"/>
          <w:highlight w:val="none"/>
        </w:rPr>
        <w:t>应当要求其在</w:t>
      </w:r>
      <w:r>
        <w:rPr>
          <w:rFonts w:hint="eastAsia" w:ascii="宋体" w:hAnsi="宋体" w:cs="宋体"/>
          <w:sz w:val="24"/>
          <w:szCs w:val="24"/>
          <w:highlight w:val="none"/>
          <w:lang w:val="en-US" w:eastAsia="zh-CN"/>
        </w:rPr>
        <w:t>询标环节规定的</w:t>
      </w:r>
      <w:r>
        <w:rPr>
          <w:rFonts w:hint="eastAsia" w:ascii="宋体" w:hAnsi="宋体" w:cs="宋体"/>
          <w:sz w:val="24"/>
          <w:szCs w:val="24"/>
          <w:highlight w:val="none"/>
        </w:rPr>
        <w:t>合理时间内提供</w:t>
      </w:r>
      <w:r>
        <w:rPr>
          <w:rFonts w:hint="eastAsia" w:cs="仿宋" w:asciiTheme="minorEastAsia" w:hAnsiTheme="minorEastAsia" w:eastAsiaTheme="minorEastAsia"/>
          <w:color w:val="auto"/>
          <w:sz w:val="24"/>
          <w:szCs w:val="24"/>
          <w:highlight w:val="none"/>
        </w:rPr>
        <w:t>书面说明，必要时提交相关证明材料；投标人不能证明其报价合理性的，评标委员会应当将其作</w:t>
      </w:r>
      <w:r>
        <w:rPr>
          <w:rFonts w:hint="eastAsia" w:cs="仿宋" w:asciiTheme="minorEastAsia" w:hAnsiTheme="minorEastAsia" w:eastAsiaTheme="minorEastAsia"/>
          <w:b/>
          <w:color w:val="auto"/>
          <w:sz w:val="24"/>
          <w:szCs w:val="24"/>
          <w:highlight w:val="none"/>
        </w:rPr>
        <w:t>为无效投标处理。</w:t>
      </w:r>
    </w:p>
    <w:p>
      <w:pPr>
        <w:spacing w:line="440" w:lineRule="exact"/>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22.10投标人存在下列情况之一的，投标无效</w:t>
      </w:r>
    </w:p>
    <w:p>
      <w:pPr>
        <w:spacing w:line="440" w:lineRule="exact"/>
        <w:ind w:firstLine="600" w:firstLineChars="250"/>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（1）未按照招标文件的规定提交投标保证金的；</w:t>
      </w:r>
    </w:p>
    <w:p>
      <w:pPr>
        <w:spacing w:line="440" w:lineRule="exact"/>
        <w:ind w:firstLine="600" w:firstLineChars="250"/>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（2）投标文件未按招标文件要求签署、盖章的；</w:t>
      </w:r>
    </w:p>
    <w:p>
      <w:pPr>
        <w:spacing w:line="440" w:lineRule="exact"/>
        <w:ind w:firstLine="600" w:firstLineChars="2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（3）不具备招标文件中规定的资格要求的；</w:t>
      </w:r>
    </w:p>
    <w:p>
      <w:pPr>
        <w:spacing w:line="440" w:lineRule="exact"/>
        <w:ind w:firstLine="600" w:firstLineChars="2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（4）报价超过招标文件中规定的预算金额或者最高限价的；</w:t>
      </w:r>
    </w:p>
    <w:p>
      <w:pPr>
        <w:spacing w:line="440" w:lineRule="exact"/>
        <w:ind w:firstLine="600" w:firstLineChars="2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（5）投标文件含有采购人不能接受的附加条件的；</w:t>
      </w:r>
    </w:p>
    <w:p>
      <w:pPr>
        <w:spacing w:line="440" w:lineRule="exact"/>
        <w:ind w:firstLine="600" w:firstLineChars="2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（6）法律、法规和招标文件规定的其他无效情形。</w:t>
      </w:r>
    </w:p>
    <w:p>
      <w:pPr>
        <w:spacing w:line="440" w:lineRule="exact"/>
        <w:rPr>
          <w:rFonts w:cs="仿宋" w:asciiTheme="minorEastAsia" w:hAnsiTheme="minorEastAsia" w:eastAsiaTheme="minorEastAsia"/>
          <w:b/>
          <w:color w:val="auto"/>
          <w:sz w:val="24"/>
          <w:szCs w:val="24"/>
          <w:highlight w:val="none"/>
        </w:rPr>
      </w:pPr>
      <w:r>
        <w:rPr>
          <w:rFonts w:hint="eastAsia" w:cs="仿宋" w:asciiTheme="minorEastAsia" w:hAnsiTheme="minorEastAsia" w:eastAsiaTheme="minorEastAsia"/>
          <w:color w:val="auto"/>
          <w:sz w:val="24"/>
          <w:szCs w:val="24"/>
          <w:highlight w:val="none"/>
        </w:rPr>
        <w:t>22.11在招标采购中，出现下列情形之一的，</w:t>
      </w:r>
      <w:r>
        <w:rPr>
          <w:rFonts w:hint="eastAsia" w:cs="仿宋" w:asciiTheme="minorEastAsia" w:hAnsiTheme="minorEastAsia" w:eastAsiaTheme="minorEastAsia"/>
          <w:b/>
          <w:color w:val="auto"/>
          <w:sz w:val="24"/>
          <w:szCs w:val="24"/>
          <w:highlight w:val="none"/>
        </w:rPr>
        <w:t>应予废标</w:t>
      </w:r>
    </w:p>
    <w:p>
      <w:pPr>
        <w:spacing w:line="440" w:lineRule="exact"/>
        <w:ind w:firstLine="600" w:firstLineChars="2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（1）符合专业条件的投标人或者对招标文件作实质响应的投标人不足三家的；</w:t>
      </w:r>
    </w:p>
    <w:p>
      <w:pPr>
        <w:spacing w:line="440" w:lineRule="exact"/>
        <w:ind w:firstLine="600" w:firstLineChars="2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（2）出现影响采购公正的违法、违规行为的；</w:t>
      </w:r>
    </w:p>
    <w:p>
      <w:pPr>
        <w:spacing w:line="440" w:lineRule="exact"/>
        <w:ind w:firstLine="600" w:firstLineChars="2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（3）投标人的报价均超过了采购预算，采购人不能支付的；</w:t>
      </w:r>
    </w:p>
    <w:p>
      <w:pPr>
        <w:spacing w:line="440" w:lineRule="exact"/>
        <w:ind w:firstLine="600" w:firstLineChars="250"/>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color w:val="auto"/>
          <w:sz w:val="24"/>
          <w:szCs w:val="24"/>
          <w:highlight w:val="none"/>
        </w:rPr>
        <w:t>（4）因重大变故，采购任务取消。</w:t>
      </w:r>
    </w:p>
    <w:p>
      <w:pPr>
        <w:spacing w:line="460" w:lineRule="exact"/>
        <w:ind w:left="480" w:hanging="480" w:hanging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22.12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bookmarkEnd w:id="57"/>
    <w:bookmarkEnd w:id="58"/>
    <w:bookmarkEnd w:id="59"/>
    <w:bookmarkEnd w:id="60"/>
    <w:p>
      <w:pPr>
        <w:spacing w:line="460" w:lineRule="exact"/>
        <w:ind w:left="480" w:hanging="480" w:hangingChars="200"/>
        <w:jc w:val="lef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22.13评标委员会决定投标的实质性响应，只根据投标本身的真实无误的内容，除查询投标人信用记录，其他评审工作不依据外部的证据，但投标有不真实不正确的内容时除外。</w:t>
      </w:r>
    </w:p>
    <w:p>
      <w:pPr>
        <w:pStyle w:val="6"/>
        <w:spacing w:after="0"/>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23.评标方法和评标标准</w:t>
      </w:r>
    </w:p>
    <w:p>
      <w:pPr>
        <w:spacing w:line="440" w:lineRule="exact"/>
        <w:ind w:left="480" w:hanging="480" w:hangingChars="200"/>
        <w:rPr>
          <w:rFonts w:cs="仿宋" w:asciiTheme="minorEastAsia" w:hAnsiTheme="minorEastAsia" w:eastAsiaTheme="minorEastAsia"/>
          <w:color w:val="auto"/>
          <w:sz w:val="24"/>
          <w:szCs w:val="24"/>
          <w:highlight w:val="none"/>
        </w:rPr>
      </w:pPr>
      <w:bookmarkStart w:id="61" w:name="_Toc262628248"/>
      <w:bookmarkStart w:id="62" w:name="_Toc286758337"/>
      <w:r>
        <w:rPr>
          <w:rFonts w:hint="eastAsia" w:cs="仿宋" w:asciiTheme="minorEastAsia" w:hAnsiTheme="minorEastAsia" w:eastAsiaTheme="minorEastAsia"/>
          <w:color w:val="auto"/>
          <w:sz w:val="24"/>
          <w:szCs w:val="24"/>
          <w:highlight w:val="none"/>
        </w:rPr>
        <w:t>23.1评标方法，见“投标人须知前附表”。</w:t>
      </w:r>
    </w:p>
    <w:p>
      <w:pPr>
        <w:spacing w:line="440" w:lineRule="exact"/>
        <w:ind w:left="840" w:hanging="840" w:hangingChars="350"/>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color w:val="auto"/>
          <w:sz w:val="24"/>
          <w:szCs w:val="24"/>
          <w:highlight w:val="none"/>
        </w:rPr>
        <w:t>23.1.1</w:t>
      </w:r>
      <w:r>
        <w:rPr>
          <w:rFonts w:hint="eastAsia" w:cs="仿宋" w:asciiTheme="minorEastAsia" w:hAnsiTheme="minorEastAsia" w:eastAsiaTheme="minorEastAsia"/>
          <w:bCs/>
          <w:color w:val="auto"/>
          <w:sz w:val="24"/>
          <w:szCs w:val="24"/>
          <w:highlight w:val="none"/>
        </w:rPr>
        <w:t>采用综合评分法的，评标结果按评审后得分由高到低顺序排列。得分相同的，按投标报价由低到高顺序排列；得分且投标报价相同的，按节能产品、环境标志产品金额占投标报价比例（简称“比例”）由高到低顺序排列；得分、投标报价及比例相同的，由评标委员会随机抽取</w:t>
      </w:r>
    </w:p>
    <w:p>
      <w:pPr>
        <w:spacing w:line="440" w:lineRule="exact"/>
        <w:ind w:left="840" w:hanging="840" w:hangingChars="350"/>
        <w:rPr>
          <w:rFonts w:cs="仿宋" w:asciiTheme="minorEastAsia" w:hAnsiTheme="minorEastAsia" w:eastAsiaTheme="minorEastAsia"/>
          <w:b/>
          <w:color w:val="auto"/>
          <w:sz w:val="24"/>
          <w:szCs w:val="24"/>
          <w:highlight w:val="none"/>
        </w:rPr>
      </w:pPr>
      <w:r>
        <w:rPr>
          <w:rFonts w:hint="eastAsia" w:cs="仿宋" w:asciiTheme="minorEastAsia" w:hAnsiTheme="minorEastAsia" w:eastAsiaTheme="minorEastAsia"/>
          <w:bCs/>
          <w:color w:val="auto"/>
          <w:sz w:val="24"/>
          <w:szCs w:val="24"/>
          <w:highlight w:val="none"/>
        </w:rPr>
        <w:t>23.1.2采用最低评标价法的，评标结果按投标报价由低到高顺序排列。投标文件满足招标文件全部实质性要求且投标报价最低的投标人为排名第一的中标候选人。投标报价相同的按节能产品、环境标志产品金额占投标报价比例（简称“比例”）由高到低顺序排列；投标报价及比例相同的，由评标委员会随机抽取。</w:t>
      </w:r>
    </w:p>
    <w:p>
      <w:pPr>
        <w:spacing w:line="440" w:lineRule="exact"/>
        <w:ind w:left="840" w:hanging="840" w:hangingChars="3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23.2评标标准。（评标标准详见“第六章评标标准”）</w:t>
      </w:r>
    </w:p>
    <w:p>
      <w:pPr>
        <w:spacing w:line="460" w:lineRule="exact"/>
        <w:ind w:left="480" w:hanging="480" w:hangingChars="200"/>
        <w:rPr>
          <w:rFonts w:cs="仿宋" w:asciiTheme="minorEastAsia" w:hAnsiTheme="minorEastAsia" w:eastAsiaTheme="minorEastAsia"/>
          <w:bCs/>
          <w:color w:val="auto"/>
          <w:sz w:val="24"/>
          <w:szCs w:val="24"/>
          <w:highlight w:val="none"/>
        </w:rPr>
      </w:pPr>
    </w:p>
    <w:p>
      <w:pPr>
        <w:pStyle w:val="4"/>
        <w:spacing w:before="0" w:after="0" w:line="460" w:lineRule="exact"/>
        <w:jc w:val="center"/>
        <w:outlineLvl w:val="1"/>
        <w:rPr>
          <w:rFonts w:cs="仿宋" w:asciiTheme="minorEastAsia" w:hAnsiTheme="minorEastAsia" w:eastAsiaTheme="minorEastAsia"/>
          <w:color w:val="auto"/>
          <w:sz w:val="28"/>
          <w:szCs w:val="28"/>
          <w:highlight w:val="none"/>
        </w:rPr>
      </w:pPr>
      <w:bookmarkStart w:id="63" w:name="_Toc14438"/>
      <w:r>
        <w:rPr>
          <w:rFonts w:hint="eastAsia" w:cs="仿宋" w:asciiTheme="minorEastAsia" w:hAnsiTheme="minorEastAsia" w:eastAsiaTheme="minorEastAsia"/>
          <w:color w:val="auto"/>
          <w:sz w:val="28"/>
          <w:szCs w:val="28"/>
          <w:highlight w:val="none"/>
        </w:rPr>
        <w:t>六、意外情况的情形和处理</w:t>
      </w:r>
      <w:bookmarkEnd w:id="63"/>
    </w:p>
    <w:p>
      <w:pPr>
        <w:pStyle w:val="6"/>
        <w:spacing w:after="0"/>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24. 意外情况的情形</w:t>
      </w:r>
    </w:p>
    <w:p>
      <w:pPr>
        <w:spacing w:line="440" w:lineRule="exact"/>
        <w:ind w:left="567" w:hanging="567"/>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24.1因客观原因造成电子化政府采购系统无法正常运行、或者无法保证采购活动信息安全，应采取意外情况的处理措施。意外情况包括以下情形</w:t>
      </w:r>
    </w:p>
    <w:p>
      <w:pPr>
        <w:spacing w:line="440" w:lineRule="exact"/>
        <w:ind w:left="915" w:leftChars="150" w:hanging="600" w:hangingChars="2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（1）网络系统及其他设备发生故障，导致无法访问网站或无法使用电子化政府采购系统的；</w:t>
      </w:r>
    </w:p>
    <w:p>
      <w:pPr>
        <w:spacing w:line="440" w:lineRule="exact"/>
        <w:ind w:left="563" w:leftChars="171" w:hanging="204" w:hangingChars="85"/>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（2）电子化政府采购系统的软件或网络数据库出现错误，导致无法正常操作的；</w:t>
      </w:r>
    </w:p>
    <w:p>
      <w:pPr>
        <w:spacing w:line="440" w:lineRule="exact"/>
        <w:ind w:left="563" w:leftChars="171" w:hanging="204" w:hangingChars="85"/>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（3）电子化政府采购系统发现有安全漏洞，有潜在泄密危险的；</w:t>
      </w:r>
    </w:p>
    <w:p>
      <w:pPr>
        <w:spacing w:line="440" w:lineRule="exact"/>
        <w:ind w:left="563" w:leftChars="171" w:hanging="204" w:hangingChars="85"/>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（4）其他无法保证采购活动正常进行的。</w:t>
      </w:r>
    </w:p>
    <w:p>
      <w:pPr>
        <w:pStyle w:val="6"/>
        <w:spacing w:after="0"/>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25. 意外情况的处理</w:t>
      </w:r>
    </w:p>
    <w:p>
      <w:pPr>
        <w:spacing w:line="440" w:lineRule="exact"/>
        <w:ind w:left="567" w:hanging="567"/>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25.1 出现上述情况，故障当日（工作时间内）可排除的，电子化政府采购恢复进行；如故障当日无法排除的，采购活动终止，重新组织采购活动。</w:t>
      </w:r>
    </w:p>
    <w:p>
      <w:pPr>
        <w:pStyle w:val="4"/>
        <w:spacing w:before="0" w:after="0" w:line="460" w:lineRule="exact"/>
        <w:rPr>
          <w:rFonts w:cs="仿宋" w:asciiTheme="minorEastAsia" w:hAnsiTheme="minorEastAsia" w:eastAsiaTheme="minorEastAsia"/>
          <w:color w:val="auto"/>
          <w:sz w:val="24"/>
          <w:szCs w:val="24"/>
          <w:highlight w:val="none"/>
        </w:rPr>
      </w:pPr>
    </w:p>
    <w:p>
      <w:pPr>
        <w:pStyle w:val="4"/>
        <w:spacing w:before="0" w:after="0" w:line="460" w:lineRule="exact"/>
        <w:jc w:val="center"/>
        <w:rPr>
          <w:rFonts w:cs="仿宋" w:asciiTheme="minorEastAsia" w:hAnsiTheme="minorEastAsia" w:eastAsiaTheme="minorEastAsia"/>
          <w:color w:val="auto"/>
          <w:sz w:val="28"/>
          <w:szCs w:val="28"/>
          <w:highlight w:val="none"/>
        </w:rPr>
      </w:pPr>
      <w:bookmarkStart w:id="64" w:name="_Toc2256"/>
      <w:r>
        <w:rPr>
          <w:rFonts w:hint="eastAsia" w:cs="仿宋" w:asciiTheme="minorEastAsia" w:hAnsiTheme="minorEastAsia" w:eastAsiaTheme="minorEastAsia"/>
          <w:color w:val="auto"/>
          <w:sz w:val="28"/>
          <w:szCs w:val="28"/>
          <w:highlight w:val="none"/>
        </w:rPr>
        <w:t>七、中标和合同</w:t>
      </w:r>
      <w:bookmarkEnd w:id="64"/>
    </w:p>
    <w:p>
      <w:pPr>
        <w:pStyle w:val="6"/>
        <w:spacing w:after="0"/>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26.中标人的确定</w:t>
      </w:r>
    </w:p>
    <w:p>
      <w:pPr>
        <w:widowControl/>
        <w:spacing w:before="100" w:beforeAutospacing="1" w:after="100" w:afterAutospacing="1" w:line="440" w:lineRule="exact"/>
        <w:ind w:left="600" w:hanging="600" w:hangingChars="250"/>
        <w:jc w:val="lef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26.1采购人应当自收到评标报告之日起５个工作日内，在评标报告确定的中标候选人名单中按顺序确定中标人。</w:t>
      </w:r>
    </w:p>
    <w:p>
      <w:pPr>
        <w:pStyle w:val="6"/>
        <w:spacing w:after="0"/>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27.中标结果公告</w:t>
      </w:r>
    </w:p>
    <w:p>
      <w:pPr>
        <w:spacing w:line="440" w:lineRule="exact"/>
        <w:ind w:left="420" w:leftChars="200"/>
        <w:rPr>
          <w:rFonts w:cs="仿宋" w:asciiTheme="minorEastAsia" w:hAnsiTheme="minorEastAsia" w:eastAsiaTheme="minorEastAsia"/>
          <w:b/>
          <w:color w:val="auto"/>
          <w:sz w:val="24"/>
          <w:szCs w:val="24"/>
          <w:highlight w:val="none"/>
        </w:rPr>
      </w:pPr>
      <w:r>
        <w:rPr>
          <w:rFonts w:hint="eastAsia" w:cs="仿宋" w:asciiTheme="minorEastAsia" w:hAnsiTheme="minorEastAsia" w:eastAsiaTheme="minorEastAsia"/>
          <w:color w:val="auto"/>
          <w:sz w:val="24"/>
          <w:szCs w:val="24"/>
          <w:highlight w:val="none"/>
        </w:rPr>
        <w:t>中标人确定后，采购代理机构在</w:t>
      </w:r>
      <w:r>
        <w:rPr>
          <w:rFonts w:hint="eastAsia" w:cs="仿宋" w:asciiTheme="minorEastAsia" w:hAnsiTheme="minorEastAsia" w:eastAsiaTheme="minorEastAsia"/>
          <w:bCs/>
          <w:color w:val="auto"/>
          <w:sz w:val="24"/>
          <w:szCs w:val="24"/>
          <w:highlight w:val="none"/>
        </w:rPr>
        <w:t>江西省公共资源交易网（网址：</w:t>
      </w:r>
      <w:r>
        <w:rPr>
          <w:rFonts w:hint="eastAsia" w:cs="仿宋" w:asciiTheme="minorEastAsia" w:hAnsiTheme="minorEastAsia" w:eastAsiaTheme="minorEastAsia"/>
          <w:bCs/>
          <w:color w:val="auto"/>
          <w:sz w:val="24"/>
          <w:szCs w:val="24"/>
          <w:highlight w:val="none"/>
          <w:u w:val="single"/>
        </w:rPr>
        <w:t>http://jxsggzy.cn/web/</w:t>
      </w:r>
      <w:r>
        <w:rPr>
          <w:rFonts w:hint="eastAsia" w:cs="仿宋" w:asciiTheme="minorEastAsia" w:hAnsiTheme="minorEastAsia" w:eastAsiaTheme="minorEastAsia"/>
          <w:bCs/>
          <w:color w:val="auto"/>
          <w:sz w:val="24"/>
          <w:szCs w:val="24"/>
          <w:highlight w:val="none"/>
        </w:rPr>
        <w:t>）和江西省政府采购网（网址：http://www.ccgp-jiangxi.gov.cn/web/）上</w:t>
      </w:r>
      <w:r>
        <w:rPr>
          <w:rFonts w:hint="eastAsia" w:cs="仿宋" w:asciiTheme="minorEastAsia" w:hAnsiTheme="minorEastAsia" w:eastAsiaTheme="minorEastAsia"/>
          <w:color w:val="auto"/>
          <w:sz w:val="24"/>
          <w:szCs w:val="24"/>
          <w:highlight w:val="none"/>
        </w:rPr>
        <w:t>公告中标结果，中标公告期限为1个工作日。</w:t>
      </w:r>
    </w:p>
    <w:p>
      <w:pPr>
        <w:pStyle w:val="6"/>
        <w:spacing w:after="0"/>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28. 履约保证金</w:t>
      </w:r>
    </w:p>
    <w:p>
      <w:pPr>
        <w:spacing w:line="420" w:lineRule="exact"/>
        <w:ind w:left="567" w:hanging="567"/>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pacing w:val="-12"/>
          <w:sz w:val="24"/>
          <w:szCs w:val="24"/>
          <w:highlight w:val="none"/>
        </w:rPr>
        <w:t>28.1</w:t>
      </w:r>
      <w:r>
        <w:rPr>
          <w:rFonts w:hint="eastAsia" w:cs="仿宋" w:asciiTheme="minorEastAsia" w:hAnsiTheme="minorEastAsia" w:eastAsiaTheme="minorEastAsia"/>
          <w:color w:val="auto"/>
          <w:sz w:val="24"/>
          <w:szCs w:val="24"/>
          <w:highlight w:val="none"/>
        </w:rPr>
        <w:t>中标人在与采购人签订采购合同</w:t>
      </w:r>
      <w:r>
        <w:rPr>
          <w:rFonts w:hint="eastAsia" w:cs="仿宋" w:asciiTheme="minorEastAsia" w:hAnsiTheme="minorEastAsia" w:eastAsiaTheme="minorEastAsia"/>
          <w:color w:val="auto"/>
          <w:sz w:val="24"/>
          <w:szCs w:val="24"/>
          <w:highlight w:val="none"/>
          <w:lang w:val="en-US" w:eastAsia="zh-CN"/>
        </w:rPr>
        <w:t>时</w:t>
      </w:r>
      <w:r>
        <w:rPr>
          <w:rFonts w:hint="eastAsia" w:cs="仿宋" w:asciiTheme="minorEastAsia" w:hAnsiTheme="minorEastAsia" w:eastAsiaTheme="minorEastAsia"/>
          <w:color w:val="auto"/>
          <w:sz w:val="24"/>
          <w:szCs w:val="24"/>
          <w:highlight w:val="none"/>
        </w:rPr>
        <w:t>，应</w:t>
      </w:r>
      <w:r>
        <w:rPr>
          <w:rFonts w:hint="eastAsia" w:cs="仿宋" w:asciiTheme="minorEastAsia" w:hAnsiTheme="minorEastAsia" w:eastAsiaTheme="minorEastAsia"/>
          <w:color w:val="auto"/>
          <w:spacing w:val="-12"/>
          <w:sz w:val="24"/>
          <w:szCs w:val="24"/>
          <w:highlight w:val="none"/>
        </w:rPr>
        <w:t>向采购人提交“投标人须知前附表”规定的履约保证金。</w:t>
      </w:r>
      <w:r>
        <w:rPr>
          <w:rFonts w:hint="eastAsia" w:cs="仿宋" w:asciiTheme="minorEastAsia" w:hAnsiTheme="minorEastAsia" w:eastAsiaTheme="minorEastAsia"/>
          <w:color w:val="auto"/>
          <w:sz w:val="24"/>
          <w:szCs w:val="24"/>
          <w:highlight w:val="none"/>
        </w:rPr>
        <w:t>履约保证金按采购人的要求汇入采购人指定账户。</w:t>
      </w:r>
    </w:p>
    <w:p>
      <w:pPr>
        <w:spacing w:line="420" w:lineRule="exact"/>
        <w:ind w:left="567" w:hanging="567"/>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28.2 履约保证金用于补偿因中标人不能完成其合同义务而使采购人蒙受的损失。</w:t>
      </w:r>
    </w:p>
    <w:p>
      <w:pPr>
        <w:pStyle w:val="6"/>
        <w:spacing w:after="0"/>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29. 签订合同</w:t>
      </w:r>
    </w:p>
    <w:p>
      <w:pPr>
        <w:spacing w:line="420" w:lineRule="exact"/>
        <w:ind w:left="567" w:hanging="567"/>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29.1 中标人应按中标通知书规定的时间、地点与采购人签订合同，</w:t>
      </w:r>
      <w:r>
        <w:rPr>
          <w:rFonts w:hint="eastAsia" w:asciiTheme="minorEastAsia" w:hAnsiTheme="minorEastAsia" w:eastAsiaTheme="minorEastAsia" w:cstheme="minorEastAsia"/>
          <w:color w:val="auto"/>
          <w:sz w:val="24"/>
          <w:szCs w:val="24"/>
          <w:highlight w:val="none"/>
        </w:rPr>
        <w:t>否则按拒绝签订合同处理。</w:t>
      </w:r>
    </w:p>
    <w:p>
      <w:pPr>
        <w:spacing w:line="460" w:lineRule="exact"/>
        <w:ind w:left="567" w:hanging="567"/>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29.2 招标文件、中标人的投标文件及评标过程中有关澄清文件均为签订合同的依据。</w:t>
      </w:r>
    </w:p>
    <w:p>
      <w:pPr>
        <w:spacing w:line="46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29.3中标通知书是合同的一个组成部分。</w:t>
      </w:r>
    </w:p>
    <w:p>
      <w:pPr>
        <w:spacing w:line="460" w:lineRule="exact"/>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29.4采购人与中标人应当根据合同的约定依法履行合同义务。</w:t>
      </w:r>
    </w:p>
    <w:p>
      <w:pPr>
        <w:spacing w:line="460" w:lineRule="exact"/>
        <w:ind w:left="567" w:leftChars="270"/>
        <w:rPr>
          <w:rFonts w:cs="仿宋" w:asciiTheme="minorEastAsia" w:hAnsiTheme="minorEastAsia" w:eastAsiaTheme="minorEastAsia"/>
          <w:b/>
          <w:color w:val="auto"/>
          <w:kern w:val="0"/>
          <w:sz w:val="24"/>
          <w:szCs w:val="24"/>
          <w:highlight w:val="none"/>
        </w:rPr>
      </w:pPr>
      <w:r>
        <w:rPr>
          <w:rFonts w:hint="eastAsia" w:cs="仿宋" w:asciiTheme="minorEastAsia" w:hAnsiTheme="minorEastAsia" w:eastAsiaTheme="minorEastAsia"/>
          <w:bCs/>
          <w:color w:val="auto"/>
          <w:sz w:val="24"/>
          <w:szCs w:val="24"/>
          <w:highlight w:val="none"/>
        </w:rPr>
        <w:t>政府采购合同的履行、违约责任和解决争议的方法等适用《中华人民共和国</w:t>
      </w:r>
      <w:r>
        <w:rPr>
          <w:rFonts w:hint="eastAsia" w:cs="仿宋" w:asciiTheme="minorEastAsia" w:hAnsiTheme="minorEastAsia" w:eastAsiaTheme="minorEastAsia"/>
          <w:bCs/>
          <w:color w:val="auto"/>
          <w:sz w:val="24"/>
          <w:szCs w:val="24"/>
          <w:highlight w:val="none"/>
          <w:lang w:eastAsia="zh-CN"/>
        </w:rPr>
        <w:t>民法典</w:t>
      </w:r>
      <w:r>
        <w:rPr>
          <w:rFonts w:hint="eastAsia" w:cs="仿宋" w:asciiTheme="minorEastAsia" w:hAnsiTheme="minorEastAsia" w:eastAsiaTheme="minorEastAsia"/>
          <w:bCs/>
          <w:color w:val="auto"/>
          <w:sz w:val="24"/>
          <w:szCs w:val="24"/>
          <w:highlight w:val="none"/>
        </w:rPr>
        <w:t>》。</w:t>
      </w:r>
    </w:p>
    <w:p>
      <w:pPr>
        <w:widowControl/>
        <w:spacing w:before="100" w:beforeAutospacing="1" w:after="100" w:afterAutospacing="1" w:line="460" w:lineRule="exact"/>
        <w:ind w:left="600" w:hanging="600" w:hangingChars="250"/>
        <w:jc w:val="left"/>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bCs/>
          <w:color w:val="auto"/>
          <w:sz w:val="24"/>
          <w:szCs w:val="24"/>
          <w:highlight w:val="none"/>
        </w:rPr>
        <w:t>29.5采购人应当加强对中标人的履约管理，并按照采购合同约定，及时向中标人支付采购资金。对于中标人违反采购合同约定的行为，采购人应当及时处理，依法追究其违约责任。</w:t>
      </w:r>
    </w:p>
    <w:p>
      <w:pPr>
        <w:spacing w:line="460" w:lineRule="exact"/>
        <w:ind w:left="567" w:hanging="567"/>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29.6合同履行中，采购人需追加与合同标的相同的货物的，在不改变合同其他条款的前提下，可以与中标人协商签订补充合同，但所有补充合同的采购金额不得超过原合同采购金额的百分之十。</w:t>
      </w:r>
    </w:p>
    <w:p>
      <w:pPr>
        <w:spacing w:line="460" w:lineRule="exact"/>
        <w:ind w:left="567" w:hanging="567"/>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29.7中标人拒绝与采购人签订合同的，采购人可以按照评审报告推荐的中标候选人名单排序，确定下一候选人为中标人，也可以重新开展政府采购活动；</w:t>
      </w:r>
      <w:r>
        <w:rPr>
          <w:rFonts w:hint="eastAsia" w:asciiTheme="minorEastAsia" w:hAnsiTheme="minorEastAsia" w:eastAsiaTheme="minorEastAsia" w:cstheme="minorEastAsia"/>
          <w:color w:val="auto"/>
          <w:sz w:val="24"/>
          <w:szCs w:val="24"/>
          <w:highlight w:val="none"/>
        </w:rPr>
        <w:t>拒绝签订政府采购合同的中标人视为撤回投标文件，不予退还其交纳的投标保证金。</w:t>
      </w:r>
    </w:p>
    <w:p>
      <w:pPr>
        <w:pStyle w:val="4"/>
        <w:spacing w:before="0" w:after="0" w:line="460" w:lineRule="exact"/>
        <w:rPr>
          <w:rFonts w:cs="仿宋" w:asciiTheme="minorEastAsia" w:hAnsiTheme="minorEastAsia" w:eastAsiaTheme="minorEastAsia"/>
          <w:color w:val="auto"/>
          <w:sz w:val="24"/>
          <w:szCs w:val="24"/>
          <w:highlight w:val="none"/>
        </w:rPr>
      </w:pPr>
    </w:p>
    <w:p>
      <w:pPr>
        <w:pStyle w:val="4"/>
        <w:spacing w:before="0" w:after="0" w:line="460" w:lineRule="exact"/>
        <w:jc w:val="center"/>
        <w:rPr>
          <w:rFonts w:cs="仿宋" w:asciiTheme="minorEastAsia" w:hAnsiTheme="minorEastAsia" w:eastAsiaTheme="minorEastAsia"/>
          <w:color w:val="auto"/>
          <w:sz w:val="24"/>
          <w:szCs w:val="24"/>
          <w:highlight w:val="none"/>
        </w:rPr>
      </w:pPr>
      <w:bookmarkStart w:id="65" w:name="_Toc29585"/>
      <w:r>
        <w:rPr>
          <w:rFonts w:hint="eastAsia" w:cs="仿宋" w:asciiTheme="minorEastAsia" w:hAnsiTheme="minorEastAsia" w:eastAsiaTheme="minorEastAsia"/>
          <w:color w:val="auto"/>
          <w:sz w:val="24"/>
          <w:szCs w:val="24"/>
          <w:highlight w:val="none"/>
        </w:rPr>
        <w:t>八、询问和质疑</w:t>
      </w:r>
      <w:bookmarkEnd w:id="65"/>
    </w:p>
    <w:p>
      <w:pPr>
        <w:spacing w:line="440" w:lineRule="exact"/>
        <w:ind w:left="563" w:leftChars="228" w:hanging="84" w:hangingChars="35"/>
        <w:rPr>
          <w:rFonts w:cs="仿宋" w:asciiTheme="minorEastAsia" w:hAnsiTheme="minorEastAsia" w:eastAsiaTheme="minorEastAsia"/>
          <w:color w:val="auto"/>
          <w:sz w:val="24"/>
          <w:szCs w:val="24"/>
          <w:highlight w:val="none"/>
        </w:rPr>
      </w:pPr>
    </w:p>
    <w:p>
      <w:pPr>
        <w:pStyle w:val="6"/>
        <w:spacing w:after="0"/>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30.询问</w:t>
      </w:r>
    </w:p>
    <w:p>
      <w:pPr>
        <w:spacing w:line="460" w:lineRule="exact"/>
        <w:ind w:left="480" w:hanging="480" w:hangingChars="200"/>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30.1投标人对政府采购活动事项有疑问的，可以向采购人或者采购代理机构提出询问</w:t>
      </w:r>
      <w:r>
        <w:rPr>
          <w:rFonts w:hint="eastAsia" w:cs="仿宋" w:asciiTheme="minorEastAsia" w:hAnsiTheme="minorEastAsia" w:eastAsiaTheme="minorEastAsia"/>
          <w:color w:val="auto"/>
          <w:sz w:val="24"/>
          <w:szCs w:val="24"/>
          <w:highlight w:val="none"/>
        </w:rPr>
        <w:t>，采购代理机构应当在3个工作日内对投标人依法提出询问做出答复。</w:t>
      </w:r>
    </w:p>
    <w:p>
      <w:pPr>
        <w:pStyle w:val="6"/>
        <w:spacing w:after="0"/>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31、质疑</w:t>
      </w:r>
    </w:p>
    <w:p>
      <w:pPr>
        <w:spacing w:line="360" w:lineRule="auto"/>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31.1 投标人认为招标文件、招标过程、中标结果使自己的权益受到损害的，可以在知道或者应知其权益受到损害之日起7个工作日内，以书面形式向采购人、采购代理机构提出质疑。</w:t>
      </w:r>
    </w:p>
    <w:p>
      <w:pPr>
        <w:spacing w:line="360" w:lineRule="auto"/>
        <w:ind w:left="147" w:leftChars="70"/>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1）对可以质疑的招标文件提出质疑的，为收到招标文件之日或者招标文件公告期限届满之日起7个工作日内；</w:t>
      </w:r>
    </w:p>
    <w:p>
      <w:pPr>
        <w:spacing w:line="360" w:lineRule="auto"/>
        <w:ind w:firstLine="120" w:firstLineChars="50"/>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2）对招标过程提出质疑的，为各招标程序环节结束之日起7个工作日内；</w:t>
      </w:r>
    </w:p>
    <w:p>
      <w:pPr>
        <w:spacing w:line="360" w:lineRule="auto"/>
        <w:ind w:firstLine="120" w:firstLineChars="50"/>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3）对中标结果提出质疑的，为中标结果公告期限届满之日起7个工作日内。</w:t>
      </w:r>
    </w:p>
    <w:p>
      <w:pPr>
        <w:spacing w:line="360" w:lineRule="auto"/>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31.2 投标人应在法定质疑期内一次性提出针对同一采购程序环节的质疑。</w:t>
      </w:r>
    </w:p>
    <w:p>
      <w:pPr>
        <w:spacing w:line="360" w:lineRule="auto"/>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31.3 提出质疑的投标人应当是参与所质疑项目采购活动的投标人。</w:t>
      </w:r>
    </w:p>
    <w:p>
      <w:pPr>
        <w:spacing w:line="360" w:lineRule="auto"/>
        <w:ind w:left="600" w:hanging="600" w:hangingChars="250"/>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31.4潜在投标人已依法获取其可质疑的招标文件的，可以对该文件提出质疑。</w:t>
      </w:r>
    </w:p>
    <w:p>
      <w:pPr>
        <w:spacing w:line="360" w:lineRule="auto"/>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31.5投标人提出质疑应当提交质疑函和必要的证明材料。质疑函应当包括下列内容（格式参照中国政府采购网 </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cs="仿宋" w:asciiTheme="minorEastAsia" w:hAnsiTheme="minorEastAsia" w:eastAsiaTheme="minorEastAsia"/>
          <w:bCs/>
          <w:color w:val="auto"/>
          <w:sz w:val="24"/>
          <w:szCs w:val="24"/>
          <w:highlight w:val="none"/>
        </w:rPr>
        <w:t>http://www.ccgp.gov.cn/</w:t>
      </w:r>
      <w:r>
        <w:rPr>
          <w:rFonts w:hint="eastAsia" w:cs="仿宋" w:asciiTheme="minorEastAsia" w:hAnsiTheme="minorEastAsia" w:eastAsiaTheme="minorEastAsia"/>
          <w:bCs/>
          <w:color w:val="auto"/>
          <w:sz w:val="24"/>
          <w:szCs w:val="24"/>
          <w:highlight w:val="none"/>
        </w:rPr>
        <w:fldChar w:fldCharType="end"/>
      </w:r>
      <w:r>
        <w:rPr>
          <w:rFonts w:hint="eastAsia" w:cs="仿宋" w:asciiTheme="minorEastAsia" w:hAnsiTheme="minorEastAsia" w:eastAsiaTheme="minorEastAsia"/>
          <w:b/>
          <w:bCs/>
          <w:color w:val="auto"/>
          <w:sz w:val="24"/>
          <w:szCs w:val="24"/>
          <w:highlight w:val="none"/>
        </w:rPr>
        <w:t>下载专区</w:t>
      </w:r>
      <w:r>
        <w:rPr>
          <w:rFonts w:hint="eastAsia" w:cs="仿宋" w:asciiTheme="minorEastAsia" w:hAnsiTheme="minorEastAsia" w:eastAsiaTheme="minorEastAsia"/>
          <w:bCs/>
          <w:color w:val="auto"/>
          <w:sz w:val="24"/>
          <w:szCs w:val="24"/>
          <w:highlight w:val="none"/>
        </w:rPr>
        <w:t>的《政府采购供应商质疑函范本》）。</w:t>
      </w:r>
    </w:p>
    <w:p>
      <w:pPr>
        <w:widowControl/>
        <w:spacing w:line="360" w:lineRule="auto"/>
        <w:jc w:val="left"/>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　　（一）投标人的姓名或者名称、地址、邮编、联系人及联系电话；</w:t>
      </w:r>
    </w:p>
    <w:p>
      <w:pPr>
        <w:widowControl/>
        <w:spacing w:line="360" w:lineRule="auto"/>
        <w:jc w:val="left"/>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　　（二）质疑项目的名称、编号；</w:t>
      </w:r>
    </w:p>
    <w:p>
      <w:pPr>
        <w:widowControl/>
        <w:spacing w:line="360" w:lineRule="auto"/>
        <w:jc w:val="left"/>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　　（三）具体、明确的质疑事项和与质疑事项相关的请求；</w:t>
      </w:r>
    </w:p>
    <w:p>
      <w:pPr>
        <w:widowControl/>
        <w:spacing w:line="360" w:lineRule="auto"/>
        <w:jc w:val="left"/>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　　（四）事实依据；</w:t>
      </w:r>
    </w:p>
    <w:p>
      <w:pPr>
        <w:widowControl/>
        <w:spacing w:line="360" w:lineRule="auto"/>
        <w:jc w:val="left"/>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　　（五）必要的法律依据；</w:t>
      </w:r>
    </w:p>
    <w:p>
      <w:pPr>
        <w:widowControl/>
        <w:spacing w:line="360" w:lineRule="auto"/>
        <w:jc w:val="left"/>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　　（六）提出质疑的日期。</w:t>
      </w:r>
    </w:p>
    <w:p>
      <w:pPr>
        <w:widowControl/>
        <w:spacing w:line="360" w:lineRule="auto"/>
        <w:ind w:firstLine="489"/>
        <w:jc w:val="left"/>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投标人为自然人的，应当由本人签字；投标人为法人或者其他组织的，应当由法定代表人、主要负责人，或者其授权代表签字或者盖章，并加盖公章。</w:t>
      </w:r>
    </w:p>
    <w:p>
      <w:pPr>
        <w:widowControl/>
        <w:spacing w:line="360" w:lineRule="auto"/>
        <w:ind w:firstLine="489"/>
        <w:jc w:val="left"/>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对不在采购代理机构现场购买的招标文件质疑的，须同时提供下载招标文件的凭证。</w:t>
      </w:r>
    </w:p>
    <w:p>
      <w:pPr>
        <w:widowControl/>
        <w:spacing w:line="360" w:lineRule="auto"/>
        <w:jc w:val="left"/>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31.6质疑函接收方式</w:t>
      </w:r>
    </w:p>
    <w:p>
      <w:pPr>
        <w:widowControl/>
        <w:spacing w:line="360" w:lineRule="auto"/>
        <w:jc w:val="left"/>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31.6.1对招标文件质疑</w:t>
      </w:r>
    </w:p>
    <w:p>
      <w:pPr>
        <w:widowControl/>
        <w:spacing w:line="360" w:lineRule="auto"/>
        <w:jc w:val="left"/>
        <w:rPr>
          <w:rFonts w:cs="仿宋" w:asciiTheme="minorEastAsia" w:hAnsiTheme="minorEastAsia" w:eastAsiaTheme="minorEastAsia"/>
          <w:bCs/>
          <w:i/>
          <w:color w:val="auto"/>
          <w:sz w:val="24"/>
          <w:szCs w:val="24"/>
          <w:highlight w:val="none"/>
        </w:rPr>
      </w:pPr>
      <w:r>
        <w:rPr>
          <w:rFonts w:hint="eastAsia" w:cs="仿宋" w:asciiTheme="minorEastAsia" w:hAnsiTheme="minorEastAsia" w:eastAsiaTheme="minorEastAsia"/>
          <w:bCs/>
          <w:color w:val="auto"/>
          <w:sz w:val="24"/>
          <w:szCs w:val="24"/>
          <w:highlight w:val="none"/>
        </w:rPr>
        <w:t xml:space="preserve">      接收部门：</w:t>
      </w:r>
      <w:r>
        <w:rPr>
          <w:rFonts w:hint="eastAsia" w:cs="仿宋" w:asciiTheme="minorEastAsia" w:hAnsiTheme="minorEastAsia" w:eastAsiaTheme="minorEastAsia"/>
          <w:color w:val="auto"/>
          <w:kern w:val="0"/>
          <w:sz w:val="24"/>
          <w:szCs w:val="24"/>
          <w:highlight w:val="none"/>
        </w:rPr>
        <w:t>江西省机电设备招标有限公司</w:t>
      </w:r>
      <w:r>
        <w:rPr>
          <w:rFonts w:hint="eastAsia" w:ascii="宋体" w:hAnsi="宋体"/>
          <w:color w:val="auto"/>
          <w:kern w:val="0"/>
          <w:sz w:val="24"/>
          <w:highlight w:val="none"/>
        </w:rPr>
        <w:t>政府采购部</w:t>
      </w:r>
    </w:p>
    <w:p>
      <w:pPr>
        <w:widowControl/>
        <w:spacing w:line="360" w:lineRule="auto"/>
        <w:jc w:val="left"/>
        <w:rPr>
          <w:rFonts w:hint="default" w:cs="仿宋" w:asciiTheme="minorEastAsia" w:hAnsiTheme="minorEastAsia" w:eastAsiaTheme="minorEastAsia"/>
          <w:bCs/>
          <w:color w:val="auto"/>
          <w:sz w:val="24"/>
          <w:szCs w:val="24"/>
          <w:highlight w:val="none"/>
          <w:lang w:val="en-US" w:eastAsia="zh-CN"/>
        </w:rPr>
      </w:pPr>
      <w:r>
        <w:rPr>
          <w:rFonts w:hint="eastAsia" w:cs="仿宋" w:asciiTheme="minorEastAsia" w:hAnsiTheme="minorEastAsia" w:eastAsiaTheme="minorEastAsia"/>
          <w:bCs/>
          <w:color w:val="auto"/>
          <w:sz w:val="24"/>
          <w:szCs w:val="24"/>
          <w:highlight w:val="none"/>
        </w:rPr>
        <w:t xml:space="preserve">      联系电话：</w:t>
      </w:r>
      <w:r>
        <w:rPr>
          <w:rFonts w:hint="eastAsia" w:cs="仿宋" w:asciiTheme="minorEastAsia" w:hAnsiTheme="minorEastAsia" w:eastAsiaTheme="minorEastAsia"/>
          <w:bCs/>
          <w:color w:val="auto"/>
          <w:sz w:val="24"/>
          <w:szCs w:val="24"/>
          <w:highlight w:val="none"/>
          <w:lang w:val="en-US" w:eastAsia="zh-CN"/>
        </w:rPr>
        <w:t>0791-86212719</w:t>
      </w:r>
    </w:p>
    <w:p>
      <w:pPr>
        <w:widowControl/>
        <w:spacing w:line="360" w:lineRule="auto"/>
        <w:jc w:val="left"/>
        <w:rPr>
          <w:rFonts w:cs="仿宋" w:asciiTheme="minorEastAsia" w:hAnsiTheme="minorEastAsia" w:eastAsiaTheme="minorEastAsia"/>
          <w:bCs/>
          <w:i/>
          <w:color w:val="auto"/>
          <w:sz w:val="24"/>
          <w:szCs w:val="24"/>
          <w:highlight w:val="none"/>
        </w:rPr>
      </w:pPr>
      <w:r>
        <w:rPr>
          <w:rFonts w:hint="eastAsia" w:cs="仿宋" w:asciiTheme="minorEastAsia" w:hAnsiTheme="minorEastAsia" w:eastAsiaTheme="minorEastAsia"/>
          <w:bCs/>
          <w:color w:val="auto"/>
          <w:sz w:val="24"/>
          <w:szCs w:val="24"/>
          <w:highlight w:val="none"/>
        </w:rPr>
        <w:t xml:space="preserve">      通讯地址：江西省南昌市东湖区省政府大院北二路92号咨询大厦</w:t>
      </w:r>
      <w:r>
        <w:rPr>
          <w:rFonts w:hint="eastAsia" w:cs="仿宋" w:asciiTheme="minorEastAsia" w:hAnsiTheme="minorEastAsia" w:eastAsiaTheme="minorEastAsia"/>
          <w:color w:val="auto"/>
          <w:kern w:val="0"/>
          <w:sz w:val="24"/>
          <w:szCs w:val="24"/>
          <w:highlight w:val="none"/>
          <w:lang w:val="en-US" w:eastAsia="zh-CN"/>
        </w:rPr>
        <w:t>310</w:t>
      </w:r>
      <w:r>
        <w:rPr>
          <w:rFonts w:hint="eastAsia" w:cs="仿宋" w:asciiTheme="minorEastAsia" w:hAnsiTheme="minorEastAsia" w:eastAsiaTheme="minorEastAsia"/>
          <w:color w:val="auto"/>
          <w:kern w:val="0"/>
          <w:sz w:val="24"/>
          <w:szCs w:val="24"/>
          <w:highlight w:val="none"/>
        </w:rPr>
        <w:t>室</w:t>
      </w:r>
    </w:p>
    <w:p>
      <w:pPr>
        <w:widowControl/>
        <w:spacing w:line="360" w:lineRule="auto"/>
        <w:jc w:val="left"/>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 xml:space="preserve">      邮编：330046</w:t>
      </w:r>
    </w:p>
    <w:p>
      <w:pPr>
        <w:widowControl/>
        <w:spacing w:line="360" w:lineRule="auto"/>
        <w:jc w:val="left"/>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31.6.2对招标过程、中标结果质疑</w:t>
      </w:r>
    </w:p>
    <w:p>
      <w:pPr>
        <w:widowControl/>
        <w:spacing w:line="360" w:lineRule="auto"/>
        <w:jc w:val="left"/>
        <w:rPr>
          <w:rFonts w:cs="仿宋" w:asciiTheme="minorEastAsia" w:hAnsiTheme="minorEastAsia" w:eastAsiaTheme="minorEastAsia"/>
          <w:bCs/>
          <w:color w:val="auto"/>
          <w:sz w:val="24"/>
          <w:szCs w:val="24"/>
          <w:highlight w:val="yellow"/>
        </w:rPr>
      </w:pPr>
      <w:r>
        <w:rPr>
          <w:rFonts w:hint="eastAsia" w:cs="仿宋" w:asciiTheme="minorEastAsia" w:hAnsiTheme="minorEastAsia" w:eastAsiaTheme="minorEastAsia"/>
          <w:bCs/>
          <w:color w:val="auto"/>
          <w:sz w:val="24"/>
          <w:szCs w:val="24"/>
          <w:highlight w:val="none"/>
        </w:rPr>
        <w:t xml:space="preserve">      接收部门：</w:t>
      </w:r>
      <w:r>
        <w:rPr>
          <w:rFonts w:hint="eastAsia" w:cs="仿宋" w:asciiTheme="minorEastAsia" w:hAnsiTheme="minorEastAsia" w:eastAsiaTheme="minorEastAsia"/>
          <w:color w:val="auto"/>
          <w:kern w:val="0"/>
          <w:sz w:val="24"/>
          <w:szCs w:val="24"/>
          <w:highlight w:val="none"/>
        </w:rPr>
        <w:t>江西省机电设备招标有限公司</w:t>
      </w:r>
      <w:r>
        <w:rPr>
          <w:rFonts w:hint="eastAsia" w:cs="仿宋" w:asciiTheme="minorEastAsia" w:hAnsiTheme="minorEastAsia" w:eastAsiaTheme="minorEastAsia"/>
          <w:bCs/>
          <w:color w:val="auto"/>
          <w:sz w:val="24"/>
          <w:szCs w:val="24"/>
          <w:highlight w:val="none"/>
        </w:rPr>
        <w:t>质疑室</w:t>
      </w:r>
    </w:p>
    <w:p>
      <w:pPr>
        <w:widowControl/>
        <w:spacing w:line="360" w:lineRule="auto"/>
        <w:jc w:val="left"/>
        <w:rPr>
          <w:rFonts w:cs="仿宋" w:asciiTheme="minorEastAsia" w:hAnsiTheme="minorEastAsia" w:eastAsiaTheme="minorEastAsia"/>
          <w:bCs/>
          <w:color w:val="auto"/>
          <w:sz w:val="24"/>
          <w:szCs w:val="24"/>
          <w:highlight w:val="yellow"/>
        </w:rPr>
      </w:pPr>
      <w:r>
        <w:rPr>
          <w:rFonts w:hint="eastAsia" w:cs="仿宋" w:asciiTheme="minorEastAsia" w:hAnsiTheme="minorEastAsia" w:eastAsiaTheme="minorEastAsia"/>
          <w:bCs/>
          <w:color w:val="auto"/>
          <w:sz w:val="24"/>
          <w:szCs w:val="24"/>
          <w:highlight w:val="none"/>
        </w:rPr>
        <w:t xml:space="preserve">      联系电话：0791-86274941</w:t>
      </w:r>
    </w:p>
    <w:p>
      <w:pPr>
        <w:widowControl/>
        <w:spacing w:line="360" w:lineRule="auto"/>
        <w:jc w:val="left"/>
        <w:rPr>
          <w:rFonts w:cs="仿宋" w:asciiTheme="minorEastAsia" w:hAnsiTheme="minorEastAsia" w:eastAsiaTheme="minorEastAsia"/>
          <w:bCs/>
          <w:i/>
          <w:color w:val="auto"/>
          <w:sz w:val="24"/>
          <w:szCs w:val="24"/>
          <w:highlight w:val="yellow"/>
        </w:rPr>
      </w:pPr>
      <w:r>
        <w:rPr>
          <w:rFonts w:hint="eastAsia" w:cs="仿宋" w:asciiTheme="minorEastAsia" w:hAnsiTheme="minorEastAsia" w:eastAsiaTheme="minorEastAsia"/>
          <w:bCs/>
          <w:color w:val="auto"/>
          <w:sz w:val="24"/>
          <w:szCs w:val="24"/>
          <w:highlight w:val="none"/>
        </w:rPr>
        <w:t xml:space="preserve">      通讯地址：江西省南昌市东湖区省政府大院北二路92号咨询大厦402室</w:t>
      </w:r>
    </w:p>
    <w:p>
      <w:pPr>
        <w:rPr>
          <w:rFonts w:cs="仿宋" w:asciiTheme="minorEastAsia" w:hAnsiTheme="minorEastAsia" w:eastAsiaTheme="minorEastAsia"/>
          <w:b/>
          <w:i/>
          <w:color w:val="auto"/>
          <w:sz w:val="24"/>
          <w:szCs w:val="24"/>
          <w:highlight w:val="none"/>
        </w:rPr>
      </w:pPr>
      <w:r>
        <w:rPr>
          <w:rFonts w:hint="eastAsia" w:cs="仿宋" w:asciiTheme="minorEastAsia" w:hAnsiTheme="minorEastAsia" w:eastAsiaTheme="minorEastAsia"/>
          <w:bCs/>
          <w:color w:val="auto"/>
          <w:sz w:val="24"/>
          <w:szCs w:val="24"/>
          <w:highlight w:val="none"/>
        </w:rPr>
        <w:t xml:space="preserve">      邮编：330046</w:t>
      </w:r>
    </w:p>
    <w:p>
      <w:pPr>
        <w:pStyle w:val="4"/>
        <w:spacing w:before="0" w:after="0" w:line="460" w:lineRule="exact"/>
        <w:jc w:val="center"/>
        <w:outlineLvl w:val="1"/>
        <w:rPr>
          <w:rFonts w:cs="仿宋" w:asciiTheme="minorEastAsia" w:hAnsiTheme="minorEastAsia" w:eastAsiaTheme="minorEastAsia"/>
          <w:color w:val="auto"/>
          <w:sz w:val="24"/>
          <w:szCs w:val="24"/>
          <w:highlight w:val="none"/>
        </w:rPr>
      </w:pPr>
      <w:bookmarkStart w:id="66" w:name="_Toc474492103"/>
      <w:bookmarkStart w:id="67" w:name="_Toc30081"/>
      <w:r>
        <w:rPr>
          <w:rFonts w:hint="eastAsia" w:ascii="宋体" w:hAnsi="宋体" w:eastAsia="宋体" w:cs="宋体"/>
          <w:color w:val="auto"/>
          <w:sz w:val="24"/>
          <w:szCs w:val="24"/>
          <w:highlight w:val="none"/>
        </w:rPr>
        <w:t>九、</w:t>
      </w:r>
      <w:r>
        <w:rPr>
          <w:rFonts w:hint="eastAsia" w:cs="仿宋" w:asciiTheme="minorEastAsia" w:hAnsiTheme="minorEastAsia" w:eastAsiaTheme="minorEastAsia"/>
          <w:color w:val="auto"/>
          <w:sz w:val="24"/>
          <w:szCs w:val="24"/>
          <w:highlight w:val="none"/>
        </w:rPr>
        <w:t>采购代理服务费</w:t>
      </w:r>
      <w:bookmarkEnd w:id="66"/>
      <w:bookmarkEnd w:id="67"/>
    </w:p>
    <w:p>
      <w:pPr>
        <w:pStyle w:val="6"/>
        <w:spacing w:after="0"/>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32. 采购代理服务费</w:t>
      </w:r>
    </w:p>
    <w:p>
      <w:pPr>
        <w:spacing w:line="420" w:lineRule="exact"/>
        <w:ind w:left="567" w:hanging="567"/>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32.1如为中标人支付采购代理服务费，中标人在领取中标通知书时须按“投标人须知前附表”规定的收费标准，向采购代理机构缴纳采购代理服务费。</w:t>
      </w:r>
    </w:p>
    <w:p>
      <w:pPr>
        <w:spacing w:line="420" w:lineRule="exact"/>
        <w:ind w:left="567" w:hanging="567"/>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32.2 采购代理服务费采用银行转账、支票、汇票、本票等非现金形式交纳。</w:t>
      </w:r>
    </w:p>
    <w:p>
      <w:pPr>
        <w:spacing w:line="560" w:lineRule="exact"/>
        <w:ind w:left="480" w:hanging="480" w:hanging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32.3 中标人如未按本须知“第32.1条”规定办理，采购代理机构将按本须知“第16.5条”规定不予退还其投标保证金。</w:t>
      </w:r>
    </w:p>
    <w:p>
      <w:pPr>
        <w:pStyle w:val="4"/>
        <w:spacing w:before="0" w:after="0" w:line="420" w:lineRule="exact"/>
        <w:jc w:val="left"/>
        <w:rPr>
          <w:rFonts w:cs="仿宋" w:asciiTheme="minorEastAsia" w:hAnsiTheme="minorEastAsia" w:eastAsiaTheme="minorEastAsia"/>
          <w:color w:val="auto"/>
          <w:sz w:val="24"/>
          <w:szCs w:val="24"/>
          <w:highlight w:val="none"/>
        </w:rPr>
      </w:pPr>
    </w:p>
    <w:p>
      <w:pPr>
        <w:pStyle w:val="4"/>
        <w:spacing w:before="0" w:after="0" w:line="460" w:lineRule="exact"/>
        <w:jc w:val="center"/>
        <w:rPr>
          <w:rFonts w:cs="仿宋" w:asciiTheme="minorEastAsia" w:hAnsiTheme="minorEastAsia" w:eastAsiaTheme="minorEastAsia"/>
          <w:color w:val="auto"/>
          <w:sz w:val="24"/>
          <w:szCs w:val="24"/>
          <w:highlight w:val="none"/>
        </w:rPr>
      </w:pPr>
      <w:bookmarkStart w:id="68" w:name="_Toc474492104"/>
      <w:bookmarkStart w:id="69" w:name="_Toc26255"/>
      <w:r>
        <w:rPr>
          <w:rFonts w:hint="eastAsia" w:cs="仿宋" w:asciiTheme="minorEastAsia" w:hAnsiTheme="minorEastAsia" w:eastAsiaTheme="minorEastAsia"/>
          <w:color w:val="auto"/>
          <w:sz w:val="24"/>
          <w:szCs w:val="24"/>
          <w:highlight w:val="none"/>
        </w:rPr>
        <w:t>十、附则</w:t>
      </w:r>
      <w:bookmarkEnd w:id="68"/>
      <w:bookmarkEnd w:id="69"/>
    </w:p>
    <w:p>
      <w:pPr>
        <w:pStyle w:val="6"/>
        <w:spacing w:after="0"/>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33. 解释权</w:t>
      </w:r>
    </w:p>
    <w:p>
      <w:pPr>
        <w:spacing w:line="420" w:lineRule="exact"/>
        <w:ind w:left="598" w:leftChars="285"/>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本招标文件是根据国家有关法律、法规以及政府采购管理有关规定编制，解释权属江西省机电设备招标有限公司。</w:t>
      </w:r>
    </w:p>
    <w:p>
      <w:pPr>
        <w:pStyle w:val="3"/>
        <w:jc w:val="center"/>
        <w:rPr>
          <w:rFonts w:hint="eastAsia" w:cs="仿宋" w:asciiTheme="minorEastAsia" w:hAnsiTheme="minorEastAsia" w:eastAsiaTheme="minorEastAsia"/>
          <w:b/>
          <w:color w:val="auto"/>
          <w:sz w:val="24"/>
          <w:szCs w:val="24"/>
          <w:highlight w:val="none"/>
          <w:lang w:eastAsia="zh-CN"/>
        </w:rPr>
      </w:pPr>
      <w:r>
        <w:rPr>
          <w:rFonts w:hint="eastAsia" w:cs="仿宋" w:asciiTheme="minorEastAsia" w:hAnsiTheme="minorEastAsia" w:eastAsiaTheme="minorEastAsia"/>
          <w:color w:val="auto"/>
          <w:sz w:val="24"/>
          <w:szCs w:val="24"/>
          <w:highlight w:val="none"/>
        </w:rPr>
        <w:br w:type="page"/>
      </w:r>
      <w:bookmarkStart w:id="70" w:name="_Toc13945"/>
      <w:r>
        <w:rPr>
          <w:rFonts w:hint="eastAsia" w:cs="仿宋" w:asciiTheme="minorEastAsia" w:hAnsiTheme="minorEastAsia" w:eastAsiaTheme="minorEastAsia"/>
          <w:b/>
          <w:color w:val="auto"/>
          <w:sz w:val="24"/>
          <w:szCs w:val="24"/>
          <w:highlight w:val="none"/>
        </w:rPr>
        <w:t>第三章  拟签订的合同文本</w:t>
      </w:r>
      <w:bookmarkEnd w:id="70"/>
      <w:r>
        <w:rPr>
          <w:rFonts w:hint="eastAsia" w:cs="仿宋" w:asciiTheme="minorEastAsia" w:hAnsiTheme="minorEastAsia" w:eastAsiaTheme="minorEastAsia"/>
          <w:b/>
          <w:color w:val="auto"/>
          <w:sz w:val="24"/>
          <w:szCs w:val="24"/>
          <w:highlight w:val="none"/>
          <w:lang w:eastAsia="zh-CN"/>
        </w:rPr>
        <w:t>（</w:t>
      </w:r>
      <w:r>
        <w:rPr>
          <w:rFonts w:hint="eastAsia" w:cs="仿宋" w:asciiTheme="minorEastAsia" w:hAnsiTheme="minorEastAsia" w:eastAsiaTheme="minorEastAsia"/>
          <w:b/>
          <w:color w:val="auto"/>
          <w:sz w:val="24"/>
          <w:szCs w:val="24"/>
          <w:highlight w:val="none"/>
          <w:lang w:val="en-US" w:eastAsia="zh-CN"/>
        </w:rPr>
        <w:t>参考模板，不作为最后签订的依据）</w:t>
      </w:r>
    </w:p>
    <w:p>
      <w:pPr>
        <w:spacing w:line="580" w:lineRule="exact"/>
        <w:rPr>
          <w:rFonts w:cs="仿宋" w:asciiTheme="minorEastAsia" w:hAnsiTheme="minorEastAsia" w:eastAsiaTheme="minorEastAsia"/>
          <w:color w:val="auto"/>
          <w:kern w:val="0"/>
          <w:sz w:val="24"/>
          <w:szCs w:val="24"/>
          <w:highlight w:val="none"/>
        </w:rPr>
      </w:pPr>
    </w:p>
    <w:p>
      <w:pPr>
        <w:spacing w:line="580" w:lineRule="exact"/>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甲方（采购单位）：________</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乙方（供货单位）：________</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签订时间：________年____月____日</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签订地点：</w:t>
      </w:r>
      <w:r>
        <w:rPr>
          <w:rFonts w:hint="eastAsia" w:cs="仿宋" w:asciiTheme="minorEastAsia" w:hAnsiTheme="minorEastAsia" w:eastAsiaTheme="minorEastAsia"/>
          <w:color w:val="auto"/>
          <w:kern w:val="0"/>
          <w:sz w:val="24"/>
          <w:szCs w:val="24"/>
          <w:highlight w:val="none"/>
        </w:rPr>
        <w:br w:type="textWrapping"/>
      </w:r>
    </w:p>
    <w:p>
      <w:pPr>
        <w:spacing w:line="580" w:lineRule="exact"/>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根据《中华人民共和国</w:t>
      </w:r>
      <w:r>
        <w:rPr>
          <w:rFonts w:hint="eastAsia" w:cs="仿宋" w:asciiTheme="minorEastAsia" w:hAnsiTheme="minorEastAsia" w:eastAsiaTheme="minorEastAsia"/>
          <w:color w:val="auto"/>
          <w:kern w:val="0"/>
          <w:sz w:val="24"/>
          <w:szCs w:val="24"/>
          <w:highlight w:val="none"/>
          <w:lang w:eastAsia="zh-CN"/>
        </w:rPr>
        <w:t>民法典</w:t>
      </w:r>
      <w:r>
        <w:rPr>
          <w:rFonts w:hint="eastAsia" w:cs="仿宋" w:asciiTheme="minorEastAsia" w:hAnsiTheme="minorEastAsia" w:eastAsiaTheme="minorEastAsia"/>
          <w:color w:val="auto"/>
          <w:kern w:val="0"/>
          <w:sz w:val="24"/>
          <w:szCs w:val="24"/>
          <w:highlight w:val="none"/>
        </w:rPr>
        <w:t>》及________年____月____日（招标代理机构名称）关于________项目的中标结果和招标文件（招标编号：________）的要求，经双方协商一致，签订本合同。详细价格、技术说明及其他有关合同货物的特定信息由合同附件予以说明，所有附件及本项目的招投标文件、会议纪要、协议等均为本合同不可分割之一部分。</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第一条　合同货物</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乙方根据甲方要求提供以下货物：　　</w:t>
      </w:r>
    </w:p>
    <w:tbl>
      <w:tblPr>
        <w:tblStyle w:val="40"/>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417"/>
        <w:gridCol w:w="1276"/>
        <w:gridCol w:w="992"/>
        <w:gridCol w:w="1276"/>
        <w:gridCol w:w="709"/>
        <w:gridCol w:w="709"/>
        <w:gridCol w:w="804"/>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pStyle w:val="57"/>
              <w:jc w:val="center"/>
              <w:rPr>
                <w:rFonts w:cs="仿宋"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序号</w:t>
            </w:r>
          </w:p>
        </w:tc>
        <w:tc>
          <w:tcPr>
            <w:tcW w:w="1417" w:type="dxa"/>
          </w:tcPr>
          <w:p>
            <w:pPr>
              <w:pStyle w:val="57"/>
              <w:jc w:val="center"/>
              <w:rPr>
                <w:rFonts w:cs="仿宋"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货物名称</w:t>
            </w:r>
          </w:p>
        </w:tc>
        <w:tc>
          <w:tcPr>
            <w:tcW w:w="1276" w:type="dxa"/>
          </w:tcPr>
          <w:p>
            <w:pPr>
              <w:pStyle w:val="57"/>
              <w:jc w:val="center"/>
              <w:rPr>
                <w:rFonts w:cs="仿宋"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规格型号</w:t>
            </w:r>
          </w:p>
        </w:tc>
        <w:tc>
          <w:tcPr>
            <w:tcW w:w="992" w:type="dxa"/>
          </w:tcPr>
          <w:p>
            <w:pPr>
              <w:pStyle w:val="57"/>
              <w:jc w:val="center"/>
              <w:rPr>
                <w:rFonts w:cs="仿宋"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原产国</w:t>
            </w:r>
          </w:p>
        </w:tc>
        <w:tc>
          <w:tcPr>
            <w:tcW w:w="1276" w:type="dxa"/>
          </w:tcPr>
          <w:p>
            <w:pPr>
              <w:pStyle w:val="57"/>
              <w:jc w:val="center"/>
              <w:rPr>
                <w:rFonts w:cs="仿宋"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生产厂商</w:t>
            </w:r>
          </w:p>
        </w:tc>
        <w:tc>
          <w:tcPr>
            <w:tcW w:w="709" w:type="dxa"/>
          </w:tcPr>
          <w:p>
            <w:pPr>
              <w:pStyle w:val="57"/>
              <w:jc w:val="center"/>
              <w:rPr>
                <w:rFonts w:cs="仿宋"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单位</w:t>
            </w:r>
          </w:p>
        </w:tc>
        <w:tc>
          <w:tcPr>
            <w:tcW w:w="709" w:type="dxa"/>
          </w:tcPr>
          <w:p>
            <w:pPr>
              <w:pStyle w:val="57"/>
              <w:jc w:val="center"/>
              <w:rPr>
                <w:rFonts w:cs="仿宋"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数量</w:t>
            </w:r>
          </w:p>
        </w:tc>
        <w:tc>
          <w:tcPr>
            <w:tcW w:w="804" w:type="dxa"/>
          </w:tcPr>
          <w:p>
            <w:pPr>
              <w:pStyle w:val="57"/>
              <w:jc w:val="center"/>
              <w:rPr>
                <w:rFonts w:cs="仿宋"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单价</w:t>
            </w:r>
          </w:p>
        </w:tc>
        <w:tc>
          <w:tcPr>
            <w:tcW w:w="1180" w:type="dxa"/>
          </w:tcPr>
          <w:p>
            <w:pPr>
              <w:pStyle w:val="57"/>
              <w:jc w:val="center"/>
              <w:rPr>
                <w:rFonts w:cs="仿宋"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单项合计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widowControl/>
              <w:spacing w:line="360" w:lineRule="atLeast"/>
              <w:ind w:right="480"/>
              <w:jc w:val="center"/>
              <w:rPr>
                <w:rFonts w:cs="仿宋" w:asciiTheme="minorEastAsia" w:hAnsiTheme="minorEastAsia" w:eastAsiaTheme="minorEastAsia"/>
                <w:color w:val="auto"/>
                <w:kern w:val="0"/>
                <w:sz w:val="24"/>
                <w:szCs w:val="24"/>
                <w:highlight w:val="none"/>
              </w:rPr>
            </w:pPr>
          </w:p>
        </w:tc>
        <w:tc>
          <w:tcPr>
            <w:tcW w:w="1417" w:type="dxa"/>
          </w:tcPr>
          <w:p>
            <w:pPr>
              <w:widowControl/>
              <w:spacing w:line="360" w:lineRule="atLeast"/>
              <w:ind w:right="480"/>
              <w:jc w:val="center"/>
              <w:rPr>
                <w:rFonts w:cs="仿宋" w:asciiTheme="minorEastAsia" w:hAnsiTheme="minorEastAsia" w:eastAsiaTheme="minorEastAsia"/>
                <w:color w:val="auto"/>
                <w:kern w:val="0"/>
                <w:sz w:val="24"/>
                <w:szCs w:val="24"/>
                <w:highlight w:val="none"/>
              </w:rPr>
            </w:pPr>
          </w:p>
        </w:tc>
        <w:tc>
          <w:tcPr>
            <w:tcW w:w="1276" w:type="dxa"/>
          </w:tcPr>
          <w:p>
            <w:pPr>
              <w:widowControl/>
              <w:spacing w:line="360" w:lineRule="atLeast"/>
              <w:ind w:right="480"/>
              <w:jc w:val="center"/>
              <w:rPr>
                <w:rFonts w:cs="仿宋" w:asciiTheme="minorEastAsia" w:hAnsiTheme="minorEastAsia" w:eastAsiaTheme="minorEastAsia"/>
                <w:color w:val="auto"/>
                <w:kern w:val="0"/>
                <w:sz w:val="24"/>
                <w:szCs w:val="24"/>
                <w:highlight w:val="none"/>
              </w:rPr>
            </w:pPr>
          </w:p>
        </w:tc>
        <w:tc>
          <w:tcPr>
            <w:tcW w:w="992" w:type="dxa"/>
          </w:tcPr>
          <w:p>
            <w:pPr>
              <w:widowControl/>
              <w:spacing w:line="360" w:lineRule="atLeast"/>
              <w:ind w:right="480"/>
              <w:jc w:val="center"/>
              <w:rPr>
                <w:rFonts w:cs="仿宋" w:asciiTheme="minorEastAsia" w:hAnsiTheme="minorEastAsia" w:eastAsiaTheme="minorEastAsia"/>
                <w:color w:val="auto"/>
                <w:kern w:val="0"/>
                <w:sz w:val="24"/>
                <w:szCs w:val="24"/>
                <w:highlight w:val="none"/>
              </w:rPr>
            </w:pPr>
          </w:p>
        </w:tc>
        <w:tc>
          <w:tcPr>
            <w:tcW w:w="1276" w:type="dxa"/>
          </w:tcPr>
          <w:p>
            <w:pPr>
              <w:widowControl/>
              <w:spacing w:line="360" w:lineRule="atLeast"/>
              <w:ind w:right="480"/>
              <w:jc w:val="center"/>
              <w:rPr>
                <w:rFonts w:cs="仿宋" w:asciiTheme="minorEastAsia" w:hAnsiTheme="minorEastAsia" w:eastAsiaTheme="minorEastAsia"/>
                <w:color w:val="auto"/>
                <w:kern w:val="0"/>
                <w:sz w:val="24"/>
                <w:szCs w:val="24"/>
                <w:highlight w:val="none"/>
              </w:rPr>
            </w:pPr>
          </w:p>
        </w:tc>
        <w:tc>
          <w:tcPr>
            <w:tcW w:w="709" w:type="dxa"/>
          </w:tcPr>
          <w:p>
            <w:pPr>
              <w:widowControl/>
              <w:spacing w:line="360" w:lineRule="atLeast"/>
              <w:ind w:right="480"/>
              <w:jc w:val="center"/>
              <w:rPr>
                <w:rFonts w:cs="仿宋" w:asciiTheme="minorEastAsia" w:hAnsiTheme="minorEastAsia" w:eastAsiaTheme="minorEastAsia"/>
                <w:color w:val="auto"/>
                <w:kern w:val="0"/>
                <w:sz w:val="24"/>
                <w:szCs w:val="24"/>
                <w:highlight w:val="none"/>
              </w:rPr>
            </w:pPr>
          </w:p>
        </w:tc>
        <w:tc>
          <w:tcPr>
            <w:tcW w:w="709" w:type="dxa"/>
          </w:tcPr>
          <w:p>
            <w:pPr>
              <w:widowControl/>
              <w:spacing w:line="360" w:lineRule="atLeast"/>
              <w:ind w:right="480"/>
              <w:jc w:val="center"/>
              <w:rPr>
                <w:rFonts w:cs="仿宋" w:asciiTheme="minorEastAsia" w:hAnsiTheme="minorEastAsia" w:eastAsiaTheme="minorEastAsia"/>
                <w:color w:val="auto"/>
                <w:kern w:val="0"/>
                <w:sz w:val="24"/>
                <w:szCs w:val="24"/>
                <w:highlight w:val="none"/>
              </w:rPr>
            </w:pPr>
          </w:p>
        </w:tc>
        <w:tc>
          <w:tcPr>
            <w:tcW w:w="804" w:type="dxa"/>
          </w:tcPr>
          <w:p>
            <w:pPr>
              <w:widowControl/>
              <w:spacing w:line="360" w:lineRule="atLeast"/>
              <w:ind w:right="480"/>
              <w:jc w:val="center"/>
              <w:rPr>
                <w:rFonts w:cs="仿宋" w:asciiTheme="minorEastAsia" w:hAnsiTheme="minorEastAsia" w:eastAsiaTheme="minorEastAsia"/>
                <w:color w:val="auto"/>
                <w:kern w:val="0"/>
                <w:sz w:val="24"/>
                <w:szCs w:val="24"/>
                <w:highlight w:val="none"/>
              </w:rPr>
            </w:pPr>
          </w:p>
        </w:tc>
        <w:tc>
          <w:tcPr>
            <w:tcW w:w="1180" w:type="dxa"/>
          </w:tcPr>
          <w:p>
            <w:pPr>
              <w:widowControl/>
              <w:spacing w:line="360" w:lineRule="atLeast"/>
              <w:ind w:right="480"/>
              <w:jc w:val="center"/>
              <w:rPr>
                <w:rFonts w:cs="仿宋" w:asciiTheme="minorEastAsia" w:hAnsiTheme="minorEastAsia" w:eastAsiaTheme="minorEastAsia"/>
                <w:color w:val="auto"/>
                <w:kern w:val="0"/>
                <w:sz w:val="24"/>
                <w:szCs w:val="24"/>
                <w:highlight w:val="none"/>
              </w:rPr>
            </w:pPr>
          </w:p>
        </w:tc>
      </w:tr>
    </w:tbl>
    <w:p>
      <w:pPr>
        <w:spacing w:line="580" w:lineRule="exact"/>
        <w:ind w:firstLine="630"/>
        <w:jc w:val="left"/>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第二条　合同总价</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总价为人民币（大写）：________ ，即RMB________。该合同总价是货物设计、制造、包装、仓储、运输、安装及验收合格之前及保修期内备品备件发生的所有含税费用。本合同执行期间合同总价不变。</w:t>
      </w:r>
    </w:p>
    <w:p>
      <w:pPr>
        <w:spacing w:line="440" w:lineRule="exact"/>
        <w:ind w:left="105" w:leftChars="50" w:firstLine="194" w:firstLineChars="81"/>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第三条　专利权</w:t>
      </w:r>
    </w:p>
    <w:p>
      <w:pPr>
        <w:spacing w:line="440" w:lineRule="exact"/>
        <w:ind w:left="105" w:leftChars="50" w:firstLine="194" w:firstLineChars="81"/>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 xml:space="preserve">  乙方应保护甲方在使用该货物或其任何一部分时不受第三方提出侵犯专利权、商标权、著作权或其它知识产权起诉的指控。如果任何第三方提出侵权指控，乙方须与第三方交涉并承担可能发生的一切法律责任和费用。</w:t>
      </w:r>
    </w:p>
    <w:p>
      <w:pPr>
        <w:spacing w:line="440" w:lineRule="exact"/>
        <w:ind w:firstLine="480" w:firstLineChars="200"/>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第四条　包装和装运标志</w:t>
      </w:r>
    </w:p>
    <w:p>
      <w:pPr>
        <w:spacing w:line="440" w:lineRule="exact"/>
        <w:ind w:firstLine="480" w:firstLineChars="200"/>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1.除合同另有规定外，乙方提供的全部货物，均应采用国家或专业标准保护措施进行包装，使包装应适应于海运、或空运、或陆上长距离运输，并有良好的防潮、防震、防锈和防粗暴装卸等保护措施，确保货物安全无损运抵现场。由于包装不善所引起的货物锈蚀、损坏和损失造成的后果均由乙方承担。</w:t>
      </w:r>
    </w:p>
    <w:p>
      <w:pPr>
        <w:spacing w:line="440" w:lineRule="exact"/>
        <w:ind w:firstLine="480" w:firstLineChars="200"/>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2.每件包装箱内应附一份详细装箱单和质量合格证。</w:t>
      </w:r>
    </w:p>
    <w:p>
      <w:pPr>
        <w:spacing w:line="440" w:lineRule="exact"/>
        <w:ind w:left="105" w:leftChars="50" w:firstLine="360" w:firstLineChars="150"/>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3..除合同另有规定外，装运标志均应采用国家或专业标准进行标志。由于标志不妥所造成货物损坏和损失的后果均由乙方承担。</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第五条　质量</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1. 乙方须提供全新的、符合国家有关质量标准和规范、环保要求的货物，其质量、规格及技术特征符合合同附件的要求。</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2. 每台货物上均应钉有名牌（内容包括：制造商、货物名称、型号规格、出厂日期等）并附有产品质量检验合格标志。</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3. 货物制造质量出现问题，乙方应负责三包（包修、包换、包退），费用由乙方负责。</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4. 货到现场后由于甲方保管不当造成的质量问题，乙方亦应负责修理，但费用由甲方负担。</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第六条　交货及验收</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1. 在合同签订后________日内，乙方免费送货至甲方地点：________，由甲方与乙方一起进行到货验收及由乙方免费完成货物和系统的安装调试工作，然后由双方共同进行质量验收，如质量验收合格，双方签署质量验收表。</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2. 货物的到货验收包括：型号、规格、数量、外观质量及货物包装完整无损。</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3. 货物和系统安装调试完成后10天之内，甲方无故不进行验收工作而使用货物的，视同已安装调试完成并验收合格。</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4. 货物和系统调试验收的标准：按行业通行标准、厂方出厂标准和乙方投标文件的承诺（详见合同附件载明的标准，并不低于国家相关标准）。</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5. 国内产品或合资厂的产品必须具备出厂合格证和原厂保修卡。</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6. 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第七条　付款方式</w:t>
      </w:r>
    </w:p>
    <w:p>
      <w:pPr>
        <w:spacing w:line="440" w:lineRule="exact"/>
        <w:ind w:left="105" w:leftChars="50" w:firstLine="480" w:firstLineChars="200"/>
        <w:rPr>
          <w:rFonts w:hint="eastAsia"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甲乙双方签订合同后支付合同总价的%，所有合同项下项目实施完毕，并经甲方验收合格后支付合同总价的%，剩余%作为质保金在质保期结束后十个工作日内付清。</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本合同供货单位指定的收款账户：</w:t>
      </w:r>
    </w:p>
    <w:p>
      <w:pPr>
        <w:spacing w:line="440" w:lineRule="exact"/>
        <w:ind w:left="105" w:leftChars="50" w:firstLine="480" w:firstLineChars="200"/>
        <w:rPr>
          <w:rFonts w:hint="eastAsia"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户名：_____________________</w:t>
      </w:r>
    </w:p>
    <w:p>
      <w:pPr>
        <w:spacing w:line="440" w:lineRule="exact"/>
        <w:ind w:left="105" w:leftChars="50" w:firstLine="480" w:firstLineChars="200"/>
        <w:rPr>
          <w:rFonts w:hint="eastAsia"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开户行：___________________</w:t>
      </w:r>
    </w:p>
    <w:p>
      <w:pPr>
        <w:spacing w:line="440" w:lineRule="exact"/>
        <w:ind w:left="105" w:leftChars="50" w:firstLine="480" w:firstLineChars="200"/>
        <w:rPr>
          <w:rFonts w:hint="eastAsia"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账号：_____________________</w:t>
      </w:r>
    </w:p>
    <w:p>
      <w:pPr>
        <w:spacing w:line="440" w:lineRule="exact"/>
        <w:ind w:left="105" w:leftChars="50" w:firstLine="480" w:firstLineChars="200"/>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第八条　售后服务</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2. 质量保证期为：         ；质保期自甲方在货物质量验收单上签字之日起计算，保修费用计入总价。</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3. 质量保证期内，乙方负责对其提供的货物整机进行维修和系统维护，不再收取任何费用，但不可抗力（如火灾、雷击等）造成的故障除外。</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4. 货物故障报修的响应时间为：工作期间（星期一至星期五8： 00-18： 00）为________小时；非工作期间为________小时；售后服务电话：________。</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5. 若货物故障在检修8工作小时后仍无法排除，乙方应在48小时内免费提供不低于故障货物规格型号档次的备用货物供甲方使用，直至故障货物修复。</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6. 所有货物保修服务方式均为乙方上门保修，即由乙方派员到货物使用现场维修，由此产生的一切费用均由乙方承担。</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7. 乙方须每隔半年上门对甲方进行回访，（需由用户盖章确认）。</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8. 保修期后的货物维护由双方协商再定。</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第九条　违约责任</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1. 甲方无正当理由拒收货物、拒付货款的，由甲方向乙方偿付合同总价的5‰的违约金。</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2. 甲方应在合同规定时间内向乙方支付货款，每逾期1天甲方向乙方偿付欠款总额的5‰滞纳金，累计滞纳金总额不超过欠款总额的5‰。</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3. 乙方不能交付货物，则由乙方向甲方支付合同总价的5‰的违约金。</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4. 乙方逾期交付货物的，每逾期1天，乙方向甲方偿付逾期交货部分货款总额的5‰的滞纳金，累计滞纳金不超过逾期交货部分货款总额的5‰，逾期交货超过10天，甲方有权终止合同，并按第九条第3款处理。</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5. 乙方所交的货物品种、型号、规格不符合合同规定的，甲方有权拒收设备。乙方向甲方支付货款总额的5‰的违约金。</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6. 如经乙方两次维修，货物仍不能达到合同约定质量标准，甲方有权退货，乙方退回全部货款，并按第九条第3款处理，同时，乙方还须赔偿甲方因此遭受的损失。</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7. 乙方所供货物必须权属清楚，不得侵害他人的知识产权，否则构成对甲方违约，违约金按第九条第3~4款执行。</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第十条　争议及仲裁</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1. 因货物的质量问题发生争议，由质量监督部门或其指定的质量鉴定单位进行质量鉴定。货物符合标准的，鉴定费由甲方承担；货物不符合质量标准的，鉴定费由乙方承担。</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2. 因本合同引起的争议，甲、乙双方应首先通过友好协商解决，如果协商或调解不能解决争议，则</w:t>
      </w:r>
      <w:r>
        <w:rPr>
          <w:rFonts w:hint="eastAsia" w:cs="仿宋" w:asciiTheme="minorEastAsia" w:hAnsiTheme="minorEastAsia" w:eastAsiaTheme="minorEastAsia"/>
          <w:color w:val="auto"/>
          <w:sz w:val="24"/>
          <w:szCs w:val="24"/>
          <w:highlight w:val="none"/>
        </w:rPr>
        <w:t>提请仲裁委员会按照其仲裁规则进行仲裁。</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第十一条　其他</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1. 本合同正本5份，具有同等法律效力，甲、乙双方各执2份，招标代理机构1份。合同自签字之日起即时生效。</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2. 本合同未尽事宜，由双方协商处理。</w:t>
      </w:r>
    </w:p>
    <w:p>
      <w:pPr>
        <w:spacing w:line="580" w:lineRule="exact"/>
        <w:ind w:firstLine="42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甲方（盖章）：________　　　乙方（盖章）：________</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签约代表（签字）：________　　签约代表（签字）：________</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地址：________　　　　　　　地址：________</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电话：________　　　　　　　电话：________</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传真：________　　　　　　　传真：________</w:t>
      </w:r>
      <w:r>
        <w:rPr>
          <w:rFonts w:hint="eastAsia" w:cs="仿宋" w:asciiTheme="minorEastAsia" w:hAnsiTheme="minorEastAsia" w:eastAsiaTheme="minorEastAsia"/>
          <w:color w:val="auto"/>
          <w:kern w:val="0"/>
          <w:sz w:val="24"/>
          <w:szCs w:val="24"/>
          <w:highlight w:val="none"/>
        </w:rPr>
        <w:br w:type="textWrapping"/>
      </w:r>
      <w:r>
        <w:rPr>
          <w:rFonts w:hint="eastAsia" w:cs="仿宋" w:asciiTheme="minorEastAsia" w:hAnsiTheme="minorEastAsia" w:eastAsiaTheme="minorEastAsia"/>
          <w:color w:val="auto"/>
          <w:kern w:val="0"/>
          <w:sz w:val="24"/>
          <w:szCs w:val="24"/>
          <w:highlight w:val="none"/>
        </w:rPr>
        <w:t>　　________年____月____日　　　________年____月____日</w:t>
      </w:r>
    </w:p>
    <w:p>
      <w:pPr>
        <w:spacing w:line="420" w:lineRule="exact"/>
        <w:ind w:left="600" w:hanging="600" w:hangingChars="250"/>
        <w:jc w:val="cente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b/>
          <w:i/>
          <w:color w:val="auto"/>
          <w:sz w:val="24"/>
          <w:szCs w:val="24"/>
          <w:highlight w:val="none"/>
        </w:rPr>
      </w:pPr>
    </w:p>
    <w:p>
      <w:pPr>
        <w:rPr>
          <w:rFonts w:cs="仿宋" w:asciiTheme="minorEastAsia" w:hAnsiTheme="minorEastAsia" w:eastAsiaTheme="minorEastAsia"/>
          <w:b/>
          <w:i/>
          <w:color w:val="auto"/>
          <w:sz w:val="24"/>
          <w:szCs w:val="24"/>
          <w:highlight w:val="none"/>
        </w:rPr>
      </w:pPr>
    </w:p>
    <w:p>
      <w:pPr>
        <w:pStyle w:val="4"/>
        <w:keepNext/>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cs="仿宋" w:asciiTheme="minorEastAsia" w:hAnsiTheme="minorEastAsia" w:eastAsiaTheme="minorEastAsia"/>
          <w:b/>
          <w:color w:val="auto"/>
          <w:sz w:val="28"/>
          <w:szCs w:val="28"/>
          <w:highlight w:val="none"/>
        </w:rPr>
      </w:pPr>
      <w:r>
        <w:rPr>
          <w:rFonts w:hint="eastAsia" w:cs="仿宋" w:asciiTheme="minorEastAsia" w:hAnsiTheme="minorEastAsia" w:eastAsiaTheme="minorEastAsia"/>
          <w:color w:val="auto"/>
          <w:kern w:val="0"/>
          <w:sz w:val="24"/>
          <w:szCs w:val="24"/>
          <w:highlight w:val="yellow"/>
        </w:rPr>
        <w:br w:type="page"/>
      </w:r>
      <w:bookmarkStart w:id="71" w:name="_Toc474492108"/>
      <w:bookmarkStart w:id="72" w:name="_Toc1642"/>
      <w:r>
        <w:rPr>
          <w:rFonts w:hint="eastAsia" w:cs="仿宋" w:asciiTheme="minorEastAsia" w:hAnsiTheme="minorEastAsia" w:eastAsiaTheme="minorEastAsia"/>
          <w:b/>
          <w:color w:val="auto"/>
          <w:sz w:val="28"/>
          <w:szCs w:val="28"/>
          <w:highlight w:val="none"/>
        </w:rPr>
        <w:t>第四章  投标文件格式</w:t>
      </w:r>
      <w:bookmarkEnd w:id="71"/>
      <w:bookmarkEnd w:id="72"/>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jc w:val="center"/>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投 标 文 件</w:t>
      </w:r>
    </w:p>
    <w:p>
      <w:pPr>
        <w:rPr>
          <w:rFonts w:cs="仿宋" w:asciiTheme="minorEastAsia" w:hAnsiTheme="minorEastAsia" w:eastAsiaTheme="minorEastAsia"/>
          <w:b/>
          <w:bCs/>
          <w:color w:val="auto"/>
          <w:sz w:val="24"/>
          <w:szCs w:val="24"/>
          <w:highlight w:val="none"/>
        </w:rPr>
      </w:pPr>
    </w:p>
    <w:p>
      <w:pPr>
        <w:rPr>
          <w:rFonts w:cs="仿宋" w:asciiTheme="minorEastAsia" w:hAnsiTheme="minorEastAsia" w:eastAsiaTheme="minorEastAsia"/>
          <w:b/>
          <w:bCs/>
          <w:color w:val="auto"/>
          <w:sz w:val="24"/>
          <w:szCs w:val="24"/>
          <w:highlight w:val="none"/>
        </w:rPr>
      </w:pPr>
    </w:p>
    <w:p>
      <w:pPr>
        <w:rPr>
          <w:rFonts w:cs="仿宋" w:asciiTheme="minorEastAsia" w:hAnsiTheme="minorEastAsia" w:eastAsiaTheme="minorEastAsia"/>
          <w:b/>
          <w:bCs/>
          <w:color w:val="auto"/>
          <w:sz w:val="24"/>
          <w:szCs w:val="24"/>
          <w:highlight w:val="none"/>
        </w:rPr>
      </w:pPr>
    </w:p>
    <w:p>
      <w:pPr>
        <w:rPr>
          <w:rFonts w:cs="仿宋" w:asciiTheme="minorEastAsia" w:hAnsiTheme="minorEastAsia" w:eastAsiaTheme="minorEastAsia"/>
          <w:b/>
          <w:bCs/>
          <w:color w:val="auto"/>
          <w:sz w:val="24"/>
          <w:szCs w:val="24"/>
          <w:highlight w:val="none"/>
        </w:rPr>
      </w:pPr>
    </w:p>
    <w:p>
      <w:pPr>
        <w:rPr>
          <w:rFonts w:cs="仿宋" w:asciiTheme="minorEastAsia" w:hAnsiTheme="minorEastAsia" w:eastAsiaTheme="minorEastAsia"/>
          <w:b/>
          <w:bCs/>
          <w:color w:val="auto"/>
          <w:sz w:val="24"/>
          <w:szCs w:val="24"/>
          <w:highlight w:val="none"/>
        </w:rPr>
      </w:pPr>
    </w:p>
    <w:p>
      <w:pPr>
        <w:rPr>
          <w:rFonts w:cs="仿宋" w:asciiTheme="minorEastAsia" w:hAnsiTheme="minorEastAsia" w:eastAsiaTheme="minorEastAsia"/>
          <w:b/>
          <w:bCs/>
          <w:color w:val="auto"/>
          <w:sz w:val="24"/>
          <w:szCs w:val="24"/>
          <w:highlight w:val="none"/>
        </w:rPr>
      </w:pPr>
    </w:p>
    <w:p>
      <w:pPr>
        <w:rPr>
          <w:rFonts w:cs="仿宋" w:asciiTheme="minorEastAsia" w:hAnsiTheme="minorEastAsia" w:eastAsiaTheme="minorEastAsia"/>
          <w:b/>
          <w:bCs/>
          <w:color w:val="auto"/>
          <w:sz w:val="24"/>
          <w:szCs w:val="24"/>
          <w:highlight w:val="none"/>
        </w:rPr>
      </w:pPr>
    </w:p>
    <w:p>
      <w:pPr>
        <w:rPr>
          <w:rFonts w:cs="仿宋" w:asciiTheme="minorEastAsia" w:hAnsiTheme="minorEastAsia" w:eastAsiaTheme="minorEastAsia"/>
          <w:b/>
          <w:bCs/>
          <w:color w:val="auto"/>
          <w:sz w:val="24"/>
          <w:szCs w:val="24"/>
          <w:highlight w:val="none"/>
        </w:rPr>
      </w:pPr>
    </w:p>
    <w:p>
      <w:pPr>
        <w:rPr>
          <w:rFonts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 xml:space="preserve">               项目名称： </w:t>
      </w:r>
    </w:p>
    <w:p>
      <w:pPr>
        <w:rPr>
          <w:rFonts w:cs="仿宋" w:asciiTheme="minorEastAsia" w:hAnsiTheme="minorEastAsia" w:eastAsiaTheme="minorEastAsia"/>
          <w:b/>
          <w:bCs/>
          <w:color w:val="auto"/>
          <w:sz w:val="24"/>
          <w:szCs w:val="24"/>
          <w:highlight w:val="none"/>
          <w:u w:val="single"/>
        </w:rPr>
      </w:pPr>
    </w:p>
    <w:p>
      <w:pPr>
        <w:rPr>
          <w:rFonts w:cs="仿宋" w:asciiTheme="minorEastAsia" w:hAnsiTheme="minorEastAsia" w:eastAsiaTheme="minorEastAsia"/>
          <w:b/>
          <w:bCs/>
          <w:color w:val="auto"/>
          <w:sz w:val="24"/>
          <w:szCs w:val="24"/>
          <w:highlight w:val="none"/>
          <w:u w:val="single"/>
        </w:rPr>
      </w:pPr>
    </w:p>
    <w:p>
      <w:pPr>
        <w:rPr>
          <w:rFonts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 xml:space="preserve">               招标编号： </w:t>
      </w:r>
    </w:p>
    <w:p>
      <w:pPr>
        <w:rPr>
          <w:rFonts w:cs="仿宋" w:asciiTheme="minorEastAsia" w:hAnsiTheme="minorEastAsia" w:eastAsiaTheme="minorEastAsia"/>
          <w:b/>
          <w:bCs/>
          <w:color w:val="auto"/>
          <w:sz w:val="24"/>
          <w:szCs w:val="24"/>
          <w:highlight w:val="none"/>
          <w:u w:val="single"/>
        </w:rPr>
      </w:pPr>
    </w:p>
    <w:p>
      <w:pPr>
        <w:rPr>
          <w:rFonts w:cs="仿宋" w:asciiTheme="minorEastAsia" w:hAnsiTheme="minorEastAsia" w:eastAsiaTheme="minorEastAsia"/>
          <w:b/>
          <w:bCs/>
          <w:color w:val="auto"/>
          <w:sz w:val="24"/>
          <w:szCs w:val="24"/>
          <w:highlight w:val="none"/>
          <w:u w:val="single"/>
        </w:rPr>
      </w:pPr>
    </w:p>
    <w:p>
      <w:pPr>
        <w:rPr>
          <w:rFonts w:cs="仿宋" w:asciiTheme="minorEastAsia" w:hAnsiTheme="minorEastAsia" w:eastAsiaTheme="minorEastAsia"/>
          <w:b/>
          <w:bCs/>
          <w:color w:val="auto"/>
          <w:sz w:val="24"/>
          <w:szCs w:val="24"/>
          <w:highlight w:val="none"/>
          <w:u w:val="single"/>
        </w:rPr>
      </w:pPr>
    </w:p>
    <w:p>
      <w:pPr>
        <w:rPr>
          <w:rFonts w:cs="仿宋" w:asciiTheme="minorEastAsia" w:hAnsiTheme="minorEastAsia" w:eastAsiaTheme="minorEastAsia"/>
          <w:b/>
          <w:bCs/>
          <w:color w:val="auto"/>
          <w:sz w:val="24"/>
          <w:szCs w:val="24"/>
          <w:highlight w:val="none"/>
          <w:u w:val="single"/>
        </w:rPr>
      </w:pPr>
    </w:p>
    <w:p>
      <w:pPr>
        <w:jc w:val="center"/>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投标单位（签章）</w:t>
      </w:r>
    </w:p>
    <w:p>
      <w:pPr>
        <w:jc w:val="center"/>
        <w:rPr>
          <w:rFonts w:cs="仿宋" w:asciiTheme="minorEastAsia" w:hAnsiTheme="minorEastAsia" w:eastAsiaTheme="minorEastAsia"/>
          <w:b/>
          <w:bCs/>
          <w:color w:val="auto"/>
          <w:sz w:val="24"/>
          <w:szCs w:val="24"/>
          <w:highlight w:val="none"/>
        </w:rPr>
      </w:pPr>
    </w:p>
    <w:p>
      <w:pPr>
        <w:jc w:val="center"/>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 xml:space="preserve">    年   月   日</w:t>
      </w:r>
    </w:p>
    <w:p>
      <w:pPr>
        <w:pStyle w:val="6"/>
        <w:spacing w:before="0" w:after="0" w:line="360" w:lineRule="auto"/>
        <w:jc w:val="center"/>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b/>
          <w:bCs/>
          <w:color w:val="auto"/>
          <w:sz w:val="24"/>
          <w:szCs w:val="24"/>
          <w:highlight w:val="none"/>
        </w:rPr>
        <w:br w:type="page"/>
      </w:r>
      <w:bookmarkStart w:id="73" w:name="_Toc281381182"/>
      <w:bookmarkStart w:id="74" w:name="_Toc474492109"/>
      <w:r>
        <w:rPr>
          <w:rFonts w:hint="eastAsia" w:cs="仿宋" w:asciiTheme="minorEastAsia" w:hAnsiTheme="minorEastAsia" w:eastAsiaTheme="minorEastAsia"/>
          <w:color w:val="auto"/>
          <w:sz w:val="24"/>
          <w:szCs w:val="24"/>
          <w:highlight w:val="none"/>
        </w:rPr>
        <w:t>格式1．投标书</w:t>
      </w:r>
      <w:bookmarkEnd w:id="73"/>
      <w:bookmarkEnd w:id="74"/>
    </w:p>
    <w:p>
      <w:pPr>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致：江西省机电设备招标有限公司</w:t>
      </w:r>
    </w:p>
    <w:p>
      <w:pPr>
        <w:spacing w:line="380" w:lineRule="exact"/>
        <w:ind w:firstLine="48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根据贵方为</w:t>
      </w:r>
      <w:r>
        <w:rPr>
          <w:rFonts w:hint="eastAsia" w:cs="仿宋" w:asciiTheme="minorEastAsia" w:hAnsiTheme="minorEastAsia" w:eastAsiaTheme="minorEastAsia"/>
          <w:i/>
          <w:color w:val="auto"/>
          <w:sz w:val="24"/>
          <w:szCs w:val="24"/>
          <w:highlight w:val="none"/>
        </w:rPr>
        <w:t>(</w:t>
      </w:r>
      <w:r>
        <w:rPr>
          <w:rFonts w:hint="eastAsia" w:cs="仿宋" w:asciiTheme="minorEastAsia" w:hAnsiTheme="minorEastAsia" w:eastAsiaTheme="minorEastAsia"/>
          <w:i/>
          <w:color w:val="auto"/>
          <w:sz w:val="24"/>
          <w:szCs w:val="24"/>
          <w:highlight w:val="none"/>
          <w:u w:val="single"/>
        </w:rPr>
        <w:t>项目名称</w:t>
      </w:r>
      <w:r>
        <w:rPr>
          <w:rFonts w:hint="eastAsia" w:cs="仿宋" w:asciiTheme="minorEastAsia" w:hAnsiTheme="minorEastAsia" w:eastAsiaTheme="minorEastAsia"/>
          <w:i/>
          <w:color w:val="auto"/>
          <w:sz w:val="24"/>
          <w:szCs w:val="24"/>
          <w:highlight w:val="none"/>
        </w:rPr>
        <w:t>)</w:t>
      </w:r>
      <w:r>
        <w:rPr>
          <w:rFonts w:hint="eastAsia" w:cs="仿宋" w:asciiTheme="minorEastAsia" w:hAnsiTheme="minorEastAsia" w:eastAsiaTheme="minorEastAsia"/>
          <w:color w:val="auto"/>
          <w:sz w:val="24"/>
          <w:szCs w:val="24"/>
          <w:highlight w:val="none"/>
        </w:rPr>
        <w:t>项目招标采购货物及有关服务的投标邀请</w:t>
      </w:r>
      <w:r>
        <w:rPr>
          <w:rFonts w:hint="eastAsia" w:cs="仿宋" w:asciiTheme="minorEastAsia" w:hAnsiTheme="minorEastAsia" w:eastAsiaTheme="minorEastAsia"/>
          <w:i/>
          <w:color w:val="auto"/>
          <w:sz w:val="24"/>
          <w:szCs w:val="24"/>
          <w:highlight w:val="none"/>
        </w:rPr>
        <w:t>(</w:t>
      </w:r>
      <w:r>
        <w:rPr>
          <w:rFonts w:hint="eastAsia" w:cs="仿宋" w:asciiTheme="minorEastAsia" w:hAnsiTheme="minorEastAsia" w:eastAsiaTheme="minorEastAsia"/>
          <w:i/>
          <w:color w:val="auto"/>
          <w:sz w:val="24"/>
          <w:szCs w:val="24"/>
          <w:highlight w:val="none"/>
          <w:u w:val="single"/>
        </w:rPr>
        <w:t>招标编号</w:t>
      </w:r>
      <w:r>
        <w:rPr>
          <w:rFonts w:hint="eastAsia" w:cs="仿宋" w:asciiTheme="minorEastAsia" w:hAnsiTheme="minorEastAsia" w:eastAsiaTheme="minorEastAsia"/>
          <w:color w:val="auto"/>
          <w:sz w:val="24"/>
          <w:szCs w:val="24"/>
          <w:highlight w:val="none"/>
        </w:rPr>
        <w:t>)，签字代表</w:t>
      </w:r>
      <w:r>
        <w:rPr>
          <w:rFonts w:hint="eastAsia" w:cs="仿宋" w:asciiTheme="minorEastAsia" w:hAnsiTheme="minorEastAsia" w:eastAsiaTheme="minorEastAsia"/>
          <w:i/>
          <w:color w:val="auto"/>
          <w:sz w:val="24"/>
          <w:szCs w:val="24"/>
          <w:highlight w:val="none"/>
        </w:rPr>
        <w:t>(</w:t>
      </w:r>
      <w:r>
        <w:rPr>
          <w:rFonts w:hint="eastAsia" w:cs="仿宋" w:asciiTheme="minorEastAsia" w:hAnsiTheme="minorEastAsia" w:eastAsiaTheme="minorEastAsia"/>
          <w:i/>
          <w:color w:val="auto"/>
          <w:sz w:val="24"/>
          <w:szCs w:val="24"/>
          <w:highlight w:val="none"/>
          <w:u w:val="single"/>
        </w:rPr>
        <w:t>姓名、职务</w:t>
      </w:r>
      <w:r>
        <w:rPr>
          <w:rFonts w:hint="eastAsia" w:cs="仿宋" w:asciiTheme="minorEastAsia" w:hAnsiTheme="minorEastAsia" w:eastAsiaTheme="minorEastAsia"/>
          <w:i/>
          <w:color w:val="auto"/>
          <w:sz w:val="24"/>
          <w:szCs w:val="24"/>
          <w:highlight w:val="none"/>
        </w:rPr>
        <w:t>)</w:t>
      </w:r>
      <w:r>
        <w:rPr>
          <w:rFonts w:hint="eastAsia" w:cs="仿宋" w:asciiTheme="minorEastAsia" w:hAnsiTheme="minorEastAsia" w:eastAsiaTheme="minorEastAsia"/>
          <w:color w:val="auto"/>
          <w:sz w:val="24"/>
          <w:szCs w:val="24"/>
          <w:highlight w:val="none"/>
        </w:rPr>
        <w:t>经正式授权并代表投标人</w:t>
      </w:r>
      <w:r>
        <w:rPr>
          <w:rFonts w:hint="eastAsia" w:cs="仿宋" w:asciiTheme="minorEastAsia" w:hAnsiTheme="minorEastAsia" w:eastAsiaTheme="minorEastAsia"/>
          <w:i/>
          <w:color w:val="auto"/>
          <w:sz w:val="24"/>
          <w:szCs w:val="24"/>
          <w:highlight w:val="none"/>
          <w:u w:val="single"/>
        </w:rPr>
        <w:t>(投标人名称、地址)</w:t>
      </w:r>
      <w:r>
        <w:rPr>
          <w:rFonts w:hint="eastAsia" w:cs="仿宋" w:asciiTheme="minorEastAsia" w:hAnsiTheme="minorEastAsia" w:eastAsiaTheme="minorEastAsia"/>
          <w:color w:val="auto"/>
          <w:sz w:val="24"/>
          <w:szCs w:val="24"/>
          <w:highlight w:val="none"/>
        </w:rPr>
        <w:t>提交下述文件（</w:t>
      </w:r>
      <w:r>
        <w:rPr>
          <w:rFonts w:hint="eastAsia" w:cs="仿宋" w:asciiTheme="minorEastAsia" w:hAnsiTheme="minorEastAsia" w:eastAsiaTheme="minorEastAsia"/>
          <w:bCs/>
          <w:color w:val="auto"/>
          <w:sz w:val="24"/>
          <w:szCs w:val="24"/>
          <w:highlight w:val="none"/>
        </w:rPr>
        <w:t>电子版上传到江西省公共资源交易网</w:t>
      </w:r>
      <w:r>
        <w:rPr>
          <w:rFonts w:hint="eastAsia" w:cs="仿宋" w:asciiTheme="minorEastAsia" w:hAnsiTheme="minorEastAsia" w:eastAsiaTheme="minorEastAsia"/>
          <w:color w:val="auto"/>
          <w:sz w:val="24"/>
          <w:szCs w:val="24"/>
          <w:highlight w:val="none"/>
        </w:rPr>
        <w:t>）:</w:t>
      </w:r>
    </w:p>
    <w:p>
      <w:pPr>
        <w:spacing w:line="380" w:lineRule="exact"/>
        <w:ind w:left="707" w:hanging="28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1、投标书</w:t>
      </w:r>
    </w:p>
    <w:p>
      <w:pPr>
        <w:spacing w:line="380" w:lineRule="exact"/>
        <w:ind w:left="707" w:hanging="28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2、开标一览表</w:t>
      </w:r>
    </w:p>
    <w:p>
      <w:pPr>
        <w:spacing w:line="380" w:lineRule="exact"/>
        <w:ind w:left="707" w:hanging="28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3、分项报价表</w:t>
      </w:r>
    </w:p>
    <w:p>
      <w:pPr>
        <w:spacing w:line="380" w:lineRule="exact"/>
        <w:ind w:left="707" w:hanging="28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4、开标一览明细表</w:t>
      </w:r>
    </w:p>
    <w:p>
      <w:pPr>
        <w:spacing w:line="380" w:lineRule="exact"/>
        <w:ind w:left="707" w:hanging="28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5、技术需求响应/偏离表</w:t>
      </w:r>
    </w:p>
    <w:p>
      <w:pPr>
        <w:spacing w:line="380" w:lineRule="exact"/>
        <w:ind w:left="707" w:hanging="28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6、商务条件响应/偏离表</w:t>
      </w:r>
    </w:p>
    <w:p>
      <w:pPr>
        <w:spacing w:line="380" w:lineRule="exact"/>
        <w:ind w:left="707" w:hanging="28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7、投标人应当提交的资格、资信证明文件</w:t>
      </w:r>
    </w:p>
    <w:p>
      <w:pPr>
        <w:spacing w:line="380" w:lineRule="exact"/>
        <w:ind w:left="707" w:hanging="28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8、为落实政府采购政策投标人须提供的证明材料</w:t>
      </w:r>
    </w:p>
    <w:p>
      <w:pPr>
        <w:spacing w:line="380" w:lineRule="exact"/>
        <w:ind w:left="707" w:hanging="28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9、技术文件</w:t>
      </w:r>
    </w:p>
    <w:p>
      <w:pPr>
        <w:spacing w:line="380" w:lineRule="exact"/>
        <w:ind w:left="707" w:hanging="28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10、其他资料</w:t>
      </w:r>
    </w:p>
    <w:p>
      <w:pPr>
        <w:spacing w:line="380" w:lineRule="exact"/>
        <w:ind w:left="707" w:hanging="28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11、提交的投标保证金，金额为</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rPr>
        <w:t>。</w:t>
      </w:r>
    </w:p>
    <w:p>
      <w:pPr>
        <w:spacing w:line="380" w:lineRule="exact"/>
        <w:ind w:left="707" w:hanging="28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据此函,签字代表宣布同意如下:</w:t>
      </w:r>
    </w:p>
    <w:p>
      <w:pPr>
        <w:spacing w:line="380" w:lineRule="exact"/>
        <w:ind w:left="707" w:hanging="28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 所附开标一览表中规定的应提交和交付的货物投标总价为（用文字和数字表示的投标总价）。</w:t>
      </w:r>
    </w:p>
    <w:p>
      <w:pPr>
        <w:spacing w:line="380" w:lineRule="exact"/>
        <w:ind w:left="707" w:hanging="28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 投标人将按招标文件的规定履行合同责任和义务。</w:t>
      </w:r>
    </w:p>
    <w:p>
      <w:pPr>
        <w:spacing w:line="380" w:lineRule="exact"/>
        <w:ind w:left="707" w:hanging="28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 投标人已详细审查全部招标文件，包括第</w:t>
      </w:r>
      <w:r>
        <w:rPr>
          <w:rFonts w:hint="eastAsia" w:cs="仿宋" w:asciiTheme="minorEastAsia" w:hAnsiTheme="minorEastAsia" w:eastAsiaTheme="minorEastAsia"/>
          <w:color w:val="auto"/>
          <w:sz w:val="24"/>
          <w:szCs w:val="24"/>
          <w:highlight w:val="none"/>
          <w:u w:val="single"/>
        </w:rPr>
        <w:t>(编号、补遗函)(如果有的话)。</w:t>
      </w:r>
      <w:r>
        <w:rPr>
          <w:rFonts w:hint="eastAsia" w:cs="仿宋" w:asciiTheme="minorEastAsia" w:hAnsiTheme="minorEastAsia" w:eastAsiaTheme="minorEastAsia"/>
          <w:color w:val="auto"/>
          <w:sz w:val="24"/>
          <w:szCs w:val="24"/>
          <w:highlight w:val="none"/>
        </w:rPr>
        <w:t>我们完全理解并同意放弃对这方面有不明及误解的权力。</w:t>
      </w:r>
    </w:p>
    <w:p>
      <w:pPr>
        <w:spacing w:line="380" w:lineRule="exact"/>
        <w:ind w:left="707" w:hanging="28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 本投标有效期为</w:t>
      </w:r>
      <w:r>
        <w:rPr>
          <w:rFonts w:hint="eastAsia" w:cs="仿宋" w:asciiTheme="minorEastAsia" w:hAnsiTheme="minorEastAsia" w:eastAsiaTheme="minorEastAsia"/>
          <w:b/>
          <w:color w:val="auto"/>
          <w:sz w:val="24"/>
          <w:szCs w:val="24"/>
          <w:highlight w:val="none"/>
        </w:rPr>
        <w:t>从提交投标文件截止之日起</w:t>
      </w:r>
      <w:r>
        <w:rPr>
          <w:rFonts w:hint="eastAsia" w:cs="仿宋" w:asciiTheme="minorEastAsia" w:hAnsiTheme="minorEastAsia" w:eastAsiaTheme="minorEastAsia"/>
          <w:color w:val="auto"/>
          <w:sz w:val="24"/>
          <w:szCs w:val="24"/>
          <w:highlight w:val="none"/>
          <w:u w:val="single"/>
        </w:rPr>
        <w:t xml:space="preserve">      90       </w:t>
      </w:r>
      <w:r>
        <w:rPr>
          <w:rFonts w:hint="eastAsia" w:cs="仿宋" w:asciiTheme="minorEastAsia" w:hAnsiTheme="minorEastAsia" w:eastAsiaTheme="minorEastAsia"/>
          <w:color w:val="auto"/>
          <w:sz w:val="24"/>
          <w:szCs w:val="24"/>
          <w:highlight w:val="none"/>
        </w:rPr>
        <w:t>天。</w:t>
      </w:r>
    </w:p>
    <w:p>
      <w:pPr>
        <w:spacing w:line="380" w:lineRule="exact"/>
        <w:ind w:left="707" w:hanging="28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5. 如果在规定的开标时间后，投标人在投标有效期内撤回投标，投标保证金不予退还。</w:t>
      </w:r>
    </w:p>
    <w:p>
      <w:pPr>
        <w:spacing w:line="380" w:lineRule="exact"/>
        <w:ind w:left="707" w:hanging="28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6. 投标人同意提供按照贵方可能要求的与其投标有关的一切数据或资料，完全理解贵方不一定接受最低价的投标或收到的任何投标。</w:t>
      </w:r>
    </w:p>
    <w:p>
      <w:pPr>
        <w:spacing w:line="380" w:lineRule="exact"/>
        <w:ind w:left="707" w:hanging="28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7. 与本投标有关的一切正式往来信函请寄:</w:t>
      </w:r>
    </w:p>
    <w:p>
      <w:pPr>
        <w:spacing w:line="360" w:lineRule="auto"/>
        <w:rPr>
          <w:rFonts w:cs="仿宋" w:asciiTheme="minorEastAsia" w:hAnsiTheme="minorEastAsia" w:eastAsiaTheme="minorEastAsia"/>
          <w:color w:val="auto"/>
          <w:sz w:val="24"/>
          <w:szCs w:val="24"/>
          <w:highlight w:val="none"/>
        </w:rPr>
      </w:pPr>
    </w:p>
    <w:p>
      <w:pPr>
        <w:spacing w:line="360" w:lineRule="auto"/>
        <w:rPr>
          <w:rFonts w:cs="仿宋" w:asciiTheme="minorEastAsia" w:hAnsiTheme="minorEastAsia" w:eastAsiaTheme="minorEastAsia"/>
          <w:color w:val="auto"/>
          <w:sz w:val="24"/>
          <w:szCs w:val="24"/>
          <w:highlight w:val="none"/>
          <w:u w:val="single"/>
        </w:rPr>
      </w:pPr>
      <w:r>
        <w:rPr>
          <w:rFonts w:hint="eastAsia" w:cs="仿宋" w:asciiTheme="minorEastAsia" w:hAnsiTheme="minorEastAsia" w:eastAsiaTheme="minorEastAsia"/>
          <w:color w:val="auto"/>
          <w:sz w:val="24"/>
          <w:szCs w:val="24"/>
          <w:highlight w:val="none"/>
        </w:rPr>
        <w:t>地址    传真</w:t>
      </w:r>
    </w:p>
    <w:p>
      <w:pPr>
        <w:spacing w:line="360" w:lineRule="auto"/>
        <w:rPr>
          <w:rFonts w:cs="仿宋" w:asciiTheme="minorEastAsia" w:hAnsiTheme="minorEastAsia" w:eastAsiaTheme="minorEastAsia"/>
          <w:color w:val="auto"/>
          <w:sz w:val="24"/>
          <w:szCs w:val="24"/>
          <w:highlight w:val="none"/>
          <w:u w:val="single"/>
        </w:rPr>
      </w:pPr>
      <w:r>
        <w:rPr>
          <w:rFonts w:hint="eastAsia" w:cs="仿宋" w:asciiTheme="minorEastAsia" w:hAnsiTheme="minorEastAsia" w:eastAsiaTheme="minorEastAsia"/>
          <w:color w:val="auto"/>
          <w:sz w:val="24"/>
          <w:szCs w:val="24"/>
          <w:highlight w:val="none"/>
        </w:rPr>
        <w:t>电话    电子邮件</w:t>
      </w:r>
    </w:p>
    <w:p>
      <w:pPr>
        <w:spacing w:line="432" w:lineRule="auto"/>
        <w:rPr>
          <w:rFonts w:cs="仿宋" w:asciiTheme="minorEastAsia" w:hAnsiTheme="minorEastAsia" w:eastAsiaTheme="minorEastAsia"/>
          <w:color w:val="auto"/>
          <w:sz w:val="24"/>
          <w:szCs w:val="24"/>
          <w:highlight w:val="none"/>
        </w:rPr>
      </w:pPr>
    </w:p>
    <w:p>
      <w:pPr>
        <w:spacing w:line="432"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eastAsia="zh-CN"/>
        </w:rPr>
        <w:t>投标人盖章</w:t>
      </w:r>
      <w:r>
        <w:rPr>
          <w:rFonts w:hint="eastAsia" w:cs="仿宋" w:asciiTheme="minorEastAsia" w:hAnsiTheme="minorEastAsia" w:eastAsiaTheme="minorEastAsia"/>
          <w:color w:val="auto"/>
          <w:sz w:val="24"/>
          <w:szCs w:val="24"/>
          <w:highlight w:val="none"/>
        </w:rPr>
        <w:t xml:space="preserve">：                             </w:t>
      </w:r>
    </w:p>
    <w:p>
      <w:pPr>
        <w:spacing w:line="432"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法定代表人或委托代理签字或签章：                            </w:t>
      </w:r>
    </w:p>
    <w:p>
      <w:pPr>
        <w:spacing w:line="432"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日期：                                       </w:t>
      </w:r>
    </w:p>
    <w:p>
      <w:pPr>
        <w:pStyle w:val="6"/>
        <w:jc w:val="center"/>
        <w:outlineLvl w:val="3"/>
        <w:rPr>
          <w:rFonts w:cs="仿宋" w:asciiTheme="minorEastAsia" w:hAnsiTheme="minorEastAsia" w:eastAsiaTheme="minorEastAsia"/>
          <w:color w:val="auto"/>
          <w:sz w:val="24"/>
          <w:szCs w:val="24"/>
          <w:highlight w:val="none"/>
        </w:rPr>
      </w:pPr>
      <w:bookmarkStart w:id="75" w:name="_Toc474492110"/>
      <w:r>
        <w:rPr>
          <w:rFonts w:hint="eastAsia" w:cs="仿宋" w:asciiTheme="minorEastAsia" w:hAnsiTheme="minorEastAsia" w:eastAsiaTheme="minorEastAsia"/>
          <w:color w:val="auto"/>
          <w:sz w:val="24"/>
          <w:szCs w:val="24"/>
          <w:highlight w:val="none"/>
        </w:rPr>
        <w:t>格式2.开标一览表</w:t>
      </w:r>
      <w:bookmarkEnd w:id="75"/>
    </w:p>
    <w:p>
      <w:pPr>
        <w:spacing w:line="400" w:lineRule="exact"/>
        <w:rPr>
          <w:rFonts w:cs="仿宋" w:asciiTheme="minorEastAsia" w:hAnsiTheme="minorEastAsia" w:eastAsiaTheme="minorEastAsia"/>
          <w:color w:val="auto"/>
          <w:sz w:val="24"/>
          <w:szCs w:val="24"/>
          <w:highlight w:val="none"/>
        </w:rPr>
      </w:pPr>
    </w:p>
    <w:p>
      <w:pPr>
        <w:spacing w:line="400" w:lineRule="exact"/>
        <w:jc w:val="center"/>
        <w:rPr>
          <w:rFonts w:cs="仿宋" w:asciiTheme="minorEastAsia" w:hAnsiTheme="minorEastAsia" w:eastAsiaTheme="minorEastAsia"/>
          <w:b/>
          <w:color w:val="auto"/>
          <w:sz w:val="24"/>
          <w:szCs w:val="24"/>
          <w:highlight w:val="none"/>
        </w:rPr>
      </w:pPr>
      <w:r>
        <w:rPr>
          <w:rFonts w:hint="eastAsia" w:cs="仿宋" w:asciiTheme="minorEastAsia" w:hAnsiTheme="minorEastAsia" w:eastAsiaTheme="minorEastAsia"/>
          <w:b/>
          <w:color w:val="auto"/>
          <w:sz w:val="24"/>
          <w:szCs w:val="24"/>
          <w:highlight w:val="none"/>
        </w:rPr>
        <w:t>投标人按照电子化政府采购投标要求填写</w:t>
      </w:r>
    </w:p>
    <w:p>
      <w:pPr>
        <w:spacing w:line="432" w:lineRule="auto"/>
        <w:rPr>
          <w:rFonts w:cs="仿宋" w:asciiTheme="minorEastAsia" w:hAnsiTheme="minorEastAsia" w:eastAsiaTheme="minorEastAsia"/>
          <w:color w:val="auto"/>
          <w:sz w:val="24"/>
          <w:szCs w:val="24"/>
          <w:highlight w:val="none"/>
        </w:rPr>
      </w:pPr>
    </w:p>
    <w:p>
      <w:pPr>
        <w:spacing w:line="432" w:lineRule="auto"/>
        <w:rPr>
          <w:rFonts w:cs="仿宋" w:asciiTheme="minorEastAsia" w:hAnsiTheme="minorEastAsia" w:eastAsiaTheme="minorEastAsia"/>
          <w:color w:val="auto"/>
          <w:sz w:val="24"/>
          <w:szCs w:val="24"/>
          <w:highlight w:val="none"/>
          <w:u w:val="single"/>
        </w:rPr>
      </w:pPr>
    </w:p>
    <w:p>
      <w:pPr>
        <w:spacing w:line="460" w:lineRule="exact"/>
        <w:rPr>
          <w:rFonts w:cs="仿宋" w:asciiTheme="minorEastAsia" w:hAnsiTheme="minorEastAsia" w:eastAsiaTheme="minorEastAsia"/>
          <w:b/>
          <w:bCs/>
          <w:color w:val="auto"/>
          <w:sz w:val="24"/>
          <w:szCs w:val="24"/>
          <w:highlight w:val="none"/>
        </w:rPr>
      </w:pPr>
    </w:p>
    <w:p>
      <w:pPr>
        <w:spacing w:line="460" w:lineRule="exact"/>
        <w:rPr>
          <w:rFonts w:cs="仿宋" w:asciiTheme="minorEastAsia" w:hAnsiTheme="minorEastAsia" w:eastAsiaTheme="minorEastAsia"/>
          <w:b/>
          <w:bCs/>
          <w:color w:val="auto"/>
          <w:sz w:val="24"/>
          <w:szCs w:val="24"/>
          <w:highlight w:val="none"/>
        </w:rPr>
      </w:pPr>
    </w:p>
    <w:p>
      <w:pPr>
        <w:spacing w:line="460" w:lineRule="exact"/>
        <w:rPr>
          <w:rFonts w:cs="仿宋" w:asciiTheme="minorEastAsia" w:hAnsiTheme="minorEastAsia" w:eastAsiaTheme="minorEastAsia"/>
          <w:b/>
          <w:bCs/>
          <w:color w:val="auto"/>
          <w:sz w:val="24"/>
          <w:szCs w:val="24"/>
          <w:highlight w:val="none"/>
        </w:rPr>
      </w:pPr>
    </w:p>
    <w:p>
      <w:pPr>
        <w:spacing w:line="460" w:lineRule="exact"/>
        <w:rPr>
          <w:rFonts w:cs="仿宋" w:asciiTheme="minorEastAsia" w:hAnsiTheme="minorEastAsia" w:eastAsiaTheme="minorEastAsia"/>
          <w:b/>
          <w:bCs/>
          <w:color w:val="auto"/>
          <w:sz w:val="24"/>
          <w:szCs w:val="24"/>
          <w:highlight w:val="none"/>
        </w:rPr>
      </w:pPr>
    </w:p>
    <w:p>
      <w:pPr>
        <w:spacing w:line="460" w:lineRule="exact"/>
        <w:rPr>
          <w:rFonts w:cs="仿宋" w:asciiTheme="minorEastAsia" w:hAnsiTheme="minorEastAsia" w:eastAsiaTheme="minorEastAsia"/>
          <w:b/>
          <w:bCs/>
          <w:color w:val="auto"/>
          <w:sz w:val="24"/>
          <w:szCs w:val="24"/>
          <w:highlight w:val="none"/>
        </w:rPr>
      </w:pPr>
    </w:p>
    <w:p>
      <w:pPr>
        <w:spacing w:line="460" w:lineRule="exact"/>
        <w:rPr>
          <w:rFonts w:cs="仿宋" w:asciiTheme="minorEastAsia" w:hAnsiTheme="minorEastAsia" w:eastAsiaTheme="minorEastAsia"/>
          <w:b/>
          <w:bCs/>
          <w:color w:val="auto"/>
          <w:sz w:val="24"/>
          <w:szCs w:val="24"/>
          <w:highlight w:val="none"/>
        </w:rPr>
      </w:pPr>
    </w:p>
    <w:p>
      <w:pPr>
        <w:pStyle w:val="6"/>
        <w:jc w:val="center"/>
        <w:outlineLvl w:val="3"/>
        <w:rPr>
          <w:rFonts w:cs="仿宋" w:asciiTheme="minorEastAsia" w:hAnsiTheme="minorEastAsia" w:eastAsiaTheme="minorEastAsia"/>
          <w:color w:val="auto"/>
          <w:sz w:val="24"/>
          <w:szCs w:val="24"/>
          <w:highlight w:val="none"/>
        </w:rPr>
      </w:pPr>
      <w:bookmarkStart w:id="76" w:name="_Toc474492111"/>
      <w:r>
        <w:rPr>
          <w:rFonts w:hint="eastAsia" w:cs="仿宋" w:asciiTheme="minorEastAsia" w:hAnsiTheme="minorEastAsia" w:eastAsiaTheme="minorEastAsia"/>
          <w:color w:val="auto"/>
          <w:sz w:val="24"/>
          <w:szCs w:val="24"/>
          <w:highlight w:val="none"/>
        </w:rPr>
        <w:t>格式3.分项报价表</w:t>
      </w:r>
      <w:bookmarkEnd w:id="76"/>
    </w:p>
    <w:p>
      <w:pPr>
        <w:spacing w:line="400" w:lineRule="exact"/>
        <w:jc w:val="center"/>
        <w:rPr>
          <w:rFonts w:cs="仿宋" w:asciiTheme="minorEastAsia" w:hAnsiTheme="minorEastAsia" w:eastAsiaTheme="minorEastAsia"/>
          <w:b/>
          <w:color w:val="auto"/>
          <w:sz w:val="24"/>
          <w:szCs w:val="24"/>
          <w:highlight w:val="none"/>
        </w:rPr>
      </w:pPr>
      <w:r>
        <w:rPr>
          <w:rFonts w:hint="eastAsia" w:cs="仿宋" w:asciiTheme="minorEastAsia" w:hAnsiTheme="minorEastAsia" w:eastAsiaTheme="minorEastAsia"/>
          <w:b/>
          <w:color w:val="auto"/>
          <w:sz w:val="24"/>
          <w:szCs w:val="24"/>
          <w:highlight w:val="none"/>
        </w:rPr>
        <w:t>投标人按照电子化政府采购投标要求填写</w:t>
      </w:r>
      <w:bookmarkStart w:id="77" w:name="_Toc376416685"/>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bookmarkEnd w:id="77"/>
    <w:p>
      <w:pPr>
        <w:spacing w:line="400" w:lineRule="exact"/>
        <w:rPr>
          <w:rFonts w:cs="仿宋" w:asciiTheme="minorEastAsia" w:hAnsiTheme="minorEastAsia" w:eastAsiaTheme="minorEastAsia"/>
          <w:color w:val="auto"/>
          <w:sz w:val="24"/>
          <w:szCs w:val="24"/>
          <w:highlight w:val="none"/>
        </w:rPr>
        <w:sectPr>
          <w:headerReference r:id="rId9" w:type="first"/>
          <w:footerReference r:id="rId12" w:type="first"/>
          <w:headerReference r:id="rId7" w:type="default"/>
          <w:footerReference r:id="rId10" w:type="default"/>
          <w:headerReference r:id="rId8" w:type="even"/>
          <w:footerReference r:id="rId11" w:type="even"/>
          <w:pgSz w:w="11906" w:h="16838"/>
          <w:pgMar w:top="1361" w:right="1134" w:bottom="1361" w:left="1418" w:header="851" w:footer="992" w:gutter="0"/>
          <w:pgBorders>
            <w:top w:val="none" w:sz="0" w:space="0"/>
            <w:left w:val="none" w:sz="0" w:space="0"/>
            <w:bottom w:val="none" w:sz="0" w:space="0"/>
            <w:right w:val="none" w:sz="0" w:space="0"/>
          </w:pgBorders>
          <w:cols w:space="720" w:num="1"/>
          <w:docGrid w:type="lines" w:linePitch="312" w:charSpace="0"/>
        </w:sectPr>
      </w:pPr>
    </w:p>
    <w:p>
      <w:pPr>
        <w:pStyle w:val="6"/>
        <w:spacing w:before="0" w:after="0" w:line="360" w:lineRule="auto"/>
        <w:jc w:val="center"/>
        <w:outlineLvl w:val="3"/>
        <w:rPr>
          <w:rFonts w:cs="仿宋" w:asciiTheme="minorEastAsia" w:hAnsiTheme="minorEastAsia" w:eastAsiaTheme="minorEastAsia"/>
          <w:color w:val="auto"/>
          <w:sz w:val="24"/>
          <w:szCs w:val="24"/>
          <w:highlight w:val="none"/>
        </w:rPr>
      </w:pPr>
      <w:bookmarkStart w:id="78" w:name="_Toc464823714"/>
      <w:bookmarkStart w:id="79" w:name="_Toc474492112"/>
      <w:r>
        <w:rPr>
          <w:rFonts w:hint="eastAsia" w:cs="仿宋" w:asciiTheme="minorEastAsia" w:hAnsiTheme="minorEastAsia" w:eastAsiaTheme="minorEastAsia"/>
          <w:color w:val="auto"/>
          <w:sz w:val="24"/>
          <w:szCs w:val="24"/>
          <w:highlight w:val="none"/>
        </w:rPr>
        <w:t>格式4.开标一览明细表</w:t>
      </w:r>
      <w:bookmarkEnd w:id="78"/>
      <w:bookmarkEnd w:id="79"/>
    </w:p>
    <w:p>
      <w:pPr>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投标人名称：</w:t>
      </w:r>
    </w:p>
    <w:p>
      <w:pPr>
        <w:spacing w:line="400" w:lineRule="exact"/>
        <w:rPr>
          <w:rFonts w:cs="仿宋" w:asciiTheme="minorEastAsia" w:hAnsiTheme="minorEastAsia" w:eastAsiaTheme="minorEastAsia"/>
          <w:color w:val="auto"/>
          <w:sz w:val="24"/>
          <w:szCs w:val="24"/>
          <w:highlight w:val="none"/>
          <w:u w:val="single"/>
        </w:rPr>
      </w:pPr>
      <w:r>
        <w:rPr>
          <w:rFonts w:hint="eastAsia" w:cs="仿宋" w:asciiTheme="minorEastAsia" w:hAnsiTheme="minorEastAsia" w:eastAsiaTheme="minorEastAsia"/>
          <w:color w:val="auto"/>
          <w:sz w:val="24"/>
          <w:szCs w:val="24"/>
          <w:highlight w:val="none"/>
        </w:rPr>
        <w:t>招标编号： 包号：</w:t>
      </w:r>
    </w:p>
    <w:p>
      <w:pPr>
        <w:spacing w:line="440" w:lineRule="exact"/>
        <w:rPr>
          <w:rFonts w:cs="仿宋" w:asciiTheme="minorEastAsia" w:hAnsiTheme="minorEastAsia" w:eastAsiaTheme="minorEastAsia"/>
          <w:color w:val="auto"/>
          <w:sz w:val="24"/>
          <w:szCs w:val="24"/>
          <w:highlight w:val="none"/>
        </w:rPr>
      </w:pPr>
    </w:p>
    <w:tbl>
      <w:tblPr>
        <w:tblStyle w:val="40"/>
        <w:tblW w:w="1436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168"/>
        <w:gridCol w:w="1591"/>
        <w:gridCol w:w="1354"/>
        <w:gridCol w:w="1388"/>
        <w:gridCol w:w="1207"/>
        <w:gridCol w:w="1436"/>
        <w:gridCol w:w="1247"/>
        <w:gridCol w:w="1489"/>
        <w:gridCol w:w="1559"/>
        <w:gridCol w:w="10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2" w:hRule="exact"/>
        </w:trPr>
        <w:tc>
          <w:tcPr>
            <w:tcW w:w="852" w:type="dxa"/>
            <w:tcBorders>
              <w:top w:val="single" w:color="auto" w:sz="12" w:space="0"/>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序号</w:t>
            </w:r>
          </w:p>
        </w:tc>
        <w:tc>
          <w:tcPr>
            <w:tcW w:w="1168" w:type="dxa"/>
            <w:tcBorders>
              <w:top w:val="single" w:color="auto" w:sz="12" w:space="0"/>
              <w:lef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名称</w:t>
            </w:r>
          </w:p>
        </w:tc>
        <w:tc>
          <w:tcPr>
            <w:tcW w:w="1591" w:type="dxa"/>
            <w:tcBorders>
              <w:top w:val="single" w:color="auto" w:sz="12" w:space="0"/>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制造商、     品牌</w:t>
            </w:r>
          </w:p>
        </w:tc>
        <w:tc>
          <w:tcPr>
            <w:tcW w:w="1354" w:type="dxa"/>
            <w:tcBorders>
              <w:top w:val="single" w:color="auto" w:sz="12" w:space="0"/>
              <w:lef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规格、型号</w:t>
            </w:r>
          </w:p>
        </w:tc>
        <w:tc>
          <w:tcPr>
            <w:tcW w:w="1388" w:type="dxa"/>
            <w:tcBorders>
              <w:top w:val="single" w:color="auto" w:sz="12" w:space="0"/>
            </w:tcBorders>
            <w:vAlign w:val="center"/>
          </w:tcPr>
          <w:p>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产地</w:t>
            </w:r>
          </w:p>
        </w:tc>
        <w:tc>
          <w:tcPr>
            <w:tcW w:w="1207" w:type="dxa"/>
            <w:tcBorders>
              <w:top w:val="single" w:color="auto" w:sz="12" w:space="0"/>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数量</w:t>
            </w:r>
          </w:p>
        </w:tc>
        <w:tc>
          <w:tcPr>
            <w:tcW w:w="1436" w:type="dxa"/>
            <w:tcBorders>
              <w:top w:val="single" w:color="auto" w:sz="12" w:space="0"/>
              <w:left w:val="single" w:color="auto" w:sz="4" w:space="0"/>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单价（元）</w:t>
            </w:r>
          </w:p>
        </w:tc>
        <w:tc>
          <w:tcPr>
            <w:tcW w:w="1247" w:type="dxa"/>
            <w:tcBorders>
              <w:top w:val="single" w:color="auto" w:sz="12" w:space="0"/>
              <w:left w:val="single" w:color="auto" w:sz="4" w:space="0"/>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总价（元）</w:t>
            </w:r>
          </w:p>
        </w:tc>
        <w:tc>
          <w:tcPr>
            <w:tcW w:w="1489" w:type="dxa"/>
            <w:tcBorders>
              <w:top w:val="single" w:color="auto" w:sz="12" w:space="0"/>
              <w:left w:val="single" w:color="auto" w:sz="4" w:space="0"/>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是否属于</w:t>
            </w:r>
            <w:r>
              <w:rPr>
                <w:rFonts w:hint="eastAsia" w:cs="仿宋" w:asciiTheme="minorEastAsia" w:hAnsiTheme="minorEastAsia" w:eastAsiaTheme="minorEastAsia"/>
                <w:color w:val="auto"/>
                <w:sz w:val="24"/>
                <w:szCs w:val="24"/>
                <w:highlight w:val="none"/>
                <w:lang w:eastAsia="zh-CN"/>
              </w:rPr>
              <w:t>中、</w:t>
            </w:r>
            <w:r>
              <w:rPr>
                <w:rFonts w:hint="eastAsia" w:cs="仿宋" w:asciiTheme="minorEastAsia" w:hAnsiTheme="minorEastAsia" w:eastAsiaTheme="minorEastAsia"/>
                <w:color w:val="auto"/>
                <w:sz w:val="24"/>
                <w:szCs w:val="24"/>
                <w:highlight w:val="none"/>
              </w:rPr>
              <w:t>小、微企业、监狱企业或残疾人福利性单位产品</w:t>
            </w:r>
          </w:p>
        </w:tc>
        <w:tc>
          <w:tcPr>
            <w:tcW w:w="1559" w:type="dxa"/>
            <w:tcBorders>
              <w:top w:val="single" w:color="auto" w:sz="12" w:space="0"/>
              <w:left w:val="single" w:color="auto" w:sz="4" w:space="0"/>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是否属于</w:t>
            </w:r>
          </w:p>
          <w:p>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品目清单内的节能产品、</w:t>
            </w:r>
            <w:r>
              <w:rPr>
                <w:rFonts w:hint="eastAsia" w:cs="仿宋" w:asciiTheme="minorEastAsia" w:hAnsiTheme="minorEastAsia" w:eastAsiaTheme="minorEastAsia"/>
                <w:bCs/>
                <w:color w:val="auto"/>
                <w:sz w:val="24"/>
                <w:szCs w:val="24"/>
                <w:highlight w:val="none"/>
              </w:rPr>
              <w:t>环境标志产品</w:t>
            </w:r>
          </w:p>
        </w:tc>
        <w:tc>
          <w:tcPr>
            <w:tcW w:w="1076" w:type="dxa"/>
            <w:tcBorders>
              <w:top w:val="single" w:color="auto" w:sz="12" w:space="0"/>
              <w:left w:val="single" w:color="auto" w:sz="4" w:space="0"/>
              <w:right w:val="single" w:color="auto" w:sz="4" w:space="0"/>
            </w:tcBorders>
          </w:tcPr>
          <w:p>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exact"/>
        </w:trPr>
        <w:tc>
          <w:tcPr>
            <w:tcW w:w="852" w:type="dxa"/>
            <w:tcBorders>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w:t>
            </w:r>
          </w:p>
        </w:tc>
        <w:tc>
          <w:tcPr>
            <w:tcW w:w="1168" w:type="dxa"/>
            <w:tcBorders>
              <w:lef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591" w:type="dxa"/>
            <w:tcBorders>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354" w:type="dxa"/>
            <w:tcBorders>
              <w:lef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388" w:type="dxa"/>
            <w:vAlign w:val="center"/>
          </w:tcPr>
          <w:p>
            <w:pPr>
              <w:spacing w:line="400" w:lineRule="exact"/>
              <w:jc w:val="center"/>
              <w:rPr>
                <w:rFonts w:cs="仿宋" w:asciiTheme="minorEastAsia" w:hAnsiTheme="minorEastAsia" w:eastAsiaTheme="minorEastAsia"/>
                <w:color w:val="auto"/>
                <w:sz w:val="24"/>
                <w:szCs w:val="24"/>
                <w:highlight w:val="none"/>
              </w:rPr>
            </w:pPr>
          </w:p>
        </w:tc>
        <w:tc>
          <w:tcPr>
            <w:tcW w:w="1207" w:type="dxa"/>
            <w:tcBorders>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436" w:type="dxa"/>
            <w:tcBorders>
              <w:left w:val="single" w:color="auto" w:sz="4" w:space="0"/>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247" w:type="dxa"/>
            <w:tcBorders>
              <w:left w:val="single" w:color="auto" w:sz="4" w:space="0"/>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489" w:type="dxa"/>
            <w:tcBorders>
              <w:left w:val="single" w:color="auto" w:sz="4" w:space="0"/>
              <w:right w:val="single" w:color="auto" w:sz="4" w:space="0"/>
            </w:tcBorders>
          </w:tcPr>
          <w:p>
            <w:pPr>
              <w:spacing w:line="460" w:lineRule="exact"/>
              <w:jc w:val="center"/>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 xml:space="preserve">填表须知：详见注1      </w:t>
            </w:r>
          </w:p>
        </w:tc>
        <w:tc>
          <w:tcPr>
            <w:tcW w:w="1559" w:type="dxa"/>
            <w:tcBorders>
              <w:left w:val="single" w:color="auto" w:sz="4" w:space="0"/>
              <w:right w:val="single" w:color="auto" w:sz="4" w:space="0"/>
            </w:tcBorders>
          </w:tcPr>
          <w:p>
            <w:pPr>
              <w:spacing w:line="460" w:lineRule="exact"/>
              <w:jc w:val="center"/>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填表须知：详见注2</w:t>
            </w:r>
          </w:p>
        </w:tc>
        <w:tc>
          <w:tcPr>
            <w:tcW w:w="1076" w:type="dxa"/>
            <w:tcBorders>
              <w:left w:val="single" w:color="auto" w:sz="4" w:space="0"/>
              <w:right w:val="single" w:color="auto" w:sz="4" w:space="0"/>
            </w:tcBorders>
          </w:tcPr>
          <w:p>
            <w:pPr>
              <w:spacing w:line="400" w:lineRule="exact"/>
              <w:jc w:val="center"/>
              <w:rPr>
                <w:rFonts w:cs="仿宋" w:asciiTheme="minorEastAsia" w:hAnsiTheme="minorEastAsia" w:eastAsia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52" w:type="dxa"/>
            <w:tcBorders>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w:t>
            </w:r>
          </w:p>
        </w:tc>
        <w:tc>
          <w:tcPr>
            <w:tcW w:w="1168" w:type="dxa"/>
            <w:tcBorders>
              <w:lef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591" w:type="dxa"/>
            <w:tcBorders>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354" w:type="dxa"/>
            <w:tcBorders>
              <w:lef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388" w:type="dxa"/>
            <w:vAlign w:val="center"/>
          </w:tcPr>
          <w:p>
            <w:pPr>
              <w:spacing w:line="400" w:lineRule="exact"/>
              <w:jc w:val="center"/>
              <w:rPr>
                <w:rFonts w:cs="仿宋" w:asciiTheme="minorEastAsia" w:hAnsiTheme="minorEastAsia" w:eastAsiaTheme="minorEastAsia"/>
                <w:color w:val="auto"/>
                <w:sz w:val="24"/>
                <w:szCs w:val="24"/>
                <w:highlight w:val="none"/>
              </w:rPr>
            </w:pPr>
          </w:p>
        </w:tc>
        <w:tc>
          <w:tcPr>
            <w:tcW w:w="1207" w:type="dxa"/>
            <w:tcBorders>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436" w:type="dxa"/>
            <w:tcBorders>
              <w:left w:val="single" w:color="auto" w:sz="4" w:space="0"/>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247" w:type="dxa"/>
            <w:tcBorders>
              <w:left w:val="single" w:color="auto" w:sz="4" w:space="0"/>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489" w:type="dxa"/>
            <w:tcBorders>
              <w:left w:val="single" w:color="auto" w:sz="4" w:space="0"/>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559" w:type="dxa"/>
            <w:tcBorders>
              <w:left w:val="single" w:color="auto" w:sz="4" w:space="0"/>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076" w:type="dxa"/>
            <w:tcBorders>
              <w:left w:val="single" w:color="auto" w:sz="4" w:space="0"/>
              <w:right w:val="single" w:color="auto" w:sz="4" w:space="0"/>
            </w:tcBorders>
          </w:tcPr>
          <w:p>
            <w:pPr>
              <w:spacing w:line="400" w:lineRule="exact"/>
              <w:jc w:val="center"/>
              <w:rPr>
                <w:rFonts w:cs="仿宋" w:asciiTheme="minorEastAsia" w:hAnsiTheme="minorEastAsia" w:eastAsia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52" w:type="dxa"/>
            <w:tcBorders>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168" w:type="dxa"/>
            <w:tcBorders>
              <w:lef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591" w:type="dxa"/>
            <w:tcBorders>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354" w:type="dxa"/>
            <w:tcBorders>
              <w:lef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388" w:type="dxa"/>
            <w:vAlign w:val="center"/>
          </w:tcPr>
          <w:p>
            <w:pPr>
              <w:spacing w:line="400" w:lineRule="exact"/>
              <w:jc w:val="center"/>
              <w:rPr>
                <w:rFonts w:cs="仿宋" w:asciiTheme="minorEastAsia" w:hAnsiTheme="minorEastAsia" w:eastAsiaTheme="minorEastAsia"/>
                <w:color w:val="auto"/>
                <w:sz w:val="24"/>
                <w:szCs w:val="24"/>
                <w:highlight w:val="none"/>
              </w:rPr>
            </w:pPr>
          </w:p>
        </w:tc>
        <w:tc>
          <w:tcPr>
            <w:tcW w:w="1207" w:type="dxa"/>
            <w:tcBorders>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436" w:type="dxa"/>
            <w:tcBorders>
              <w:left w:val="single" w:color="auto" w:sz="4" w:space="0"/>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247" w:type="dxa"/>
            <w:tcBorders>
              <w:left w:val="single" w:color="auto" w:sz="4" w:space="0"/>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489" w:type="dxa"/>
            <w:tcBorders>
              <w:left w:val="single" w:color="auto" w:sz="4" w:space="0"/>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559" w:type="dxa"/>
            <w:tcBorders>
              <w:left w:val="single" w:color="auto" w:sz="4" w:space="0"/>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076" w:type="dxa"/>
            <w:tcBorders>
              <w:left w:val="single" w:color="auto" w:sz="4" w:space="0"/>
              <w:right w:val="single" w:color="auto" w:sz="4" w:space="0"/>
            </w:tcBorders>
          </w:tcPr>
          <w:p>
            <w:pPr>
              <w:spacing w:line="400" w:lineRule="exact"/>
              <w:jc w:val="center"/>
              <w:rPr>
                <w:rFonts w:cs="仿宋" w:asciiTheme="minorEastAsia" w:hAnsiTheme="minorEastAsia" w:eastAsia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52" w:type="dxa"/>
            <w:tcBorders>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168" w:type="dxa"/>
            <w:tcBorders>
              <w:lef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591" w:type="dxa"/>
            <w:tcBorders>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354" w:type="dxa"/>
            <w:tcBorders>
              <w:lef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388" w:type="dxa"/>
            <w:vAlign w:val="center"/>
          </w:tcPr>
          <w:p>
            <w:pPr>
              <w:spacing w:line="400" w:lineRule="exact"/>
              <w:jc w:val="center"/>
              <w:rPr>
                <w:rFonts w:cs="仿宋" w:asciiTheme="minorEastAsia" w:hAnsiTheme="minorEastAsia" w:eastAsiaTheme="minorEastAsia"/>
                <w:color w:val="auto"/>
                <w:sz w:val="24"/>
                <w:szCs w:val="24"/>
                <w:highlight w:val="none"/>
              </w:rPr>
            </w:pPr>
          </w:p>
        </w:tc>
        <w:tc>
          <w:tcPr>
            <w:tcW w:w="1207" w:type="dxa"/>
            <w:tcBorders>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436" w:type="dxa"/>
            <w:tcBorders>
              <w:left w:val="single" w:color="auto" w:sz="4" w:space="0"/>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247" w:type="dxa"/>
            <w:tcBorders>
              <w:left w:val="single" w:color="auto" w:sz="4" w:space="0"/>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489" w:type="dxa"/>
            <w:tcBorders>
              <w:left w:val="single" w:color="auto" w:sz="4" w:space="0"/>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559" w:type="dxa"/>
            <w:tcBorders>
              <w:left w:val="single" w:color="auto" w:sz="4" w:space="0"/>
              <w:right w:val="single" w:color="auto" w:sz="4" w:space="0"/>
            </w:tcBorders>
            <w:vAlign w:val="center"/>
          </w:tcPr>
          <w:p>
            <w:pPr>
              <w:spacing w:line="400" w:lineRule="exact"/>
              <w:jc w:val="center"/>
              <w:rPr>
                <w:rFonts w:cs="仿宋" w:asciiTheme="minorEastAsia" w:hAnsiTheme="minorEastAsia" w:eastAsiaTheme="minorEastAsia"/>
                <w:color w:val="auto"/>
                <w:sz w:val="24"/>
                <w:szCs w:val="24"/>
                <w:highlight w:val="none"/>
              </w:rPr>
            </w:pPr>
          </w:p>
        </w:tc>
        <w:tc>
          <w:tcPr>
            <w:tcW w:w="1076" w:type="dxa"/>
            <w:tcBorders>
              <w:left w:val="single" w:color="auto" w:sz="4" w:space="0"/>
              <w:right w:val="single" w:color="auto" w:sz="4" w:space="0"/>
            </w:tcBorders>
          </w:tcPr>
          <w:p>
            <w:pPr>
              <w:spacing w:line="400" w:lineRule="exact"/>
              <w:jc w:val="center"/>
              <w:rPr>
                <w:rFonts w:cs="仿宋" w:asciiTheme="minorEastAsia" w:hAnsiTheme="minorEastAsia" w:eastAsia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6353" w:type="dxa"/>
            <w:gridSpan w:val="5"/>
            <w:tcBorders>
              <w:top w:val="single" w:color="auto" w:sz="4" w:space="0"/>
              <w:bottom w:val="single" w:color="auto" w:sz="12" w:space="0"/>
              <w:right w:val="single" w:color="auto" w:sz="4" w:space="0"/>
            </w:tcBorders>
            <w:vAlign w:val="center"/>
          </w:tcPr>
          <w:p>
            <w:pPr>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合     计：（大写）</w:t>
            </w:r>
          </w:p>
        </w:tc>
        <w:tc>
          <w:tcPr>
            <w:tcW w:w="6938" w:type="dxa"/>
            <w:gridSpan w:val="5"/>
            <w:tcBorders>
              <w:top w:val="single" w:color="auto" w:sz="4" w:space="0"/>
              <w:left w:val="single" w:color="auto" w:sz="4" w:space="0"/>
              <w:bottom w:val="single" w:color="auto" w:sz="12" w:space="0"/>
              <w:right w:val="single" w:color="auto" w:sz="4" w:space="0"/>
            </w:tcBorders>
            <w:vAlign w:val="center"/>
          </w:tcPr>
          <w:p>
            <w:pPr>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人民币：（小写）</w:t>
            </w:r>
          </w:p>
        </w:tc>
        <w:tc>
          <w:tcPr>
            <w:tcW w:w="1076" w:type="dxa"/>
            <w:tcBorders>
              <w:top w:val="single" w:color="auto" w:sz="4" w:space="0"/>
              <w:left w:val="single" w:color="auto" w:sz="4" w:space="0"/>
              <w:bottom w:val="single" w:color="auto" w:sz="12" w:space="0"/>
              <w:right w:val="single" w:color="auto" w:sz="4" w:space="0"/>
            </w:tcBorders>
          </w:tcPr>
          <w:p>
            <w:pPr>
              <w:spacing w:line="400" w:lineRule="exact"/>
              <w:rPr>
                <w:rFonts w:cs="仿宋" w:asciiTheme="minorEastAsia" w:hAnsiTheme="minorEastAsia" w:eastAsiaTheme="minorEastAsia"/>
                <w:color w:val="auto"/>
                <w:sz w:val="24"/>
                <w:szCs w:val="24"/>
                <w:highlight w:val="none"/>
              </w:rPr>
            </w:pPr>
          </w:p>
        </w:tc>
      </w:tr>
    </w:tbl>
    <w:p>
      <w:pPr>
        <w:spacing w:line="360" w:lineRule="exact"/>
        <w:ind w:left="840" w:hanging="840" w:hangingChars="3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注：1、</w:t>
      </w:r>
      <w:r>
        <w:rPr>
          <w:rFonts w:hint="eastAsia" w:cs="仿宋" w:asciiTheme="minorEastAsia" w:hAnsiTheme="minorEastAsia" w:eastAsiaTheme="minorEastAsia"/>
          <w:color w:val="auto"/>
          <w:sz w:val="24"/>
          <w:szCs w:val="24"/>
          <w:highlight w:val="none"/>
          <w:lang w:eastAsia="zh-CN"/>
        </w:rPr>
        <w:t>中、</w:t>
      </w:r>
      <w:r>
        <w:rPr>
          <w:rFonts w:hint="eastAsia" w:cs="仿宋" w:asciiTheme="minorEastAsia" w:hAnsiTheme="minorEastAsia" w:eastAsiaTheme="minorEastAsia"/>
          <w:color w:val="auto"/>
          <w:sz w:val="24"/>
          <w:szCs w:val="24"/>
          <w:highlight w:val="none"/>
        </w:rPr>
        <w:t>小、微企业、监狱或残疾人福利性单位产品须在明细表中注明，并在投标文件中提供相应证明材料，否则产生的一切后果由投标人承担。</w:t>
      </w:r>
    </w:p>
    <w:p>
      <w:pPr>
        <w:spacing w:line="360" w:lineRule="exact"/>
        <w:ind w:left="839" w:leftChars="228" w:hanging="360" w:hangingChars="1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2、属于</w:t>
      </w:r>
      <w:r>
        <w:rPr>
          <w:rFonts w:hint="eastAsia" w:cs="仿宋" w:asciiTheme="minorEastAsia" w:hAnsiTheme="minorEastAsia" w:eastAsiaTheme="minorEastAsia"/>
          <w:bCs/>
          <w:color w:val="auto"/>
          <w:sz w:val="24"/>
          <w:szCs w:val="24"/>
          <w:highlight w:val="none"/>
        </w:rPr>
        <w:t>《节能产品政府采购品目清单》、《环境标志产品政府采购品目清单》</w:t>
      </w:r>
      <w:r>
        <w:rPr>
          <w:rFonts w:hint="eastAsia" w:cs="仿宋" w:asciiTheme="minorEastAsia" w:hAnsiTheme="minorEastAsia" w:eastAsiaTheme="minorEastAsia"/>
          <w:color w:val="auto"/>
          <w:sz w:val="24"/>
          <w:szCs w:val="24"/>
          <w:highlight w:val="none"/>
        </w:rPr>
        <w:t>的产品需备注注明，同时</w:t>
      </w:r>
      <w:r>
        <w:rPr>
          <w:rFonts w:hint="eastAsia" w:cs="仿宋" w:asciiTheme="minorEastAsia" w:hAnsiTheme="minorEastAsia" w:eastAsiaTheme="minorEastAsia"/>
          <w:bCs/>
          <w:color w:val="auto"/>
          <w:sz w:val="24"/>
          <w:szCs w:val="24"/>
          <w:highlight w:val="none"/>
        </w:rPr>
        <w:t>提供</w:t>
      </w:r>
      <w:r>
        <w:rPr>
          <w:rFonts w:hint="eastAsia" w:cs="仿宋" w:asciiTheme="minorEastAsia" w:hAnsiTheme="minorEastAsia" w:eastAsiaTheme="minorEastAsia"/>
          <w:color w:val="auto"/>
          <w:sz w:val="24"/>
          <w:szCs w:val="24"/>
          <w:highlight w:val="none"/>
        </w:rPr>
        <w:t>该产品</w:t>
      </w:r>
      <w:r>
        <w:rPr>
          <w:rFonts w:hint="eastAsia" w:cs="仿宋" w:asciiTheme="minorEastAsia" w:hAnsiTheme="minorEastAsia" w:eastAsiaTheme="minorEastAsia"/>
          <w:bCs/>
          <w:color w:val="auto"/>
          <w:sz w:val="24"/>
          <w:szCs w:val="24"/>
          <w:highlight w:val="none"/>
        </w:rPr>
        <w:t>所在清单页的扫描件或网页截图，并</w:t>
      </w:r>
      <w:r>
        <w:rPr>
          <w:rFonts w:hint="eastAsia" w:cs="仿宋" w:asciiTheme="minorEastAsia" w:hAnsiTheme="minorEastAsia" w:eastAsiaTheme="minorEastAsia"/>
          <w:color w:val="auto"/>
          <w:kern w:val="0"/>
          <w:sz w:val="24"/>
          <w:szCs w:val="24"/>
          <w:highlight w:val="none"/>
        </w:rPr>
        <w:t>提供证书扫描件</w:t>
      </w:r>
      <w:r>
        <w:rPr>
          <w:rFonts w:hint="eastAsia" w:cs="仿宋" w:asciiTheme="minorEastAsia" w:hAnsiTheme="minorEastAsia" w:eastAsiaTheme="minorEastAsia"/>
          <w:color w:val="auto"/>
          <w:sz w:val="24"/>
          <w:szCs w:val="24"/>
          <w:highlight w:val="none"/>
        </w:rPr>
        <w:t>，否则产生的一切后果由投标人承担。（不属于节能产品、</w:t>
      </w:r>
      <w:r>
        <w:rPr>
          <w:rFonts w:hint="eastAsia" w:cs="仿宋" w:asciiTheme="minorEastAsia" w:hAnsiTheme="minorEastAsia" w:eastAsiaTheme="minorEastAsia"/>
          <w:bCs/>
          <w:color w:val="auto"/>
          <w:sz w:val="24"/>
          <w:szCs w:val="24"/>
          <w:highlight w:val="none"/>
        </w:rPr>
        <w:t>环境标志产品</w:t>
      </w:r>
      <w:r>
        <w:rPr>
          <w:rFonts w:hint="eastAsia" w:cs="仿宋" w:asciiTheme="minorEastAsia" w:hAnsiTheme="minorEastAsia" w:eastAsiaTheme="minorEastAsia"/>
          <w:color w:val="auto"/>
          <w:sz w:val="24"/>
          <w:szCs w:val="24"/>
          <w:highlight w:val="none"/>
        </w:rPr>
        <w:t>的不需提供）</w:t>
      </w:r>
    </w:p>
    <w:p>
      <w:pPr>
        <w:spacing w:line="360" w:lineRule="exact"/>
        <w:ind w:left="839" w:leftChars="228" w:hanging="360" w:hangingChars="150"/>
        <w:rPr>
          <w:rFonts w:cs="仿宋" w:asciiTheme="minorEastAsia" w:hAnsiTheme="minorEastAsia" w:eastAsiaTheme="minorEastAsia"/>
          <w:i/>
          <w:color w:val="auto"/>
          <w:sz w:val="24"/>
          <w:szCs w:val="24"/>
          <w:highlight w:val="none"/>
        </w:rPr>
      </w:pPr>
      <w:r>
        <w:rPr>
          <w:rFonts w:hint="eastAsia" w:cs="仿宋" w:asciiTheme="minorEastAsia" w:hAnsiTheme="minorEastAsia" w:eastAsiaTheme="minorEastAsia"/>
          <w:color w:val="auto"/>
          <w:sz w:val="24"/>
          <w:szCs w:val="24"/>
          <w:highlight w:val="none"/>
        </w:rPr>
        <w:t>3、招标文件对节能产品、环境标志产品另有规定的从其规定。</w:t>
      </w:r>
    </w:p>
    <w:p>
      <w:pPr>
        <w:spacing w:line="500" w:lineRule="exact"/>
        <w:ind w:firstLine="240" w:firstLineChars="100"/>
        <w:rPr>
          <w:rFonts w:cs="仿宋" w:asciiTheme="minorEastAsia" w:hAnsiTheme="minorEastAsia" w:eastAsiaTheme="minorEastAsia"/>
          <w:b w:val="0"/>
          <w:bCs w:val="0"/>
          <w:color w:val="auto"/>
          <w:sz w:val="24"/>
          <w:szCs w:val="24"/>
          <w:highlight w:val="none"/>
          <w:u w:val="single"/>
        </w:rPr>
      </w:pPr>
      <w:r>
        <w:rPr>
          <w:rFonts w:hint="eastAsia" w:ascii="宋体" w:hAnsi="宋体" w:eastAsia="宋体" w:cs="宋体"/>
          <w:b w:val="0"/>
          <w:bCs w:val="0"/>
          <w:color w:val="auto"/>
          <w:sz w:val="24"/>
          <w:highlight w:val="none"/>
        </w:rPr>
        <w:t>投标人盖章：</w:t>
      </w:r>
    </w:p>
    <w:p>
      <w:pPr>
        <w:rPr>
          <w:rFonts w:cs="仿宋" w:asciiTheme="minorEastAsia" w:hAnsiTheme="minorEastAsia" w:eastAsiaTheme="minorEastAsia"/>
          <w:b w:val="0"/>
          <w:bCs w:val="0"/>
          <w:color w:val="auto"/>
          <w:sz w:val="24"/>
          <w:szCs w:val="24"/>
          <w:highlight w:val="none"/>
        </w:rPr>
        <w:sectPr>
          <w:pgSz w:w="16838" w:h="11906" w:orient="landscape"/>
          <w:pgMar w:top="1418" w:right="1440" w:bottom="1134" w:left="1440" w:header="851" w:footer="992" w:gutter="0"/>
          <w:pgBorders>
            <w:top w:val="none" w:sz="0" w:space="0"/>
            <w:left w:val="none" w:sz="0" w:space="0"/>
            <w:bottom w:val="none" w:sz="0" w:space="0"/>
            <w:right w:val="none" w:sz="0" w:space="0"/>
          </w:pgBorders>
          <w:cols w:space="720" w:num="1"/>
          <w:docGrid w:type="lines" w:linePitch="312" w:charSpace="0"/>
        </w:sectPr>
      </w:pPr>
    </w:p>
    <w:p>
      <w:pPr>
        <w:pStyle w:val="6"/>
        <w:jc w:val="center"/>
        <w:outlineLvl w:val="3"/>
        <w:rPr>
          <w:rFonts w:cs="仿宋" w:asciiTheme="minorEastAsia" w:hAnsiTheme="minorEastAsia" w:eastAsiaTheme="minorEastAsia"/>
          <w:color w:val="auto"/>
          <w:sz w:val="24"/>
          <w:szCs w:val="24"/>
          <w:highlight w:val="none"/>
        </w:rPr>
      </w:pPr>
      <w:bookmarkStart w:id="80" w:name="_Toc474492113"/>
      <w:r>
        <w:rPr>
          <w:rFonts w:hint="eastAsia" w:cs="仿宋" w:asciiTheme="minorEastAsia" w:hAnsiTheme="minorEastAsia" w:eastAsiaTheme="minorEastAsia"/>
          <w:color w:val="auto"/>
          <w:sz w:val="24"/>
          <w:szCs w:val="24"/>
          <w:highlight w:val="none"/>
        </w:rPr>
        <w:t>格式5.技术需求响应/偏离表</w:t>
      </w:r>
      <w:bookmarkEnd w:id="80"/>
    </w:p>
    <w:p>
      <w:pPr>
        <w:spacing w:line="400" w:lineRule="exact"/>
        <w:rPr>
          <w:rFonts w:cs="仿宋" w:asciiTheme="minorEastAsia" w:hAnsiTheme="minorEastAsia" w:eastAsiaTheme="minorEastAsia"/>
          <w:color w:val="auto"/>
          <w:sz w:val="24"/>
          <w:szCs w:val="24"/>
          <w:highlight w:val="none"/>
        </w:rPr>
      </w:pPr>
    </w:p>
    <w:tbl>
      <w:tblPr>
        <w:tblStyle w:val="4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66"/>
        <w:gridCol w:w="2073"/>
        <w:gridCol w:w="2268"/>
        <w:gridCol w:w="156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738" w:type="dxa"/>
            <w:vAlign w:val="center"/>
          </w:tcPr>
          <w:p>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序号</w:t>
            </w:r>
          </w:p>
        </w:tc>
        <w:tc>
          <w:tcPr>
            <w:tcW w:w="1266" w:type="dxa"/>
            <w:vAlign w:val="center"/>
          </w:tcPr>
          <w:p>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招标文件条目号</w:t>
            </w:r>
          </w:p>
        </w:tc>
        <w:tc>
          <w:tcPr>
            <w:tcW w:w="2073" w:type="dxa"/>
            <w:vAlign w:val="center"/>
          </w:tcPr>
          <w:p>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招标技术需求</w:t>
            </w:r>
          </w:p>
        </w:tc>
        <w:tc>
          <w:tcPr>
            <w:tcW w:w="2268" w:type="dxa"/>
            <w:vAlign w:val="center"/>
          </w:tcPr>
          <w:p>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投标技术响应</w:t>
            </w:r>
          </w:p>
        </w:tc>
        <w:tc>
          <w:tcPr>
            <w:tcW w:w="1560" w:type="dxa"/>
            <w:vAlign w:val="center"/>
          </w:tcPr>
          <w:p>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响应/偏离</w:t>
            </w:r>
          </w:p>
        </w:tc>
        <w:tc>
          <w:tcPr>
            <w:tcW w:w="1417" w:type="dxa"/>
            <w:vAlign w:val="center"/>
          </w:tcPr>
          <w:p>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38" w:type="dxa"/>
          </w:tcPr>
          <w:p>
            <w:pPr>
              <w:spacing w:line="400" w:lineRule="exact"/>
              <w:rPr>
                <w:rFonts w:cs="仿宋" w:asciiTheme="minorEastAsia" w:hAnsiTheme="minorEastAsia" w:eastAsiaTheme="minorEastAsia"/>
                <w:color w:val="auto"/>
                <w:sz w:val="24"/>
                <w:szCs w:val="24"/>
                <w:highlight w:val="none"/>
              </w:rPr>
            </w:pPr>
          </w:p>
        </w:tc>
        <w:tc>
          <w:tcPr>
            <w:tcW w:w="1266" w:type="dxa"/>
          </w:tcPr>
          <w:p>
            <w:pPr>
              <w:spacing w:line="400" w:lineRule="exact"/>
              <w:rPr>
                <w:rFonts w:cs="仿宋" w:asciiTheme="minorEastAsia" w:hAnsiTheme="minorEastAsia" w:eastAsiaTheme="minorEastAsia"/>
                <w:color w:val="auto"/>
                <w:sz w:val="24"/>
                <w:szCs w:val="24"/>
                <w:highlight w:val="none"/>
              </w:rPr>
            </w:pPr>
          </w:p>
        </w:tc>
        <w:tc>
          <w:tcPr>
            <w:tcW w:w="2073" w:type="dxa"/>
          </w:tcPr>
          <w:p>
            <w:pPr>
              <w:spacing w:line="400" w:lineRule="exact"/>
              <w:rPr>
                <w:rFonts w:cs="仿宋" w:asciiTheme="minorEastAsia" w:hAnsiTheme="minorEastAsia" w:eastAsiaTheme="minorEastAsia"/>
                <w:color w:val="auto"/>
                <w:sz w:val="24"/>
                <w:szCs w:val="24"/>
                <w:highlight w:val="none"/>
              </w:rPr>
            </w:pPr>
          </w:p>
        </w:tc>
        <w:tc>
          <w:tcPr>
            <w:tcW w:w="2268" w:type="dxa"/>
          </w:tcPr>
          <w:p>
            <w:pPr>
              <w:spacing w:line="400" w:lineRule="exact"/>
              <w:rPr>
                <w:rFonts w:cs="仿宋" w:asciiTheme="minorEastAsia" w:hAnsiTheme="minorEastAsia" w:eastAsiaTheme="minorEastAsia"/>
                <w:color w:val="auto"/>
                <w:sz w:val="24"/>
                <w:szCs w:val="24"/>
                <w:highlight w:val="none"/>
              </w:rPr>
            </w:pPr>
          </w:p>
        </w:tc>
        <w:tc>
          <w:tcPr>
            <w:tcW w:w="1560" w:type="dxa"/>
          </w:tcPr>
          <w:p>
            <w:pPr>
              <w:spacing w:line="400" w:lineRule="exact"/>
              <w:rPr>
                <w:rFonts w:cs="仿宋" w:asciiTheme="minorEastAsia" w:hAnsiTheme="minorEastAsia" w:eastAsiaTheme="minorEastAsia"/>
                <w:color w:val="auto"/>
                <w:sz w:val="24"/>
                <w:szCs w:val="24"/>
                <w:highlight w:val="none"/>
              </w:rPr>
            </w:pPr>
          </w:p>
        </w:tc>
        <w:tc>
          <w:tcPr>
            <w:tcW w:w="1417" w:type="dxa"/>
          </w:tcPr>
          <w:p>
            <w:pPr>
              <w:spacing w:line="400" w:lineRule="exact"/>
              <w:rPr>
                <w:rFonts w:cs="仿宋"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38" w:type="dxa"/>
          </w:tcPr>
          <w:p>
            <w:pPr>
              <w:spacing w:line="400" w:lineRule="exact"/>
              <w:rPr>
                <w:rFonts w:cs="仿宋" w:asciiTheme="minorEastAsia" w:hAnsiTheme="minorEastAsia" w:eastAsiaTheme="minorEastAsia"/>
                <w:color w:val="auto"/>
                <w:sz w:val="24"/>
                <w:szCs w:val="24"/>
                <w:highlight w:val="none"/>
              </w:rPr>
            </w:pPr>
          </w:p>
        </w:tc>
        <w:tc>
          <w:tcPr>
            <w:tcW w:w="1266" w:type="dxa"/>
          </w:tcPr>
          <w:p>
            <w:pPr>
              <w:spacing w:line="400" w:lineRule="exact"/>
              <w:rPr>
                <w:rFonts w:cs="仿宋" w:asciiTheme="minorEastAsia" w:hAnsiTheme="minorEastAsia" w:eastAsiaTheme="minorEastAsia"/>
                <w:color w:val="auto"/>
                <w:sz w:val="24"/>
                <w:szCs w:val="24"/>
                <w:highlight w:val="none"/>
              </w:rPr>
            </w:pPr>
          </w:p>
        </w:tc>
        <w:tc>
          <w:tcPr>
            <w:tcW w:w="2073" w:type="dxa"/>
          </w:tcPr>
          <w:p>
            <w:pPr>
              <w:spacing w:line="400" w:lineRule="exact"/>
              <w:rPr>
                <w:rFonts w:cs="仿宋" w:asciiTheme="minorEastAsia" w:hAnsiTheme="minorEastAsia" w:eastAsiaTheme="minorEastAsia"/>
                <w:color w:val="auto"/>
                <w:sz w:val="24"/>
                <w:szCs w:val="24"/>
                <w:highlight w:val="none"/>
              </w:rPr>
            </w:pPr>
          </w:p>
        </w:tc>
        <w:tc>
          <w:tcPr>
            <w:tcW w:w="2268" w:type="dxa"/>
          </w:tcPr>
          <w:p>
            <w:pPr>
              <w:spacing w:line="400" w:lineRule="exact"/>
              <w:rPr>
                <w:rFonts w:cs="仿宋" w:asciiTheme="minorEastAsia" w:hAnsiTheme="minorEastAsia" w:eastAsiaTheme="minorEastAsia"/>
                <w:color w:val="auto"/>
                <w:sz w:val="24"/>
                <w:szCs w:val="24"/>
                <w:highlight w:val="none"/>
              </w:rPr>
            </w:pPr>
          </w:p>
        </w:tc>
        <w:tc>
          <w:tcPr>
            <w:tcW w:w="1560" w:type="dxa"/>
          </w:tcPr>
          <w:p>
            <w:pPr>
              <w:spacing w:line="400" w:lineRule="exact"/>
              <w:rPr>
                <w:rFonts w:cs="仿宋" w:asciiTheme="minorEastAsia" w:hAnsiTheme="minorEastAsia" w:eastAsiaTheme="minorEastAsia"/>
                <w:color w:val="auto"/>
                <w:sz w:val="24"/>
                <w:szCs w:val="24"/>
                <w:highlight w:val="none"/>
              </w:rPr>
            </w:pPr>
          </w:p>
        </w:tc>
        <w:tc>
          <w:tcPr>
            <w:tcW w:w="1417" w:type="dxa"/>
          </w:tcPr>
          <w:p>
            <w:pPr>
              <w:spacing w:line="400" w:lineRule="exact"/>
              <w:rPr>
                <w:rFonts w:cs="仿宋"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38" w:type="dxa"/>
          </w:tcPr>
          <w:p>
            <w:pPr>
              <w:spacing w:line="400" w:lineRule="exact"/>
              <w:rPr>
                <w:rFonts w:cs="仿宋" w:asciiTheme="minorEastAsia" w:hAnsiTheme="minorEastAsia" w:eastAsiaTheme="minorEastAsia"/>
                <w:color w:val="auto"/>
                <w:sz w:val="24"/>
                <w:szCs w:val="24"/>
                <w:highlight w:val="none"/>
              </w:rPr>
            </w:pPr>
          </w:p>
        </w:tc>
        <w:tc>
          <w:tcPr>
            <w:tcW w:w="1266" w:type="dxa"/>
          </w:tcPr>
          <w:p>
            <w:pPr>
              <w:spacing w:line="400" w:lineRule="exact"/>
              <w:rPr>
                <w:rFonts w:cs="仿宋" w:asciiTheme="minorEastAsia" w:hAnsiTheme="minorEastAsia" w:eastAsiaTheme="minorEastAsia"/>
                <w:color w:val="auto"/>
                <w:sz w:val="24"/>
                <w:szCs w:val="24"/>
                <w:highlight w:val="none"/>
              </w:rPr>
            </w:pPr>
          </w:p>
        </w:tc>
        <w:tc>
          <w:tcPr>
            <w:tcW w:w="2073" w:type="dxa"/>
          </w:tcPr>
          <w:p>
            <w:pPr>
              <w:spacing w:line="400" w:lineRule="exact"/>
              <w:rPr>
                <w:rFonts w:cs="仿宋" w:asciiTheme="minorEastAsia" w:hAnsiTheme="minorEastAsia" w:eastAsiaTheme="minorEastAsia"/>
                <w:color w:val="auto"/>
                <w:sz w:val="24"/>
                <w:szCs w:val="24"/>
                <w:highlight w:val="none"/>
              </w:rPr>
            </w:pPr>
          </w:p>
        </w:tc>
        <w:tc>
          <w:tcPr>
            <w:tcW w:w="2268" w:type="dxa"/>
          </w:tcPr>
          <w:p>
            <w:pPr>
              <w:spacing w:line="400" w:lineRule="exact"/>
              <w:rPr>
                <w:rFonts w:cs="仿宋" w:asciiTheme="minorEastAsia" w:hAnsiTheme="minorEastAsia" w:eastAsiaTheme="minorEastAsia"/>
                <w:color w:val="auto"/>
                <w:sz w:val="24"/>
                <w:szCs w:val="24"/>
                <w:highlight w:val="none"/>
              </w:rPr>
            </w:pPr>
          </w:p>
        </w:tc>
        <w:tc>
          <w:tcPr>
            <w:tcW w:w="1560" w:type="dxa"/>
          </w:tcPr>
          <w:p>
            <w:pPr>
              <w:spacing w:line="400" w:lineRule="exact"/>
              <w:rPr>
                <w:rFonts w:cs="仿宋" w:asciiTheme="minorEastAsia" w:hAnsiTheme="minorEastAsia" w:eastAsiaTheme="minorEastAsia"/>
                <w:color w:val="auto"/>
                <w:sz w:val="24"/>
                <w:szCs w:val="24"/>
                <w:highlight w:val="none"/>
              </w:rPr>
            </w:pPr>
          </w:p>
        </w:tc>
        <w:tc>
          <w:tcPr>
            <w:tcW w:w="1417" w:type="dxa"/>
          </w:tcPr>
          <w:p>
            <w:pPr>
              <w:spacing w:line="400" w:lineRule="exact"/>
              <w:rPr>
                <w:rFonts w:cs="仿宋"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38" w:type="dxa"/>
          </w:tcPr>
          <w:p>
            <w:pPr>
              <w:spacing w:line="400" w:lineRule="exact"/>
              <w:rPr>
                <w:rFonts w:cs="仿宋" w:asciiTheme="minorEastAsia" w:hAnsiTheme="minorEastAsia" w:eastAsiaTheme="minorEastAsia"/>
                <w:color w:val="auto"/>
                <w:sz w:val="24"/>
                <w:szCs w:val="24"/>
                <w:highlight w:val="none"/>
              </w:rPr>
            </w:pPr>
          </w:p>
        </w:tc>
        <w:tc>
          <w:tcPr>
            <w:tcW w:w="1266" w:type="dxa"/>
          </w:tcPr>
          <w:p>
            <w:pPr>
              <w:spacing w:line="400" w:lineRule="exact"/>
              <w:rPr>
                <w:rFonts w:cs="仿宋" w:asciiTheme="minorEastAsia" w:hAnsiTheme="minorEastAsia" w:eastAsiaTheme="minorEastAsia"/>
                <w:color w:val="auto"/>
                <w:sz w:val="24"/>
                <w:szCs w:val="24"/>
                <w:highlight w:val="none"/>
              </w:rPr>
            </w:pPr>
          </w:p>
        </w:tc>
        <w:tc>
          <w:tcPr>
            <w:tcW w:w="2073" w:type="dxa"/>
          </w:tcPr>
          <w:p>
            <w:pPr>
              <w:spacing w:line="400" w:lineRule="exact"/>
              <w:rPr>
                <w:rFonts w:cs="仿宋" w:asciiTheme="minorEastAsia" w:hAnsiTheme="minorEastAsia" w:eastAsiaTheme="minorEastAsia"/>
                <w:color w:val="auto"/>
                <w:sz w:val="24"/>
                <w:szCs w:val="24"/>
                <w:highlight w:val="none"/>
              </w:rPr>
            </w:pPr>
          </w:p>
        </w:tc>
        <w:tc>
          <w:tcPr>
            <w:tcW w:w="2268" w:type="dxa"/>
          </w:tcPr>
          <w:p>
            <w:pPr>
              <w:spacing w:line="400" w:lineRule="exact"/>
              <w:rPr>
                <w:rFonts w:cs="仿宋" w:asciiTheme="minorEastAsia" w:hAnsiTheme="minorEastAsia" w:eastAsiaTheme="minorEastAsia"/>
                <w:color w:val="auto"/>
                <w:sz w:val="24"/>
                <w:szCs w:val="24"/>
                <w:highlight w:val="none"/>
              </w:rPr>
            </w:pPr>
          </w:p>
        </w:tc>
        <w:tc>
          <w:tcPr>
            <w:tcW w:w="1560" w:type="dxa"/>
          </w:tcPr>
          <w:p>
            <w:pPr>
              <w:spacing w:line="400" w:lineRule="exact"/>
              <w:rPr>
                <w:rFonts w:cs="仿宋" w:asciiTheme="minorEastAsia" w:hAnsiTheme="minorEastAsia" w:eastAsiaTheme="minorEastAsia"/>
                <w:color w:val="auto"/>
                <w:sz w:val="24"/>
                <w:szCs w:val="24"/>
                <w:highlight w:val="none"/>
              </w:rPr>
            </w:pPr>
          </w:p>
        </w:tc>
        <w:tc>
          <w:tcPr>
            <w:tcW w:w="1417" w:type="dxa"/>
          </w:tcPr>
          <w:p>
            <w:pPr>
              <w:spacing w:line="400" w:lineRule="exact"/>
              <w:rPr>
                <w:rFonts w:cs="仿宋"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38" w:type="dxa"/>
          </w:tcPr>
          <w:p>
            <w:pPr>
              <w:spacing w:line="400" w:lineRule="exact"/>
              <w:rPr>
                <w:rFonts w:cs="仿宋" w:asciiTheme="minorEastAsia" w:hAnsiTheme="minorEastAsia" w:eastAsiaTheme="minorEastAsia"/>
                <w:color w:val="auto"/>
                <w:sz w:val="24"/>
                <w:szCs w:val="24"/>
                <w:highlight w:val="none"/>
              </w:rPr>
            </w:pPr>
          </w:p>
        </w:tc>
        <w:tc>
          <w:tcPr>
            <w:tcW w:w="1266" w:type="dxa"/>
          </w:tcPr>
          <w:p>
            <w:pPr>
              <w:spacing w:line="400" w:lineRule="exact"/>
              <w:rPr>
                <w:rFonts w:cs="仿宋" w:asciiTheme="minorEastAsia" w:hAnsiTheme="minorEastAsia" w:eastAsiaTheme="minorEastAsia"/>
                <w:color w:val="auto"/>
                <w:sz w:val="24"/>
                <w:szCs w:val="24"/>
                <w:highlight w:val="none"/>
              </w:rPr>
            </w:pPr>
          </w:p>
        </w:tc>
        <w:tc>
          <w:tcPr>
            <w:tcW w:w="2073" w:type="dxa"/>
          </w:tcPr>
          <w:p>
            <w:pPr>
              <w:spacing w:line="400" w:lineRule="exact"/>
              <w:rPr>
                <w:rFonts w:cs="仿宋" w:asciiTheme="minorEastAsia" w:hAnsiTheme="minorEastAsia" w:eastAsiaTheme="minorEastAsia"/>
                <w:color w:val="auto"/>
                <w:sz w:val="24"/>
                <w:szCs w:val="24"/>
                <w:highlight w:val="none"/>
              </w:rPr>
            </w:pPr>
          </w:p>
        </w:tc>
        <w:tc>
          <w:tcPr>
            <w:tcW w:w="2268" w:type="dxa"/>
          </w:tcPr>
          <w:p>
            <w:pPr>
              <w:spacing w:line="400" w:lineRule="exact"/>
              <w:rPr>
                <w:rFonts w:cs="仿宋" w:asciiTheme="minorEastAsia" w:hAnsiTheme="minorEastAsia" w:eastAsiaTheme="minorEastAsia"/>
                <w:color w:val="auto"/>
                <w:sz w:val="24"/>
                <w:szCs w:val="24"/>
                <w:highlight w:val="none"/>
              </w:rPr>
            </w:pPr>
          </w:p>
        </w:tc>
        <w:tc>
          <w:tcPr>
            <w:tcW w:w="1560" w:type="dxa"/>
          </w:tcPr>
          <w:p>
            <w:pPr>
              <w:spacing w:line="400" w:lineRule="exact"/>
              <w:rPr>
                <w:rFonts w:cs="仿宋" w:asciiTheme="minorEastAsia" w:hAnsiTheme="minorEastAsia" w:eastAsiaTheme="minorEastAsia"/>
                <w:color w:val="auto"/>
                <w:sz w:val="24"/>
                <w:szCs w:val="24"/>
                <w:highlight w:val="none"/>
              </w:rPr>
            </w:pPr>
          </w:p>
        </w:tc>
        <w:tc>
          <w:tcPr>
            <w:tcW w:w="1417" w:type="dxa"/>
          </w:tcPr>
          <w:p>
            <w:pPr>
              <w:spacing w:line="400" w:lineRule="exact"/>
              <w:rPr>
                <w:rFonts w:cs="仿宋"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38" w:type="dxa"/>
          </w:tcPr>
          <w:p>
            <w:pPr>
              <w:spacing w:line="400" w:lineRule="exact"/>
              <w:rPr>
                <w:rFonts w:cs="仿宋" w:asciiTheme="minorEastAsia" w:hAnsiTheme="minorEastAsia" w:eastAsiaTheme="minorEastAsia"/>
                <w:color w:val="auto"/>
                <w:sz w:val="24"/>
                <w:szCs w:val="24"/>
                <w:highlight w:val="none"/>
              </w:rPr>
            </w:pPr>
          </w:p>
        </w:tc>
        <w:tc>
          <w:tcPr>
            <w:tcW w:w="1266" w:type="dxa"/>
          </w:tcPr>
          <w:p>
            <w:pPr>
              <w:spacing w:line="400" w:lineRule="exact"/>
              <w:rPr>
                <w:rFonts w:cs="仿宋" w:asciiTheme="minorEastAsia" w:hAnsiTheme="minorEastAsia" w:eastAsiaTheme="minorEastAsia"/>
                <w:color w:val="auto"/>
                <w:sz w:val="24"/>
                <w:szCs w:val="24"/>
                <w:highlight w:val="none"/>
              </w:rPr>
            </w:pPr>
          </w:p>
        </w:tc>
        <w:tc>
          <w:tcPr>
            <w:tcW w:w="2073" w:type="dxa"/>
          </w:tcPr>
          <w:p>
            <w:pPr>
              <w:spacing w:line="400" w:lineRule="exact"/>
              <w:rPr>
                <w:rFonts w:cs="仿宋" w:asciiTheme="minorEastAsia" w:hAnsiTheme="minorEastAsia" w:eastAsiaTheme="minorEastAsia"/>
                <w:color w:val="auto"/>
                <w:sz w:val="24"/>
                <w:szCs w:val="24"/>
                <w:highlight w:val="none"/>
              </w:rPr>
            </w:pPr>
          </w:p>
        </w:tc>
        <w:tc>
          <w:tcPr>
            <w:tcW w:w="2268" w:type="dxa"/>
          </w:tcPr>
          <w:p>
            <w:pPr>
              <w:spacing w:line="400" w:lineRule="exact"/>
              <w:rPr>
                <w:rFonts w:cs="仿宋" w:asciiTheme="minorEastAsia" w:hAnsiTheme="minorEastAsia" w:eastAsiaTheme="minorEastAsia"/>
                <w:color w:val="auto"/>
                <w:sz w:val="24"/>
                <w:szCs w:val="24"/>
                <w:highlight w:val="none"/>
              </w:rPr>
            </w:pPr>
          </w:p>
        </w:tc>
        <w:tc>
          <w:tcPr>
            <w:tcW w:w="1560" w:type="dxa"/>
          </w:tcPr>
          <w:p>
            <w:pPr>
              <w:spacing w:line="400" w:lineRule="exact"/>
              <w:rPr>
                <w:rFonts w:cs="仿宋" w:asciiTheme="minorEastAsia" w:hAnsiTheme="minorEastAsia" w:eastAsiaTheme="minorEastAsia"/>
                <w:color w:val="auto"/>
                <w:sz w:val="24"/>
                <w:szCs w:val="24"/>
                <w:highlight w:val="none"/>
              </w:rPr>
            </w:pPr>
          </w:p>
        </w:tc>
        <w:tc>
          <w:tcPr>
            <w:tcW w:w="1417" w:type="dxa"/>
          </w:tcPr>
          <w:p>
            <w:pPr>
              <w:spacing w:line="400" w:lineRule="exact"/>
              <w:rPr>
                <w:rFonts w:cs="仿宋"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738" w:type="dxa"/>
          </w:tcPr>
          <w:p>
            <w:pPr>
              <w:spacing w:line="400" w:lineRule="exact"/>
              <w:rPr>
                <w:rFonts w:cs="仿宋" w:asciiTheme="minorEastAsia" w:hAnsiTheme="minorEastAsia" w:eastAsiaTheme="minorEastAsia"/>
                <w:color w:val="auto"/>
                <w:sz w:val="24"/>
                <w:szCs w:val="24"/>
                <w:highlight w:val="none"/>
              </w:rPr>
            </w:pPr>
          </w:p>
        </w:tc>
        <w:tc>
          <w:tcPr>
            <w:tcW w:w="1266" w:type="dxa"/>
          </w:tcPr>
          <w:p>
            <w:pPr>
              <w:spacing w:line="400" w:lineRule="exact"/>
              <w:rPr>
                <w:rFonts w:cs="仿宋" w:asciiTheme="minorEastAsia" w:hAnsiTheme="minorEastAsia" w:eastAsiaTheme="minorEastAsia"/>
                <w:color w:val="auto"/>
                <w:sz w:val="24"/>
                <w:szCs w:val="24"/>
                <w:highlight w:val="none"/>
              </w:rPr>
            </w:pPr>
          </w:p>
        </w:tc>
        <w:tc>
          <w:tcPr>
            <w:tcW w:w="2073" w:type="dxa"/>
          </w:tcPr>
          <w:p>
            <w:pPr>
              <w:spacing w:line="400" w:lineRule="exact"/>
              <w:rPr>
                <w:rFonts w:cs="仿宋" w:asciiTheme="minorEastAsia" w:hAnsiTheme="minorEastAsia" w:eastAsiaTheme="minorEastAsia"/>
                <w:color w:val="auto"/>
                <w:sz w:val="24"/>
                <w:szCs w:val="24"/>
                <w:highlight w:val="none"/>
              </w:rPr>
            </w:pPr>
          </w:p>
        </w:tc>
        <w:tc>
          <w:tcPr>
            <w:tcW w:w="2268" w:type="dxa"/>
          </w:tcPr>
          <w:p>
            <w:pPr>
              <w:spacing w:line="400" w:lineRule="exact"/>
              <w:rPr>
                <w:rFonts w:cs="仿宋" w:asciiTheme="minorEastAsia" w:hAnsiTheme="minorEastAsia" w:eastAsiaTheme="minorEastAsia"/>
                <w:color w:val="auto"/>
                <w:sz w:val="24"/>
                <w:szCs w:val="24"/>
                <w:highlight w:val="none"/>
              </w:rPr>
            </w:pPr>
          </w:p>
        </w:tc>
        <w:tc>
          <w:tcPr>
            <w:tcW w:w="1560" w:type="dxa"/>
          </w:tcPr>
          <w:p>
            <w:pPr>
              <w:spacing w:line="400" w:lineRule="exact"/>
              <w:rPr>
                <w:rFonts w:cs="仿宋" w:asciiTheme="minorEastAsia" w:hAnsiTheme="minorEastAsia" w:eastAsiaTheme="minorEastAsia"/>
                <w:color w:val="auto"/>
                <w:sz w:val="24"/>
                <w:szCs w:val="24"/>
                <w:highlight w:val="none"/>
              </w:rPr>
            </w:pPr>
          </w:p>
        </w:tc>
        <w:tc>
          <w:tcPr>
            <w:tcW w:w="1417" w:type="dxa"/>
          </w:tcPr>
          <w:p>
            <w:pPr>
              <w:spacing w:line="400" w:lineRule="exact"/>
              <w:rPr>
                <w:rFonts w:cs="仿宋"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738" w:type="dxa"/>
          </w:tcPr>
          <w:p>
            <w:pPr>
              <w:spacing w:line="400" w:lineRule="exact"/>
              <w:rPr>
                <w:rFonts w:cs="仿宋" w:asciiTheme="minorEastAsia" w:hAnsiTheme="minorEastAsia" w:eastAsiaTheme="minorEastAsia"/>
                <w:color w:val="auto"/>
                <w:sz w:val="24"/>
                <w:szCs w:val="24"/>
                <w:highlight w:val="none"/>
              </w:rPr>
            </w:pPr>
          </w:p>
        </w:tc>
        <w:tc>
          <w:tcPr>
            <w:tcW w:w="1266" w:type="dxa"/>
          </w:tcPr>
          <w:p>
            <w:pPr>
              <w:spacing w:line="400" w:lineRule="exact"/>
              <w:rPr>
                <w:rFonts w:cs="仿宋" w:asciiTheme="minorEastAsia" w:hAnsiTheme="minorEastAsia" w:eastAsiaTheme="minorEastAsia"/>
                <w:color w:val="auto"/>
                <w:sz w:val="24"/>
                <w:szCs w:val="24"/>
                <w:highlight w:val="none"/>
              </w:rPr>
            </w:pPr>
          </w:p>
        </w:tc>
        <w:tc>
          <w:tcPr>
            <w:tcW w:w="2073" w:type="dxa"/>
          </w:tcPr>
          <w:p>
            <w:pPr>
              <w:spacing w:line="400" w:lineRule="exact"/>
              <w:rPr>
                <w:rFonts w:cs="仿宋" w:asciiTheme="minorEastAsia" w:hAnsiTheme="minorEastAsia" w:eastAsiaTheme="minorEastAsia"/>
                <w:color w:val="auto"/>
                <w:sz w:val="24"/>
                <w:szCs w:val="24"/>
                <w:highlight w:val="none"/>
              </w:rPr>
            </w:pPr>
          </w:p>
        </w:tc>
        <w:tc>
          <w:tcPr>
            <w:tcW w:w="2268" w:type="dxa"/>
          </w:tcPr>
          <w:p>
            <w:pPr>
              <w:spacing w:line="400" w:lineRule="exact"/>
              <w:rPr>
                <w:rFonts w:cs="仿宋" w:asciiTheme="minorEastAsia" w:hAnsiTheme="minorEastAsia" w:eastAsiaTheme="minorEastAsia"/>
                <w:color w:val="auto"/>
                <w:sz w:val="24"/>
                <w:szCs w:val="24"/>
                <w:highlight w:val="none"/>
              </w:rPr>
            </w:pPr>
          </w:p>
        </w:tc>
        <w:tc>
          <w:tcPr>
            <w:tcW w:w="1560" w:type="dxa"/>
          </w:tcPr>
          <w:p>
            <w:pPr>
              <w:spacing w:line="400" w:lineRule="exact"/>
              <w:rPr>
                <w:rFonts w:cs="仿宋" w:asciiTheme="minorEastAsia" w:hAnsiTheme="minorEastAsia" w:eastAsiaTheme="minorEastAsia"/>
                <w:color w:val="auto"/>
                <w:sz w:val="24"/>
                <w:szCs w:val="24"/>
                <w:highlight w:val="none"/>
              </w:rPr>
            </w:pPr>
          </w:p>
        </w:tc>
        <w:tc>
          <w:tcPr>
            <w:tcW w:w="1417" w:type="dxa"/>
          </w:tcPr>
          <w:p>
            <w:pPr>
              <w:spacing w:line="400" w:lineRule="exact"/>
              <w:rPr>
                <w:rFonts w:cs="仿宋" w:asciiTheme="minorEastAsia" w:hAnsiTheme="minorEastAsia" w:eastAsiaTheme="minorEastAsia"/>
                <w:color w:val="auto"/>
                <w:sz w:val="24"/>
                <w:szCs w:val="24"/>
                <w:highlight w:val="none"/>
              </w:rPr>
            </w:pPr>
          </w:p>
        </w:tc>
      </w:tr>
    </w:tbl>
    <w:p>
      <w:pPr>
        <w:spacing w:line="400" w:lineRule="exact"/>
        <w:ind w:firstLine="480" w:firstLineChars="200"/>
        <w:rPr>
          <w:rFonts w:cs="仿宋" w:asciiTheme="minorEastAsia" w:hAnsiTheme="minorEastAsia" w:eastAsiaTheme="minorEastAsia"/>
          <w:color w:val="auto"/>
          <w:sz w:val="24"/>
          <w:szCs w:val="24"/>
          <w:highlight w:val="none"/>
        </w:rPr>
      </w:pPr>
    </w:p>
    <w:p>
      <w:pPr>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b/>
          <w:color w:val="auto"/>
          <w:sz w:val="24"/>
          <w:szCs w:val="24"/>
          <w:highlight w:val="none"/>
        </w:rPr>
        <w:t>注：</w:t>
      </w:r>
      <w:r>
        <w:rPr>
          <w:rFonts w:hint="eastAsia" w:cs="仿宋" w:asciiTheme="minorEastAsia" w:hAnsiTheme="minorEastAsia" w:eastAsiaTheme="minorEastAsia"/>
          <w:color w:val="auto"/>
          <w:sz w:val="24"/>
          <w:szCs w:val="24"/>
          <w:highlight w:val="none"/>
        </w:rPr>
        <w:t xml:space="preserve"> 1、响应/偏离内容应在说明栏中说明该条款在投标文件中（或页码）的依据；</w:t>
      </w:r>
    </w:p>
    <w:p>
      <w:pPr>
        <w:pStyle w:val="38"/>
        <w:numPr>
          <w:ilvl w:val="0"/>
          <w:numId w:val="0"/>
        </w:numPr>
        <w:spacing w:after="0"/>
        <w:ind w:firstLine="480" w:firstLineChars="200"/>
        <w:rPr>
          <w:highlight w:val="none"/>
        </w:rPr>
      </w:pPr>
      <w:r>
        <w:rPr>
          <w:rFonts w:hint="eastAsia" w:cs="仿宋" w:asciiTheme="minorEastAsia" w:hAnsiTheme="minorEastAsia" w:eastAsiaTheme="minorEastAsia"/>
          <w:color w:val="auto"/>
          <w:kern w:val="2"/>
          <w:sz w:val="24"/>
          <w:szCs w:val="24"/>
          <w:highlight w:val="none"/>
          <w:lang w:val="en-US" w:eastAsia="zh-CN" w:bidi="ar-SA"/>
        </w:rPr>
        <w:t xml:space="preserve"> 2、</w:t>
      </w:r>
      <w:r>
        <w:rPr>
          <w:rFonts w:hint="eastAsia" w:cs="仿宋" w:asciiTheme="minorEastAsia" w:hAnsiTheme="minorEastAsia" w:eastAsiaTheme="minorEastAsia"/>
          <w:b w:val="0"/>
          <w:bCs w:val="0"/>
          <w:kern w:val="2"/>
          <w:sz w:val="24"/>
          <w:szCs w:val="24"/>
          <w:highlight w:val="none"/>
          <w:lang w:val="en-US" w:eastAsia="zh-CN" w:bidi="ar-SA"/>
        </w:rPr>
        <w:t>响应/偏离内容如未填写，视为完全响应。</w:t>
      </w:r>
    </w:p>
    <w:p>
      <w:pPr>
        <w:spacing w:afterLines="50" w:line="360" w:lineRule="auto"/>
        <w:ind w:firstLine="600" w:firstLineChars="2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val="en-US" w:eastAsia="zh-CN"/>
        </w:rPr>
        <w:t>3</w:t>
      </w:r>
      <w:r>
        <w:rPr>
          <w:rFonts w:hint="eastAsia" w:cs="仿宋" w:asciiTheme="minorEastAsia" w:hAnsiTheme="minorEastAsia" w:eastAsiaTheme="minorEastAsia"/>
          <w:color w:val="auto"/>
          <w:sz w:val="24"/>
          <w:szCs w:val="24"/>
          <w:highlight w:val="none"/>
        </w:rPr>
        <w:t>、投标人不按上述表格填写，所产生的一切后果由投标人承担。</w:t>
      </w:r>
    </w:p>
    <w:p>
      <w:pPr>
        <w:spacing w:line="400" w:lineRule="exact"/>
        <w:ind w:firstLine="482" w:firstLineChars="200"/>
        <w:rPr>
          <w:rFonts w:cs="仿宋" w:asciiTheme="minorEastAsia" w:hAnsiTheme="minorEastAsia" w:eastAsiaTheme="minorEastAsia"/>
          <w:b/>
          <w:color w:val="auto"/>
          <w:sz w:val="24"/>
          <w:szCs w:val="24"/>
          <w:highlight w:val="none"/>
          <w:u w:val="single"/>
        </w:rPr>
      </w:pPr>
    </w:p>
    <w:p>
      <w:pPr>
        <w:spacing w:line="400" w:lineRule="exact"/>
        <w:rPr>
          <w:rFonts w:hint="default" w:eastAsia="宋体" w:cs="仿宋" w:asciiTheme="minorEastAsia" w:hAnsiTheme="minorEastAsia"/>
          <w:color w:val="auto"/>
          <w:sz w:val="24"/>
          <w:szCs w:val="24"/>
          <w:highlight w:val="none"/>
          <w:lang w:val="en-US" w:eastAsia="zh-CN"/>
        </w:rPr>
      </w:pPr>
      <w:r>
        <w:rPr>
          <w:rFonts w:hint="eastAsia" w:ascii="宋体" w:hAnsi="宋体" w:eastAsia="宋体" w:cs="宋体"/>
          <w:b w:val="0"/>
          <w:bCs w:val="0"/>
          <w:color w:val="auto"/>
          <w:sz w:val="24"/>
          <w:highlight w:val="none"/>
        </w:rPr>
        <w:t>投标人盖章：</w:t>
      </w:r>
      <w:r>
        <w:rPr>
          <w:rFonts w:hint="eastAsia" w:cs="仿宋" w:asciiTheme="minorEastAsia" w:hAnsiTheme="minorEastAsia" w:eastAsiaTheme="minorEastAsia"/>
          <w:b w:val="0"/>
          <w:bCs w:val="0"/>
          <w:color w:val="auto"/>
          <w:sz w:val="24"/>
          <w:szCs w:val="24"/>
          <w:highlight w:val="none"/>
          <w:u w:val="single"/>
          <w:lang w:val="en-US" w:eastAsia="zh-CN"/>
        </w:rPr>
        <w:t xml:space="preserve">            </w:t>
      </w:r>
    </w:p>
    <w:p>
      <w:pPr>
        <w:rPr>
          <w:rFonts w:hint="eastAsia" w:cs="仿宋" w:asciiTheme="minorEastAsia" w:hAnsiTheme="minorEastAsia" w:eastAsiaTheme="minorEastAsia"/>
          <w:color w:val="auto"/>
          <w:sz w:val="24"/>
          <w:szCs w:val="24"/>
          <w:highlight w:val="none"/>
        </w:rPr>
      </w:pPr>
      <w:bookmarkStart w:id="81" w:name="_Toc474492114"/>
      <w:r>
        <w:rPr>
          <w:rFonts w:hint="eastAsia" w:cs="仿宋" w:asciiTheme="minorEastAsia" w:hAnsiTheme="minorEastAsia" w:eastAsiaTheme="minorEastAsia"/>
          <w:color w:val="auto"/>
          <w:sz w:val="24"/>
          <w:szCs w:val="24"/>
          <w:highlight w:val="none"/>
        </w:rPr>
        <w:br w:type="page"/>
      </w:r>
    </w:p>
    <w:p>
      <w:pPr>
        <w:pStyle w:val="6"/>
        <w:jc w:val="center"/>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格式6.商务条件响应/偏离表</w:t>
      </w:r>
      <w:bookmarkEnd w:id="81"/>
    </w:p>
    <w:p>
      <w:pPr>
        <w:spacing w:line="400" w:lineRule="exact"/>
        <w:rPr>
          <w:rFonts w:cs="仿宋" w:asciiTheme="minorEastAsia" w:hAnsiTheme="minorEastAsia" w:eastAsiaTheme="minorEastAsia"/>
          <w:color w:val="auto"/>
          <w:sz w:val="24"/>
          <w:szCs w:val="24"/>
          <w:highlight w:val="none"/>
          <w:u w:val="single"/>
        </w:rPr>
      </w:pPr>
    </w:p>
    <w:tbl>
      <w:tblPr>
        <w:tblStyle w:val="40"/>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974"/>
        <w:gridCol w:w="2457"/>
        <w:gridCol w:w="2457"/>
        <w:gridCol w:w="97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34" w:type="dxa"/>
            <w:vAlign w:val="center"/>
          </w:tcPr>
          <w:p>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序号</w:t>
            </w:r>
          </w:p>
        </w:tc>
        <w:tc>
          <w:tcPr>
            <w:tcW w:w="1974" w:type="dxa"/>
            <w:vAlign w:val="center"/>
          </w:tcPr>
          <w:p>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招标文件条目号</w:t>
            </w:r>
          </w:p>
        </w:tc>
        <w:tc>
          <w:tcPr>
            <w:tcW w:w="2457" w:type="dxa"/>
            <w:vAlign w:val="center"/>
          </w:tcPr>
          <w:p>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招标文件的商务条件</w:t>
            </w:r>
          </w:p>
        </w:tc>
        <w:tc>
          <w:tcPr>
            <w:tcW w:w="2457" w:type="dxa"/>
            <w:vAlign w:val="center"/>
          </w:tcPr>
          <w:p>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投标文件的商务响应</w:t>
            </w:r>
          </w:p>
        </w:tc>
        <w:tc>
          <w:tcPr>
            <w:tcW w:w="975" w:type="dxa"/>
            <w:vAlign w:val="center"/>
          </w:tcPr>
          <w:p>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响应/偏离</w:t>
            </w:r>
          </w:p>
        </w:tc>
        <w:tc>
          <w:tcPr>
            <w:tcW w:w="900" w:type="dxa"/>
            <w:vAlign w:val="center"/>
          </w:tcPr>
          <w:p>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34" w:type="dxa"/>
          </w:tcPr>
          <w:p>
            <w:pPr>
              <w:spacing w:line="400" w:lineRule="exact"/>
              <w:rPr>
                <w:rFonts w:cs="仿宋" w:asciiTheme="minorEastAsia" w:hAnsiTheme="minorEastAsia" w:eastAsiaTheme="minorEastAsia"/>
                <w:color w:val="auto"/>
                <w:sz w:val="24"/>
                <w:szCs w:val="24"/>
                <w:highlight w:val="none"/>
              </w:rPr>
            </w:pPr>
          </w:p>
        </w:tc>
        <w:tc>
          <w:tcPr>
            <w:tcW w:w="1974" w:type="dxa"/>
          </w:tcPr>
          <w:p>
            <w:pPr>
              <w:spacing w:line="400" w:lineRule="exact"/>
              <w:rPr>
                <w:rFonts w:cs="仿宋" w:asciiTheme="minorEastAsia" w:hAnsiTheme="minorEastAsia" w:eastAsiaTheme="minorEastAsia"/>
                <w:color w:val="auto"/>
                <w:sz w:val="24"/>
                <w:szCs w:val="24"/>
                <w:highlight w:val="none"/>
              </w:rPr>
            </w:pPr>
          </w:p>
        </w:tc>
        <w:tc>
          <w:tcPr>
            <w:tcW w:w="2457" w:type="dxa"/>
          </w:tcPr>
          <w:p>
            <w:pPr>
              <w:spacing w:line="400" w:lineRule="exact"/>
              <w:rPr>
                <w:rFonts w:cs="仿宋" w:asciiTheme="minorEastAsia" w:hAnsiTheme="minorEastAsia" w:eastAsiaTheme="minorEastAsia"/>
                <w:color w:val="auto"/>
                <w:sz w:val="24"/>
                <w:szCs w:val="24"/>
                <w:highlight w:val="none"/>
              </w:rPr>
            </w:pPr>
          </w:p>
        </w:tc>
        <w:tc>
          <w:tcPr>
            <w:tcW w:w="2457" w:type="dxa"/>
          </w:tcPr>
          <w:p>
            <w:pPr>
              <w:spacing w:line="400" w:lineRule="exact"/>
              <w:rPr>
                <w:rFonts w:cs="仿宋" w:asciiTheme="minorEastAsia" w:hAnsiTheme="minorEastAsia" w:eastAsiaTheme="minorEastAsia"/>
                <w:color w:val="auto"/>
                <w:sz w:val="24"/>
                <w:szCs w:val="24"/>
                <w:highlight w:val="none"/>
              </w:rPr>
            </w:pPr>
          </w:p>
        </w:tc>
        <w:tc>
          <w:tcPr>
            <w:tcW w:w="975" w:type="dxa"/>
          </w:tcPr>
          <w:p>
            <w:pPr>
              <w:spacing w:line="400" w:lineRule="exact"/>
              <w:rPr>
                <w:rFonts w:cs="仿宋" w:asciiTheme="minorEastAsia" w:hAnsiTheme="minorEastAsia" w:eastAsiaTheme="minorEastAsia"/>
                <w:color w:val="auto"/>
                <w:sz w:val="24"/>
                <w:szCs w:val="24"/>
                <w:highlight w:val="none"/>
              </w:rPr>
            </w:pPr>
          </w:p>
        </w:tc>
        <w:tc>
          <w:tcPr>
            <w:tcW w:w="900" w:type="dxa"/>
          </w:tcPr>
          <w:p>
            <w:pPr>
              <w:spacing w:line="400" w:lineRule="exact"/>
              <w:rPr>
                <w:rFonts w:cs="仿宋"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34" w:type="dxa"/>
          </w:tcPr>
          <w:p>
            <w:pPr>
              <w:spacing w:line="400" w:lineRule="exact"/>
              <w:rPr>
                <w:rFonts w:cs="仿宋" w:asciiTheme="minorEastAsia" w:hAnsiTheme="minorEastAsia" w:eastAsiaTheme="minorEastAsia"/>
                <w:color w:val="auto"/>
                <w:sz w:val="24"/>
                <w:szCs w:val="24"/>
                <w:highlight w:val="none"/>
              </w:rPr>
            </w:pPr>
          </w:p>
        </w:tc>
        <w:tc>
          <w:tcPr>
            <w:tcW w:w="1974" w:type="dxa"/>
          </w:tcPr>
          <w:p>
            <w:pPr>
              <w:spacing w:line="400" w:lineRule="exact"/>
              <w:rPr>
                <w:rFonts w:cs="仿宋" w:asciiTheme="minorEastAsia" w:hAnsiTheme="minorEastAsia" w:eastAsiaTheme="minorEastAsia"/>
                <w:color w:val="auto"/>
                <w:sz w:val="24"/>
                <w:szCs w:val="24"/>
                <w:highlight w:val="none"/>
              </w:rPr>
            </w:pPr>
          </w:p>
        </w:tc>
        <w:tc>
          <w:tcPr>
            <w:tcW w:w="2457" w:type="dxa"/>
          </w:tcPr>
          <w:p>
            <w:pPr>
              <w:spacing w:line="400" w:lineRule="exact"/>
              <w:rPr>
                <w:rFonts w:cs="仿宋" w:asciiTheme="minorEastAsia" w:hAnsiTheme="minorEastAsia" w:eastAsiaTheme="minorEastAsia"/>
                <w:color w:val="auto"/>
                <w:sz w:val="24"/>
                <w:szCs w:val="24"/>
                <w:highlight w:val="none"/>
              </w:rPr>
            </w:pPr>
          </w:p>
        </w:tc>
        <w:tc>
          <w:tcPr>
            <w:tcW w:w="2457" w:type="dxa"/>
          </w:tcPr>
          <w:p>
            <w:pPr>
              <w:spacing w:line="400" w:lineRule="exact"/>
              <w:rPr>
                <w:rFonts w:cs="仿宋" w:asciiTheme="minorEastAsia" w:hAnsiTheme="minorEastAsia" w:eastAsiaTheme="minorEastAsia"/>
                <w:color w:val="auto"/>
                <w:sz w:val="24"/>
                <w:szCs w:val="24"/>
                <w:highlight w:val="none"/>
              </w:rPr>
            </w:pPr>
          </w:p>
        </w:tc>
        <w:tc>
          <w:tcPr>
            <w:tcW w:w="975" w:type="dxa"/>
          </w:tcPr>
          <w:p>
            <w:pPr>
              <w:spacing w:line="400" w:lineRule="exact"/>
              <w:rPr>
                <w:rFonts w:cs="仿宋" w:asciiTheme="minorEastAsia" w:hAnsiTheme="minorEastAsia" w:eastAsiaTheme="minorEastAsia"/>
                <w:color w:val="auto"/>
                <w:sz w:val="24"/>
                <w:szCs w:val="24"/>
                <w:highlight w:val="none"/>
              </w:rPr>
            </w:pPr>
          </w:p>
        </w:tc>
        <w:tc>
          <w:tcPr>
            <w:tcW w:w="900" w:type="dxa"/>
          </w:tcPr>
          <w:p>
            <w:pPr>
              <w:spacing w:line="400" w:lineRule="exact"/>
              <w:rPr>
                <w:rFonts w:cs="仿宋"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34" w:type="dxa"/>
          </w:tcPr>
          <w:p>
            <w:pPr>
              <w:spacing w:line="400" w:lineRule="exact"/>
              <w:rPr>
                <w:rFonts w:cs="仿宋" w:asciiTheme="minorEastAsia" w:hAnsiTheme="minorEastAsia" w:eastAsiaTheme="minorEastAsia"/>
                <w:color w:val="auto"/>
                <w:sz w:val="24"/>
                <w:szCs w:val="24"/>
                <w:highlight w:val="none"/>
              </w:rPr>
            </w:pPr>
          </w:p>
        </w:tc>
        <w:tc>
          <w:tcPr>
            <w:tcW w:w="1974" w:type="dxa"/>
          </w:tcPr>
          <w:p>
            <w:pPr>
              <w:spacing w:line="400" w:lineRule="exact"/>
              <w:rPr>
                <w:rFonts w:cs="仿宋" w:asciiTheme="minorEastAsia" w:hAnsiTheme="minorEastAsia" w:eastAsiaTheme="minorEastAsia"/>
                <w:color w:val="auto"/>
                <w:sz w:val="24"/>
                <w:szCs w:val="24"/>
                <w:highlight w:val="none"/>
              </w:rPr>
            </w:pPr>
          </w:p>
        </w:tc>
        <w:tc>
          <w:tcPr>
            <w:tcW w:w="2457" w:type="dxa"/>
          </w:tcPr>
          <w:p>
            <w:pPr>
              <w:spacing w:line="400" w:lineRule="exact"/>
              <w:rPr>
                <w:rFonts w:cs="仿宋" w:asciiTheme="minorEastAsia" w:hAnsiTheme="minorEastAsia" w:eastAsiaTheme="minorEastAsia"/>
                <w:color w:val="auto"/>
                <w:sz w:val="24"/>
                <w:szCs w:val="24"/>
                <w:highlight w:val="none"/>
              </w:rPr>
            </w:pPr>
          </w:p>
        </w:tc>
        <w:tc>
          <w:tcPr>
            <w:tcW w:w="2457" w:type="dxa"/>
          </w:tcPr>
          <w:p>
            <w:pPr>
              <w:spacing w:line="400" w:lineRule="exact"/>
              <w:rPr>
                <w:rFonts w:cs="仿宋" w:asciiTheme="minorEastAsia" w:hAnsiTheme="minorEastAsia" w:eastAsiaTheme="minorEastAsia"/>
                <w:color w:val="auto"/>
                <w:sz w:val="24"/>
                <w:szCs w:val="24"/>
                <w:highlight w:val="none"/>
              </w:rPr>
            </w:pPr>
          </w:p>
        </w:tc>
        <w:tc>
          <w:tcPr>
            <w:tcW w:w="975" w:type="dxa"/>
          </w:tcPr>
          <w:p>
            <w:pPr>
              <w:spacing w:line="400" w:lineRule="exact"/>
              <w:rPr>
                <w:rFonts w:cs="仿宋" w:asciiTheme="minorEastAsia" w:hAnsiTheme="minorEastAsia" w:eastAsiaTheme="minorEastAsia"/>
                <w:color w:val="auto"/>
                <w:sz w:val="24"/>
                <w:szCs w:val="24"/>
                <w:highlight w:val="none"/>
              </w:rPr>
            </w:pPr>
          </w:p>
        </w:tc>
        <w:tc>
          <w:tcPr>
            <w:tcW w:w="900" w:type="dxa"/>
          </w:tcPr>
          <w:p>
            <w:pPr>
              <w:spacing w:line="400" w:lineRule="exact"/>
              <w:rPr>
                <w:rFonts w:cs="仿宋"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34" w:type="dxa"/>
          </w:tcPr>
          <w:p>
            <w:pPr>
              <w:spacing w:line="400" w:lineRule="exact"/>
              <w:rPr>
                <w:rFonts w:cs="仿宋" w:asciiTheme="minorEastAsia" w:hAnsiTheme="minorEastAsia" w:eastAsiaTheme="minorEastAsia"/>
                <w:color w:val="auto"/>
                <w:sz w:val="24"/>
                <w:szCs w:val="24"/>
                <w:highlight w:val="none"/>
              </w:rPr>
            </w:pPr>
          </w:p>
        </w:tc>
        <w:tc>
          <w:tcPr>
            <w:tcW w:w="1974" w:type="dxa"/>
          </w:tcPr>
          <w:p>
            <w:pPr>
              <w:spacing w:line="400" w:lineRule="exact"/>
              <w:rPr>
                <w:rFonts w:cs="仿宋" w:asciiTheme="minorEastAsia" w:hAnsiTheme="minorEastAsia" w:eastAsiaTheme="minorEastAsia"/>
                <w:color w:val="auto"/>
                <w:sz w:val="24"/>
                <w:szCs w:val="24"/>
                <w:highlight w:val="none"/>
              </w:rPr>
            </w:pPr>
          </w:p>
        </w:tc>
        <w:tc>
          <w:tcPr>
            <w:tcW w:w="2457" w:type="dxa"/>
          </w:tcPr>
          <w:p>
            <w:pPr>
              <w:spacing w:line="400" w:lineRule="exact"/>
              <w:rPr>
                <w:rFonts w:cs="仿宋" w:asciiTheme="minorEastAsia" w:hAnsiTheme="minorEastAsia" w:eastAsiaTheme="minorEastAsia"/>
                <w:color w:val="auto"/>
                <w:sz w:val="24"/>
                <w:szCs w:val="24"/>
                <w:highlight w:val="none"/>
              </w:rPr>
            </w:pPr>
          </w:p>
        </w:tc>
        <w:tc>
          <w:tcPr>
            <w:tcW w:w="2457" w:type="dxa"/>
          </w:tcPr>
          <w:p>
            <w:pPr>
              <w:spacing w:line="400" w:lineRule="exact"/>
              <w:rPr>
                <w:rFonts w:cs="仿宋" w:asciiTheme="minorEastAsia" w:hAnsiTheme="minorEastAsia" w:eastAsiaTheme="minorEastAsia"/>
                <w:color w:val="auto"/>
                <w:sz w:val="24"/>
                <w:szCs w:val="24"/>
                <w:highlight w:val="none"/>
              </w:rPr>
            </w:pPr>
          </w:p>
        </w:tc>
        <w:tc>
          <w:tcPr>
            <w:tcW w:w="975" w:type="dxa"/>
          </w:tcPr>
          <w:p>
            <w:pPr>
              <w:spacing w:line="400" w:lineRule="exact"/>
              <w:rPr>
                <w:rFonts w:cs="仿宋" w:asciiTheme="minorEastAsia" w:hAnsiTheme="minorEastAsia" w:eastAsiaTheme="minorEastAsia"/>
                <w:color w:val="auto"/>
                <w:sz w:val="24"/>
                <w:szCs w:val="24"/>
                <w:highlight w:val="none"/>
              </w:rPr>
            </w:pPr>
          </w:p>
        </w:tc>
        <w:tc>
          <w:tcPr>
            <w:tcW w:w="900" w:type="dxa"/>
          </w:tcPr>
          <w:p>
            <w:pPr>
              <w:spacing w:line="400" w:lineRule="exact"/>
              <w:rPr>
                <w:rFonts w:cs="仿宋"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34" w:type="dxa"/>
          </w:tcPr>
          <w:p>
            <w:pPr>
              <w:spacing w:line="400" w:lineRule="exact"/>
              <w:rPr>
                <w:rFonts w:cs="仿宋" w:asciiTheme="minorEastAsia" w:hAnsiTheme="minorEastAsia" w:eastAsiaTheme="minorEastAsia"/>
                <w:color w:val="auto"/>
                <w:sz w:val="24"/>
                <w:szCs w:val="24"/>
                <w:highlight w:val="none"/>
              </w:rPr>
            </w:pPr>
          </w:p>
        </w:tc>
        <w:tc>
          <w:tcPr>
            <w:tcW w:w="1974" w:type="dxa"/>
          </w:tcPr>
          <w:p>
            <w:pPr>
              <w:spacing w:line="400" w:lineRule="exact"/>
              <w:rPr>
                <w:rFonts w:cs="仿宋" w:asciiTheme="minorEastAsia" w:hAnsiTheme="minorEastAsia" w:eastAsiaTheme="minorEastAsia"/>
                <w:color w:val="auto"/>
                <w:sz w:val="24"/>
                <w:szCs w:val="24"/>
                <w:highlight w:val="none"/>
              </w:rPr>
            </w:pPr>
          </w:p>
        </w:tc>
        <w:tc>
          <w:tcPr>
            <w:tcW w:w="2457" w:type="dxa"/>
          </w:tcPr>
          <w:p>
            <w:pPr>
              <w:spacing w:line="400" w:lineRule="exact"/>
              <w:rPr>
                <w:rFonts w:cs="仿宋" w:asciiTheme="minorEastAsia" w:hAnsiTheme="minorEastAsia" w:eastAsiaTheme="minorEastAsia"/>
                <w:color w:val="auto"/>
                <w:sz w:val="24"/>
                <w:szCs w:val="24"/>
                <w:highlight w:val="none"/>
              </w:rPr>
            </w:pPr>
          </w:p>
        </w:tc>
        <w:tc>
          <w:tcPr>
            <w:tcW w:w="2457" w:type="dxa"/>
          </w:tcPr>
          <w:p>
            <w:pPr>
              <w:spacing w:line="400" w:lineRule="exact"/>
              <w:rPr>
                <w:rFonts w:cs="仿宋" w:asciiTheme="minorEastAsia" w:hAnsiTheme="minorEastAsia" w:eastAsiaTheme="minorEastAsia"/>
                <w:color w:val="auto"/>
                <w:sz w:val="24"/>
                <w:szCs w:val="24"/>
                <w:highlight w:val="none"/>
              </w:rPr>
            </w:pPr>
          </w:p>
        </w:tc>
        <w:tc>
          <w:tcPr>
            <w:tcW w:w="975" w:type="dxa"/>
          </w:tcPr>
          <w:p>
            <w:pPr>
              <w:spacing w:line="400" w:lineRule="exact"/>
              <w:rPr>
                <w:rFonts w:cs="仿宋" w:asciiTheme="minorEastAsia" w:hAnsiTheme="minorEastAsia" w:eastAsiaTheme="minorEastAsia"/>
                <w:color w:val="auto"/>
                <w:sz w:val="24"/>
                <w:szCs w:val="24"/>
                <w:highlight w:val="none"/>
              </w:rPr>
            </w:pPr>
          </w:p>
        </w:tc>
        <w:tc>
          <w:tcPr>
            <w:tcW w:w="900" w:type="dxa"/>
          </w:tcPr>
          <w:p>
            <w:pPr>
              <w:spacing w:line="400" w:lineRule="exact"/>
              <w:rPr>
                <w:rFonts w:cs="仿宋"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34" w:type="dxa"/>
          </w:tcPr>
          <w:p>
            <w:pPr>
              <w:spacing w:line="400" w:lineRule="exact"/>
              <w:rPr>
                <w:rFonts w:cs="仿宋" w:asciiTheme="minorEastAsia" w:hAnsiTheme="minorEastAsia" w:eastAsiaTheme="minorEastAsia"/>
                <w:color w:val="auto"/>
                <w:sz w:val="24"/>
                <w:szCs w:val="24"/>
                <w:highlight w:val="none"/>
              </w:rPr>
            </w:pPr>
          </w:p>
        </w:tc>
        <w:tc>
          <w:tcPr>
            <w:tcW w:w="1974" w:type="dxa"/>
          </w:tcPr>
          <w:p>
            <w:pPr>
              <w:spacing w:line="400" w:lineRule="exact"/>
              <w:rPr>
                <w:rFonts w:cs="仿宋" w:asciiTheme="minorEastAsia" w:hAnsiTheme="minorEastAsia" w:eastAsiaTheme="minorEastAsia"/>
                <w:color w:val="auto"/>
                <w:sz w:val="24"/>
                <w:szCs w:val="24"/>
                <w:highlight w:val="none"/>
              </w:rPr>
            </w:pPr>
          </w:p>
        </w:tc>
        <w:tc>
          <w:tcPr>
            <w:tcW w:w="2457" w:type="dxa"/>
          </w:tcPr>
          <w:p>
            <w:pPr>
              <w:spacing w:line="400" w:lineRule="exact"/>
              <w:rPr>
                <w:rFonts w:cs="仿宋" w:asciiTheme="minorEastAsia" w:hAnsiTheme="minorEastAsia" w:eastAsiaTheme="minorEastAsia"/>
                <w:color w:val="auto"/>
                <w:sz w:val="24"/>
                <w:szCs w:val="24"/>
                <w:highlight w:val="none"/>
              </w:rPr>
            </w:pPr>
          </w:p>
        </w:tc>
        <w:tc>
          <w:tcPr>
            <w:tcW w:w="2457" w:type="dxa"/>
          </w:tcPr>
          <w:p>
            <w:pPr>
              <w:spacing w:line="400" w:lineRule="exact"/>
              <w:rPr>
                <w:rFonts w:cs="仿宋" w:asciiTheme="minorEastAsia" w:hAnsiTheme="minorEastAsia" w:eastAsiaTheme="minorEastAsia"/>
                <w:color w:val="auto"/>
                <w:sz w:val="24"/>
                <w:szCs w:val="24"/>
                <w:highlight w:val="none"/>
              </w:rPr>
            </w:pPr>
          </w:p>
        </w:tc>
        <w:tc>
          <w:tcPr>
            <w:tcW w:w="975" w:type="dxa"/>
          </w:tcPr>
          <w:p>
            <w:pPr>
              <w:spacing w:line="400" w:lineRule="exact"/>
              <w:rPr>
                <w:rFonts w:cs="仿宋" w:asciiTheme="minorEastAsia" w:hAnsiTheme="minorEastAsia" w:eastAsiaTheme="minorEastAsia"/>
                <w:color w:val="auto"/>
                <w:sz w:val="24"/>
                <w:szCs w:val="24"/>
                <w:highlight w:val="none"/>
              </w:rPr>
            </w:pPr>
          </w:p>
        </w:tc>
        <w:tc>
          <w:tcPr>
            <w:tcW w:w="900" w:type="dxa"/>
          </w:tcPr>
          <w:p>
            <w:pPr>
              <w:spacing w:line="400" w:lineRule="exact"/>
              <w:rPr>
                <w:rFonts w:cs="仿宋"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34" w:type="dxa"/>
          </w:tcPr>
          <w:p>
            <w:pPr>
              <w:spacing w:line="400" w:lineRule="exact"/>
              <w:rPr>
                <w:rFonts w:cs="仿宋" w:asciiTheme="minorEastAsia" w:hAnsiTheme="minorEastAsia" w:eastAsiaTheme="minorEastAsia"/>
                <w:color w:val="auto"/>
                <w:sz w:val="24"/>
                <w:szCs w:val="24"/>
                <w:highlight w:val="none"/>
              </w:rPr>
            </w:pPr>
          </w:p>
        </w:tc>
        <w:tc>
          <w:tcPr>
            <w:tcW w:w="1974" w:type="dxa"/>
          </w:tcPr>
          <w:p>
            <w:pPr>
              <w:spacing w:line="400" w:lineRule="exact"/>
              <w:rPr>
                <w:rFonts w:cs="仿宋" w:asciiTheme="minorEastAsia" w:hAnsiTheme="minorEastAsia" w:eastAsiaTheme="minorEastAsia"/>
                <w:color w:val="auto"/>
                <w:sz w:val="24"/>
                <w:szCs w:val="24"/>
                <w:highlight w:val="none"/>
              </w:rPr>
            </w:pPr>
          </w:p>
        </w:tc>
        <w:tc>
          <w:tcPr>
            <w:tcW w:w="2457" w:type="dxa"/>
          </w:tcPr>
          <w:p>
            <w:pPr>
              <w:spacing w:line="400" w:lineRule="exact"/>
              <w:rPr>
                <w:rFonts w:cs="仿宋" w:asciiTheme="minorEastAsia" w:hAnsiTheme="minorEastAsia" w:eastAsiaTheme="minorEastAsia"/>
                <w:color w:val="auto"/>
                <w:sz w:val="24"/>
                <w:szCs w:val="24"/>
                <w:highlight w:val="none"/>
              </w:rPr>
            </w:pPr>
          </w:p>
        </w:tc>
        <w:tc>
          <w:tcPr>
            <w:tcW w:w="2457" w:type="dxa"/>
          </w:tcPr>
          <w:p>
            <w:pPr>
              <w:spacing w:line="400" w:lineRule="exact"/>
              <w:rPr>
                <w:rFonts w:cs="仿宋" w:asciiTheme="minorEastAsia" w:hAnsiTheme="minorEastAsia" w:eastAsiaTheme="minorEastAsia"/>
                <w:color w:val="auto"/>
                <w:sz w:val="24"/>
                <w:szCs w:val="24"/>
                <w:highlight w:val="none"/>
              </w:rPr>
            </w:pPr>
          </w:p>
        </w:tc>
        <w:tc>
          <w:tcPr>
            <w:tcW w:w="975" w:type="dxa"/>
          </w:tcPr>
          <w:p>
            <w:pPr>
              <w:spacing w:line="400" w:lineRule="exact"/>
              <w:rPr>
                <w:rFonts w:cs="仿宋" w:asciiTheme="minorEastAsia" w:hAnsiTheme="minorEastAsia" w:eastAsiaTheme="minorEastAsia"/>
                <w:color w:val="auto"/>
                <w:sz w:val="24"/>
                <w:szCs w:val="24"/>
                <w:highlight w:val="none"/>
              </w:rPr>
            </w:pPr>
          </w:p>
        </w:tc>
        <w:tc>
          <w:tcPr>
            <w:tcW w:w="900" w:type="dxa"/>
          </w:tcPr>
          <w:p>
            <w:pPr>
              <w:spacing w:line="400" w:lineRule="exact"/>
              <w:rPr>
                <w:rFonts w:cs="仿宋"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34" w:type="dxa"/>
          </w:tcPr>
          <w:p>
            <w:pPr>
              <w:spacing w:line="400" w:lineRule="exact"/>
              <w:rPr>
                <w:rFonts w:cs="仿宋" w:asciiTheme="minorEastAsia" w:hAnsiTheme="minorEastAsia" w:eastAsiaTheme="minorEastAsia"/>
                <w:color w:val="auto"/>
                <w:sz w:val="24"/>
                <w:szCs w:val="24"/>
                <w:highlight w:val="none"/>
              </w:rPr>
            </w:pPr>
          </w:p>
        </w:tc>
        <w:tc>
          <w:tcPr>
            <w:tcW w:w="1974" w:type="dxa"/>
          </w:tcPr>
          <w:p>
            <w:pPr>
              <w:spacing w:line="400" w:lineRule="exact"/>
              <w:rPr>
                <w:rFonts w:cs="仿宋" w:asciiTheme="minorEastAsia" w:hAnsiTheme="minorEastAsia" w:eastAsiaTheme="minorEastAsia"/>
                <w:color w:val="auto"/>
                <w:sz w:val="24"/>
                <w:szCs w:val="24"/>
                <w:highlight w:val="none"/>
              </w:rPr>
            </w:pPr>
          </w:p>
        </w:tc>
        <w:tc>
          <w:tcPr>
            <w:tcW w:w="2457" w:type="dxa"/>
          </w:tcPr>
          <w:p>
            <w:pPr>
              <w:spacing w:line="400" w:lineRule="exact"/>
              <w:rPr>
                <w:rFonts w:cs="仿宋" w:asciiTheme="minorEastAsia" w:hAnsiTheme="minorEastAsia" w:eastAsiaTheme="minorEastAsia"/>
                <w:color w:val="auto"/>
                <w:sz w:val="24"/>
                <w:szCs w:val="24"/>
                <w:highlight w:val="none"/>
              </w:rPr>
            </w:pPr>
          </w:p>
        </w:tc>
        <w:tc>
          <w:tcPr>
            <w:tcW w:w="2457" w:type="dxa"/>
          </w:tcPr>
          <w:p>
            <w:pPr>
              <w:spacing w:line="400" w:lineRule="exact"/>
              <w:rPr>
                <w:rFonts w:cs="仿宋" w:asciiTheme="minorEastAsia" w:hAnsiTheme="minorEastAsia" w:eastAsiaTheme="minorEastAsia"/>
                <w:color w:val="auto"/>
                <w:sz w:val="24"/>
                <w:szCs w:val="24"/>
                <w:highlight w:val="none"/>
              </w:rPr>
            </w:pPr>
          </w:p>
        </w:tc>
        <w:tc>
          <w:tcPr>
            <w:tcW w:w="975" w:type="dxa"/>
          </w:tcPr>
          <w:p>
            <w:pPr>
              <w:spacing w:line="400" w:lineRule="exact"/>
              <w:rPr>
                <w:rFonts w:cs="仿宋" w:asciiTheme="minorEastAsia" w:hAnsiTheme="minorEastAsia" w:eastAsiaTheme="minorEastAsia"/>
                <w:color w:val="auto"/>
                <w:sz w:val="24"/>
                <w:szCs w:val="24"/>
                <w:highlight w:val="none"/>
              </w:rPr>
            </w:pPr>
          </w:p>
        </w:tc>
        <w:tc>
          <w:tcPr>
            <w:tcW w:w="900" w:type="dxa"/>
          </w:tcPr>
          <w:p>
            <w:pPr>
              <w:spacing w:line="400" w:lineRule="exact"/>
              <w:rPr>
                <w:rFonts w:cs="仿宋" w:asciiTheme="minorEastAsia" w:hAnsiTheme="minorEastAsia" w:eastAsiaTheme="minorEastAsia"/>
                <w:color w:val="auto"/>
                <w:sz w:val="24"/>
                <w:szCs w:val="24"/>
                <w:highlight w:val="none"/>
              </w:rPr>
            </w:pPr>
          </w:p>
        </w:tc>
      </w:tr>
    </w:tbl>
    <w:p>
      <w:pPr>
        <w:spacing w:line="400" w:lineRule="exact"/>
        <w:rPr>
          <w:rFonts w:cs="仿宋" w:asciiTheme="minorEastAsia" w:hAnsiTheme="minorEastAsia" w:eastAsiaTheme="minorEastAsia"/>
          <w:color w:val="auto"/>
          <w:sz w:val="24"/>
          <w:szCs w:val="24"/>
          <w:highlight w:val="none"/>
        </w:rPr>
      </w:pPr>
    </w:p>
    <w:p>
      <w:pPr>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b/>
          <w:color w:val="auto"/>
          <w:sz w:val="24"/>
          <w:szCs w:val="24"/>
          <w:highlight w:val="none"/>
        </w:rPr>
        <w:t>注：</w:t>
      </w:r>
      <w:r>
        <w:rPr>
          <w:rFonts w:hint="eastAsia" w:cs="仿宋" w:asciiTheme="minorEastAsia" w:hAnsiTheme="minorEastAsia" w:eastAsiaTheme="minorEastAsia"/>
          <w:color w:val="auto"/>
          <w:sz w:val="24"/>
          <w:szCs w:val="24"/>
          <w:highlight w:val="none"/>
        </w:rPr>
        <w:t xml:space="preserve"> 1、响应/偏离内容应在说明栏中说明该条款在投标文件中（或页码）的依据；</w:t>
      </w:r>
    </w:p>
    <w:p>
      <w:pPr>
        <w:numPr>
          <w:ilvl w:val="0"/>
          <w:numId w:val="4"/>
        </w:numPr>
        <w:spacing w:line="432" w:lineRule="auto"/>
        <w:ind w:firstLine="600" w:firstLineChars="25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商务条款包括交货期、付款方式、质保期、验收及售后服务等内容；</w:t>
      </w:r>
    </w:p>
    <w:p>
      <w:pPr>
        <w:pStyle w:val="38"/>
        <w:numPr>
          <w:ilvl w:val="0"/>
          <w:numId w:val="0"/>
        </w:numPr>
        <w:spacing w:after="0"/>
        <w:ind w:firstLine="480" w:firstLineChars="200"/>
        <w:rPr>
          <w:rFonts w:hint="default" w:eastAsiaTheme="minorEastAsia"/>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 xml:space="preserve"> 3、</w:t>
      </w:r>
      <w:r>
        <w:rPr>
          <w:rFonts w:hint="eastAsia" w:cs="仿宋" w:asciiTheme="minorEastAsia" w:hAnsiTheme="minorEastAsia" w:eastAsiaTheme="minorEastAsia"/>
          <w:b w:val="0"/>
          <w:bCs w:val="0"/>
          <w:kern w:val="2"/>
          <w:sz w:val="24"/>
          <w:szCs w:val="24"/>
          <w:highlight w:val="none"/>
          <w:lang w:val="en-US" w:eastAsia="zh-CN" w:bidi="ar-SA"/>
        </w:rPr>
        <w:t>响应/偏离内容如未填写，视为完全响应。</w:t>
      </w:r>
    </w:p>
    <w:p>
      <w:pPr>
        <w:spacing w:afterLines="50" w:line="360" w:lineRule="auto"/>
        <w:ind w:firstLine="600" w:firstLineChars="2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val="en-US" w:eastAsia="zh-CN"/>
        </w:rPr>
        <w:t>4</w:t>
      </w:r>
      <w:r>
        <w:rPr>
          <w:rFonts w:hint="eastAsia" w:cs="仿宋" w:asciiTheme="minorEastAsia" w:hAnsiTheme="minorEastAsia" w:eastAsiaTheme="minorEastAsia"/>
          <w:color w:val="auto"/>
          <w:sz w:val="24"/>
          <w:szCs w:val="24"/>
          <w:highlight w:val="none"/>
        </w:rPr>
        <w:t>、投标人不按上述表格填写，所产生的一切后果由投标人承担。</w:t>
      </w:r>
    </w:p>
    <w:p>
      <w:pPr>
        <w:rPr>
          <w:rFonts w:cs="仿宋" w:asciiTheme="minorEastAsia" w:hAnsiTheme="minorEastAsia" w:eastAsiaTheme="minorEastAsia"/>
          <w:color w:val="auto"/>
          <w:sz w:val="24"/>
          <w:szCs w:val="24"/>
          <w:highlight w:val="none"/>
        </w:rPr>
      </w:pPr>
    </w:p>
    <w:p>
      <w:pPr>
        <w:pageBreakBefore w:val="0"/>
        <w:kinsoku/>
        <w:wordWrap/>
        <w:overflowPunct/>
        <w:topLinePunct w:val="0"/>
        <w:bidi w:val="0"/>
        <w:spacing w:line="360" w:lineRule="auto"/>
        <w:textAlignment w:val="auto"/>
        <w:rPr>
          <w:rFonts w:hint="default"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highlight w:val="none"/>
        </w:rPr>
        <w:t>投标人盖章：</w:t>
      </w:r>
      <w:r>
        <w:rPr>
          <w:rFonts w:hint="eastAsia" w:ascii="宋体" w:hAnsi="宋体" w:cs="宋体"/>
          <w:b w:val="0"/>
          <w:bCs w:val="0"/>
          <w:color w:val="auto"/>
          <w:sz w:val="24"/>
          <w:highlight w:val="none"/>
          <w:u w:val="single"/>
          <w:lang w:val="en-US" w:eastAsia="zh-CN"/>
        </w:rPr>
        <w:t xml:space="preserve">           </w:t>
      </w:r>
    </w:p>
    <w:p>
      <w:pPr>
        <w:pStyle w:val="6"/>
        <w:jc w:val="center"/>
        <w:outlineLvl w:val="3"/>
        <w:rPr>
          <w:rFonts w:cs="仿宋" w:asciiTheme="minorEastAsia" w:hAnsiTheme="minorEastAsia" w:eastAsiaTheme="minorEastAsia"/>
          <w:b/>
          <w:color w:val="auto"/>
          <w:sz w:val="24"/>
          <w:szCs w:val="24"/>
          <w:highlight w:val="none"/>
        </w:rPr>
      </w:pPr>
      <w:r>
        <w:rPr>
          <w:rFonts w:hint="eastAsia" w:cs="仿宋" w:asciiTheme="minorEastAsia" w:hAnsiTheme="minorEastAsia" w:eastAsiaTheme="minorEastAsia"/>
          <w:color w:val="auto"/>
          <w:sz w:val="24"/>
          <w:szCs w:val="24"/>
          <w:highlight w:val="none"/>
          <w:u w:val="single"/>
        </w:rPr>
        <w:br w:type="page"/>
      </w:r>
      <w:r>
        <w:rPr>
          <w:rFonts w:hint="eastAsia" w:cs="仿宋" w:asciiTheme="minorEastAsia" w:hAnsiTheme="minorEastAsia" w:eastAsiaTheme="minorEastAsia"/>
          <w:b/>
          <w:color w:val="auto"/>
          <w:sz w:val="24"/>
          <w:szCs w:val="24"/>
          <w:highlight w:val="none"/>
        </w:rPr>
        <w:t>7、投标人应当提交的资格、资信证明文件</w:t>
      </w:r>
    </w:p>
    <w:p>
      <w:pPr>
        <w:pStyle w:val="6"/>
        <w:spacing w:after="0"/>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格式7-1具有独立承担民事责任的能力的资格证明文件</w:t>
      </w:r>
    </w:p>
    <w:p>
      <w:pPr>
        <w:spacing w:beforeLines="50" w:line="400" w:lineRule="exact"/>
        <w:ind w:left="420" w:left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如投标人是企业的（包括合伙企业）应提供有效的“企业法人营业执照”或“营业执照”；如投标人是事业单位的应提供“事业单位法人证书”；如投标人是非企业专业服务机构的应提供执业许可证等证明文件； 投标人是个体工商户的应提供有效的“个体工商户营业执照”、组织机构代码证证明文件（实行“统一社会信用代码”的不需单独提供组织机构代码证）；如投标人是自然人的，应提供有效的自然人的身份证明(中国公民)。 </w:t>
      </w:r>
    </w:p>
    <w:p>
      <w:pPr>
        <w:pStyle w:val="6"/>
        <w:spacing w:after="0"/>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格式7-2具有良好的商业信誉和健全的财务会计制度的证明文件</w:t>
      </w:r>
    </w:p>
    <w:p>
      <w:pPr>
        <w:spacing w:line="400" w:lineRule="exact"/>
        <w:ind w:left="420" w:left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投标人是法人的，提供开标前二个年度内任一年度经审计的财务状况报告，或在开标前三个月内其基本开户银行出具的资信证明；其他组织和自然人，没有经审计的财务报告，可以提供在开标前三个月内银行出具的资信证明；个体工商户提供开标前</w:t>
      </w:r>
      <w:r>
        <w:rPr>
          <w:rFonts w:hint="eastAsia" w:cs="仿宋" w:asciiTheme="minorEastAsia" w:hAnsiTheme="minorEastAsia" w:eastAsiaTheme="minorEastAsia"/>
          <w:color w:val="auto"/>
          <w:sz w:val="24"/>
          <w:highlight w:val="none"/>
        </w:rPr>
        <w:t>三</w:t>
      </w:r>
      <w:r>
        <w:rPr>
          <w:rFonts w:hint="eastAsia" w:cs="仿宋" w:asciiTheme="minorEastAsia" w:hAnsiTheme="minorEastAsia" w:eastAsiaTheme="minorEastAsia"/>
          <w:color w:val="auto"/>
          <w:sz w:val="24"/>
          <w:szCs w:val="24"/>
          <w:highlight w:val="none"/>
        </w:rPr>
        <w:t xml:space="preserve">个月中国人民银行征信中心开具个人信用报告。 </w:t>
      </w:r>
    </w:p>
    <w:p>
      <w:pPr>
        <w:pStyle w:val="6"/>
        <w:spacing w:after="0"/>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格式7-3 具有履行合同所必须的设备和专业技术能力的证明文件</w:t>
      </w:r>
    </w:p>
    <w:p>
      <w:pPr>
        <w:spacing w:line="400" w:lineRule="exact"/>
        <w:ind w:left="105" w:leftChars="50"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投标人提供具有履行合同所必须的设备和专业技术能力的承诺函；（见格式7-7）</w:t>
      </w:r>
    </w:p>
    <w:p>
      <w:pPr>
        <w:pStyle w:val="6"/>
        <w:spacing w:after="0"/>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格式7-4 有依法缴纳税收和社会保障资金的良好记录的证明文件</w:t>
      </w:r>
    </w:p>
    <w:p>
      <w:pPr>
        <w:spacing w:line="400" w:lineRule="exact"/>
        <w:ind w:left="420" w:left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税务登记证（实行“统一社会信用代码”的不需单独提供）和开标前六个月内任意一个月的企业缴税凭证或证明； </w:t>
      </w:r>
    </w:p>
    <w:p>
      <w:pPr>
        <w:spacing w:line="400" w:lineRule="exact"/>
        <w:ind w:left="420" w:left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开标前六个月内任意一个月的缴纳社会保障资金的凭证或当地社会保障局出具的缴纳明细。依法免税或不需要缴纳社会保障资金的投标人，应当提供相关文件证明其依法免税或不需要缴纳社会保障资金。</w:t>
      </w:r>
    </w:p>
    <w:p>
      <w:pPr>
        <w:pStyle w:val="6"/>
        <w:spacing w:after="0"/>
        <w:ind w:left="964" w:hanging="1040" w:hangingChars="400"/>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格式7-5参加政府采购前三年内，在经营活动中没有重大违法记录的证明文件</w:t>
      </w:r>
    </w:p>
    <w:p>
      <w:pPr>
        <w:spacing w:line="400" w:lineRule="exact"/>
        <w:ind w:firstLine="360" w:firstLineChars="1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参加政府采购前三年内,在经营活动中没有重大违法记录承诺函；（见格式7-7）</w:t>
      </w:r>
    </w:p>
    <w:p>
      <w:pPr>
        <w:spacing w:line="400" w:lineRule="exact"/>
        <w:ind w:left="420" w:left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重大违法记录，是指投标人因违法经营受到刑事处罚或者责令停产停业、吊销许可证或者执照、较大罚款等行政处罚。</w:t>
      </w:r>
    </w:p>
    <w:p>
      <w:pPr>
        <w:ind w:left="651" w:hanging="651" w:hangingChars="270"/>
        <w:rPr>
          <w:rFonts w:hint="eastAsia" w:cs="仿宋" w:asciiTheme="minorEastAsia" w:hAnsiTheme="minorEastAsia" w:eastAsiaTheme="minorEastAsia"/>
          <w:b/>
          <w:color w:val="auto"/>
          <w:sz w:val="24"/>
          <w:szCs w:val="24"/>
          <w:highlight w:val="none"/>
        </w:rPr>
      </w:pPr>
    </w:p>
    <w:p>
      <w:pPr>
        <w:ind w:left="651" w:hanging="651" w:hangingChars="270"/>
        <w:outlineLvl w:val="3"/>
        <w:rPr>
          <w:rFonts w:hint="eastAsia" w:cs="仿宋" w:asciiTheme="minorEastAsia" w:hAnsiTheme="minorEastAsia" w:eastAsiaTheme="minorEastAsia"/>
          <w:b/>
          <w:color w:val="auto"/>
          <w:sz w:val="24"/>
          <w:szCs w:val="24"/>
          <w:highlight w:val="none"/>
        </w:rPr>
      </w:pPr>
      <w:r>
        <w:rPr>
          <w:rFonts w:hint="eastAsia" w:cs="仿宋" w:asciiTheme="minorEastAsia" w:hAnsiTheme="minorEastAsia" w:eastAsiaTheme="minorEastAsia"/>
          <w:b/>
          <w:color w:val="auto"/>
          <w:sz w:val="24"/>
          <w:szCs w:val="24"/>
          <w:highlight w:val="none"/>
        </w:rPr>
        <w:t>说明：</w:t>
      </w:r>
      <w:r>
        <w:rPr>
          <w:rFonts w:hint="eastAsia" w:ascii="宋体" w:hAnsi="宋体" w:cs="宋体"/>
          <w:b/>
          <w:color w:val="auto"/>
          <w:sz w:val="24"/>
          <w:szCs w:val="24"/>
          <w:highlight w:val="none"/>
        </w:rPr>
        <w:t>①</w:t>
      </w:r>
      <w:r>
        <w:rPr>
          <w:rFonts w:hint="eastAsia" w:cs="仿宋" w:asciiTheme="minorEastAsia" w:hAnsiTheme="minorEastAsia" w:eastAsiaTheme="minorEastAsia"/>
          <w:b/>
          <w:color w:val="auto"/>
          <w:sz w:val="24"/>
          <w:szCs w:val="24"/>
          <w:highlight w:val="none"/>
        </w:rPr>
        <w:t>以下应当提交的资格、资信证明文件均为原件原色扫描件,未提交或不满足要求均视为无效投标。文件另有具体要求的从其规定。</w:t>
      </w:r>
    </w:p>
    <w:p>
      <w:pPr>
        <w:ind w:left="720" w:leftChars="343" w:firstLine="72" w:firstLineChars="30"/>
        <w:outlineLvl w:val="3"/>
        <w:rPr>
          <w:rFonts w:hint="eastAsia" w:ascii="宋体" w:hAnsi="宋体" w:cs="宋体"/>
          <w:b/>
          <w:color w:val="auto"/>
          <w:sz w:val="24"/>
          <w:szCs w:val="24"/>
          <w:highlight w:val="none"/>
        </w:rPr>
      </w:pPr>
      <w:r>
        <w:rPr>
          <w:rFonts w:hint="eastAsia" w:ascii="宋体" w:hAnsi="宋体" w:cs="宋体"/>
          <w:b/>
          <w:color w:val="auto"/>
          <w:sz w:val="24"/>
          <w:szCs w:val="24"/>
          <w:highlight w:val="none"/>
        </w:rPr>
        <w:t>②若投标人提供了</w:t>
      </w:r>
      <w:bookmarkStart w:id="82" w:name="bookmark18"/>
      <w:bookmarkStart w:id="83" w:name="bookmark17"/>
      <w:bookmarkStart w:id="84" w:name="bookmark19"/>
      <w:r>
        <w:rPr>
          <w:rFonts w:hint="eastAsia" w:ascii="宋体" w:hAnsi="宋体" w:cs="宋体"/>
          <w:b/>
          <w:color w:val="auto"/>
          <w:sz w:val="24"/>
          <w:szCs w:val="24"/>
          <w:highlight w:val="none"/>
        </w:rPr>
        <w:t>江西省政府采购供应商资格信用承诺函</w:t>
      </w:r>
      <w:bookmarkEnd w:id="82"/>
      <w:bookmarkEnd w:id="83"/>
      <w:bookmarkEnd w:id="84"/>
      <w:r>
        <w:rPr>
          <w:rFonts w:hint="eastAsia" w:ascii="宋体" w:hAnsi="宋体" w:cs="宋体"/>
          <w:b/>
          <w:color w:val="auto"/>
          <w:sz w:val="24"/>
          <w:szCs w:val="24"/>
          <w:highlight w:val="none"/>
        </w:rPr>
        <w:t>（格式7-1</w:t>
      </w:r>
      <w:r>
        <w:rPr>
          <w:rFonts w:hint="eastAsia" w:ascii="宋体" w:hAnsi="宋体" w:cs="宋体"/>
          <w:b/>
          <w:color w:val="auto"/>
          <w:sz w:val="24"/>
          <w:szCs w:val="24"/>
          <w:highlight w:val="none"/>
          <w:lang w:val="en-US" w:eastAsia="zh-CN"/>
        </w:rPr>
        <w:t>1</w:t>
      </w:r>
      <w:r>
        <w:rPr>
          <w:rFonts w:hint="eastAsia" w:ascii="宋体" w:hAnsi="宋体" w:cs="宋体"/>
          <w:b/>
          <w:color w:val="auto"/>
          <w:sz w:val="24"/>
          <w:szCs w:val="24"/>
          <w:highlight w:val="none"/>
        </w:rPr>
        <w:t>），可不提供7-1到 7-5 要求提供的证明文件。</w:t>
      </w:r>
    </w:p>
    <w:p>
      <w:pPr>
        <w:pStyle w:val="2"/>
        <w:outlineLvl w:val="3"/>
      </w:pPr>
    </w:p>
    <w:p>
      <w:pPr>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br w:type="page"/>
      </w:r>
    </w:p>
    <w:p>
      <w:pPr>
        <w:pStyle w:val="6"/>
        <w:jc w:val="center"/>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格式7-6法定代表人授权书</w:t>
      </w:r>
    </w:p>
    <w:p>
      <w:pPr>
        <w:spacing w:line="432" w:lineRule="auto"/>
        <w:rPr>
          <w:rFonts w:cs="仿宋" w:asciiTheme="minorEastAsia" w:hAnsiTheme="minorEastAsia" w:eastAsiaTheme="minorEastAsia"/>
          <w:color w:val="auto"/>
          <w:sz w:val="24"/>
          <w:szCs w:val="24"/>
          <w:highlight w:val="none"/>
        </w:rPr>
      </w:pPr>
    </w:p>
    <w:p>
      <w:pPr>
        <w:spacing w:line="44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致：江西省机电设备招标有限公司</w:t>
      </w:r>
    </w:p>
    <w:p>
      <w:pPr>
        <w:spacing w:line="440" w:lineRule="exact"/>
        <w:rPr>
          <w:rFonts w:cs="仿宋" w:asciiTheme="minorEastAsia" w:hAnsiTheme="minorEastAsia" w:eastAsiaTheme="minorEastAsia"/>
          <w:color w:val="auto"/>
          <w:sz w:val="24"/>
          <w:szCs w:val="24"/>
          <w:highlight w:val="none"/>
        </w:rPr>
      </w:pPr>
    </w:p>
    <w:p>
      <w:pPr>
        <w:spacing w:line="44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（投标人全称）法定代表人授权（全权代表姓名）为全权代表,参加贵处组织的（招标编号）项目招标活动，全权代表我方处理招标活动中的一切事宜。</w:t>
      </w:r>
    </w:p>
    <w:p>
      <w:pPr>
        <w:spacing w:line="440" w:lineRule="exact"/>
        <w:rPr>
          <w:rFonts w:cs="仿宋" w:asciiTheme="minorEastAsia" w:hAnsiTheme="minorEastAsia" w:eastAsiaTheme="minorEastAsia"/>
          <w:color w:val="auto"/>
          <w:sz w:val="24"/>
          <w:szCs w:val="24"/>
          <w:highlight w:val="none"/>
        </w:rPr>
      </w:pPr>
    </w:p>
    <w:p>
      <w:pPr>
        <w:spacing w:line="440" w:lineRule="exact"/>
        <w:rPr>
          <w:rFonts w:cs="仿宋" w:asciiTheme="minorEastAsia" w:hAnsiTheme="minorEastAsia" w:eastAsiaTheme="minorEastAsia"/>
          <w:color w:val="auto"/>
          <w:sz w:val="24"/>
          <w:szCs w:val="24"/>
          <w:highlight w:val="none"/>
        </w:rPr>
      </w:pPr>
    </w:p>
    <w:p>
      <w:pPr>
        <w:spacing w:line="440" w:lineRule="exact"/>
        <w:rPr>
          <w:rFonts w:cs="仿宋" w:asciiTheme="minorEastAsia" w:hAnsiTheme="minorEastAsia" w:eastAsiaTheme="minorEastAsia"/>
          <w:color w:val="auto"/>
          <w:sz w:val="24"/>
          <w:szCs w:val="24"/>
          <w:highlight w:val="none"/>
        </w:rPr>
      </w:pPr>
    </w:p>
    <w:p>
      <w:pPr>
        <w:spacing w:line="44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                                      法定代表人签字或签章：</w:t>
      </w:r>
    </w:p>
    <w:p>
      <w:pPr>
        <w:spacing w:line="440" w:lineRule="exact"/>
        <w:rPr>
          <w:rFonts w:cs="仿宋" w:asciiTheme="minorEastAsia" w:hAnsiTheme="minorEastAsia" w:eastAsiaTheme="minorEastAsia"/>
          <w:color w:val="auto"/>
          <w:sz w:val="24"/>
          <w:szCs w:val="24"/>
          <w:highlight w:val="none"/>
        </w:rPr>
      </w:pPr>
    </w:p>
    <w:p>
      <w:pPr>
        <w:spacing w:line="44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lang w:eastAsia="zh-CN"/>
        </w:rPr>
        <w:t>投标人盖章</w:t>
      </w:r>
      <w:r>
        <w:rPr>
          <w:rFonts w:hint="eastAsia" w:cs="仿宋" w:asciiTheme="minorEastAsia" w:hAnsiTheme="minorEastAsia" w:eastAsiaTheme="minorEastAsia"/>
          <w:color w:val="auto"/>
          <w:sz w:val="24"/>
          <w:szCs w:val="24"/>
          <w:highlight w:val="none"/>
        </w:rPr>
        <w:t>：</w:t>
      </w:r>
    </w:p>
    <w:p>
      <w:pPr>
        <w:spacing w:line="440" w:lineRule="exact"/>
        <w:rPr>
          <w:rFonts w:cs="仿宋" w:asciiTheme="minorEastAsia" w:hAnsiTheme="minorEastAsia" w:eastAsiaTheme="minorEastAsia"/>
          <w:color w:val="auto"/>
          <w:sz w:val="24"/>
          <w:szCs w:val="24"/>
          <w:highlight w:val="none"/>
        </w:rPr>
      </w:pPr>
    </w:p>
    <w:p>
      <w:pPr>
        <w:spacing w:line="44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                                      日  期：</w:t>
      </w:r>
    </w:p>
    <w:p>
      <w:pPr>
        <w:spacing w:line="440" w:lineRule="exact"/>
        <w:rPr>
          <w:rFonts w:cs="仿宋" w:asciiTheme="minorEastAsia" w:hAnsiTheme="minorEastAsia" w:eastAsiaTheme="minorEastAsia"/>
          <w:color w:val="auto"/>
          <w:sz w:val="24"/>
          <w:szCs w:val="24"/>
          <w:highlight w:val="none"/>
        </w:rPr>
      </w:pPr>
    </w:p>
    <w:p>
      <w:pPr>
        <w:spacing w:line="440" w:lineRule="exact"/>
        <w:rPr>
          <w:rFonts w:cs="仿宋" w:asciiTheme="minorEastAsia" w:hAnsiTheme="minorEastAsia" w:eastAsiaTheme="minorEastAsia"/>
          <w:color w:val="auto"/>
          <w:sz w:val="24"/>
          <w:szCs w:val="24"/>
          <w:highlight w:val="none"/>
        </w:rPr>
      </w:pPr>
    </w:p>
    <w:p>
      <w:pPr>
        <w:spacing w:line="44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附：</w:t>
      </w:r>
    </w:p>
    <w:p>
      <w:pPr>
        <w:spacing w:line="440" w:lineRule="exact"/>
        <w:rPr>
          <w:rFonts w:cs="仿宋" w:asciiTheme="minorEastAsia" w:hAnsiTheme="minorEastAsia" w:eastAsiaTheme="minorEastAsia"/>
          <w:color w:val="auto"/>
          <w:sz w:val="24"/>
          <w:szCs w:val="24"/>
          <w:highlight w:val="none"/>
          <w:u w:val="single"/>
        </w:rPr>
      </w:pPr>
      <w:r>
        <w:rPr>
          <w:rFonts w:hint="eastAsia" w:cs="仿宋" w:asciiTheme="minorEastAsia" w:hAnsiTheme="minorEastAsia" w:eastAsiaTheme="minorEastAsia"/>
          <w:color w:val="auto"/>
          <w:sz w:val="24"/>
          <w:szCs w:val="24"/>
          <w:highlight w:val="none"/>
        </w:rPr>
        <w:t>全权代表姓名：</w:t>
      </w:r>
    </w:p>
    <w:p>
      <w:pPr>
        <w:spacing w:line="44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职        务：</w:t>
      </w:r>
    </w:p>
    <w:p>
      <w:pPr>
        <w:spacing w:line="44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电        话：</w:t>
      </w:r>
    </w:p>
    <w:p>
      <w:pPr>
        <w:spacing w:line="44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详细通讯地址：</w:t>
      </w:r>
    </w:p>
    <w:p>
      <w:pPr>
        <w:spacing w:line="44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邮 政 编 码 ：</w:t>
      </w:r>
    </w:p>
    <w:p>
      <w:pPr>
        <w:rPr>
          <w:rFonts w:cs="仿宋" w:asciiTheme="minorEastAsia" w:hAnsiTheme="minorEastAsia" w:eastAsiaTheme="minorEastAsia"/>
          <w:color w:val="auto"/>
          <w:sz w:val="24"/>
          <w:szCs w:val="24"/>
          <w:highlight w:val="none"/>
        </w:rPr>
      </w:pPr>
    </w:p>
    <w:p>
      <w:pPr>
        <w:spacing w:line="440" w:lineRule="exact"/>
        <w:rPr>
          <w:rFonts w:cs="仿宋" w:asciiTheme="minorEastAsia" w:hAnsiTheme="minorEastAsia" w:eastAsiaTheme="minorEastAsia"/>
          <w:color w:val="auto"/>
          <w:sz w:val="24"/>
          <w:szCs w:val="24"/>
          <w:highlight w:val="none"/>
        </w:rPr>
      </w:pPr>
    </w:p>
    <w:p>
      <w:pPr>
        <w:tabs>
          <w:tab w:val="left" w:pos="1470"/>
        </w:tabs>
        <w:spacing w:line="432" w:lineRule="auto"/>
        <w:rPr>
          <w:rFonts w:cs="仿宋" w:asciiTheme="minorEastAsia" w:hAnsiTheme="minorEastAsia" w:eastAsiaTheme="minorEastAsia"/>
          <w:b/>
          <w:color w:val="auto"/>
          <w:sz w:val="24"/>
          <w:szCs w:val="24"/>
          <w:highlight w:val="none"/>
        </w:rPr>
      </w:pPr>
    </w:p>
    <w:p>
      <w:pPr>
        <w:pStyle w:val="72"/>
        <w:spacing w:line="46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附：全权代表身份证扫描件（正、反面）</w:t>
      </w:r>
    </w:p>
    <w:p>
      <w:pP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b/>
          <w:color w:val="auto"/>
          <w:sz w:val="24"/>
          <w:szCs w:val="24"/>
          <w:highlight w:val="none"/>
        </w:rPr>
        <w:t>说明：法定代表人参加采购，不用提供授权书</w:t>
      </w:r>
      <w:r>
        <w:rPr>
          <w:rFonts w:hint="eastAsia" w:cs="仿宋" w:asciiTheme="minorEastAsia" w:hAnsiTheme="minorEastAsia" w:eastAsiaTheme="minorEastAsia"/>
          <w:color w:val="auto"/>
          <w:sz w:val="24"/>
          <w:szCs w:val="24"/>
          <w:highlight w:val="none"/>
        </w:rPr>
        <w:br w:type="page"/>
      </w:r>
    </w:p>
    <w:p>
      <w:pPr>
        <w:pStyle w:val="6"/>
        <w:jc w:val="center"/>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格式7-7投标人的资格声明</w:t>
      </w:r>
    </w:p>
    <w:p>
      <w:pPr>
        <w:spacing w:afterLines="100" w:line="432" w:lineRule="auto"/>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（参考格式）</w:t>
      </w:r>
    </w:p>
    <w:p>
      <w:pPr>
        <w:spacing w:line="44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致：江西省机电设备招标有限公司</w:t>
      </w:r>
    </w:p>
    <w:p>
      <w:pPr>
        <w:spacing w:line="560" w:lineRule="exact"/>
        <w:ind w:left="2" w:firstLine="476" w:firstLineChars="202"/>
        <w:rPr>
          <w:rFonts w:cs="仿宋" w:asciiTheme="minorEastAsia" w:hAnsiTheme="minorEastAsia" w:eastAsiaTheme="minorEastAsia"/>
          <w:color w:val="auto"/>
          <w:spacing w:val="-2"/>
          <w:sz w:val="24"/>
          <w:szCs w:val="24"/>
          <w:highlight w:val="none"/>
        </w:rPr>
      </w:pPr>
    </w:p>
    <w:p>
      <w:pPr>
        <w:spacing w:line="560" w:lineRule="exact"/>
        <w:ind w:left="2" w:firstLine="476" w:firstLineChars="202"/>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pacing w:val="-2"/>
          <w:sz w:val="24"/>
          <w:szCs w:val="24"/>
          <w:highlight w:val="none"/>
        </w:rPr>
        <w:t>为响应贵方</w:t>
      </w:r>
      <w:r>
        <w:rPr>
          <w:rFonts w:hint="eastAsia" w:cs="仿宋" w:asciiTheme="minorEastAsia" w:hAnsiTheme="minorEastAsia" w:eastAsiaTheme="minorEastAsia"/>
          <w:i/>
          <w:color w:val="auto"/>
          <w:spacing w:val="-2"/>
          <w:sz w:val="24"/>
          <w:szCs w:val="24"/>
          <w:highlight w:val="none"/>
          <w:u w:val="single"/>
        </w:rPr>
        <w:t>（项目名称、招标编号）</w:t>
      </w:r>
      <w:r>
        <w:rPr>
          <w:rFonts w:hint="eastAsia" w:cs="仿宋" w:asciiTheme="minorEastAsia" w:hAnsiTheme="minorEastAsia" w:eastAsiaTheme="minorEastAsia"/>
          <w:color w:val="auto"/>
          <w:spacing w:val="-2"/>
          <w:sz w:val="24"/>
          <w:szCs w:val="24"/>
          <w:highlight w:val="none"/>
        </w:rPr>
        <w:t>投标邀请，下述签字人愿参与投标，提供采购需求一览表和技术规格</w:t>
      </w:r>
      <w:r>
        <w:rPr>
          <w:rFonts w:hint="eastAsia" w:cs="仿宋" w:asciiTheme="minorEastAsia" w:hAnsiTheme="minorEastAsia" w:eastAsiaTheme="minorEastAsia"/>
          <w:color w:val="auto"/>
          <w:sz w:val="24"/>
          <w:szCs w:val="24"/>
          <w:highlight w:val="none"/>
        </w:rPr>
        <w:t>规定的货物和有关服务</w:t>
      </w:r>
      <w:r>
        <w:rPr>
          <w:rFonts w:hint="eastAsia" w:cs="仿宋" w:asciiTheme="minorEastAsia" w:hAnsiTheme="minorEastAsia" w:eastAsiaTheme="minorEastAsia"/>
          <w:color w:val="auto"/>
          <w:spacing w:val="-2"/>
          <w:sz w:val="24"/>
          <w:szCs w:val="24"/>
          <w:highlight w:val="none"/>
        </w:rPr>
        <w:t>，提交下述文件并声明全</w:t>
      </w:r>
      <w:r>
        <w:rPr>
          <w:rFonts w:hint="eastAsia" w:cs="仿宋" w:asciiTheme="minorEastAsia" w:hAnsiTheme="minorEastAsia" w:eastAsiaTheme="minorEastAsia"/>
          <w:color w:val="auto"/>
          <w:sz w:val="24"/>
          <w:szCs w:val="24"/>
          <w:highlight w:val="none"/>
        </w:rPr>
        <w:t>部说明是真实的和正确的。</w:t>
      </w:r>
    </w:p>
    <w:p>
      <w:pPr>
        <w:spacing w:line="560" w:lineRule="exact"/>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1.我方具有履行合同所必须的设备和专业技术能力</w:t>
      </w:r>
      <w:r>
        <w:rPr>
          <w:rFonts w:hint="eastAsia" w:cs="仿宋" w:asciiTheme="minorEastAsia" w:hAnsiTheme="minorEastAsia" w:eastAsiaTheme="minorEastAsia"/>
          <w:color w:val="auto"/>
          <w:sz w:val="24"/>
          <w:szCs w:val="24"/>
          <w:highlight w:val="none"/>
          <w:lang w:eastAsia="zh-CN"/>
        </w:rPr>
        <w:t>；</w:t>
      </w:r>
    </w:p>
    <w:p>
      <w:pPr>
        <w:spacing w:line="560" w:lineRule="exact"/>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2.我方在参加政府采购前三年内,在经营活动中没有重大违法记录</w:t>
      </w:r>
      <w:r>
        <w:rPr>
          <w:rFonts w:hint="eastAsia" w:cs="仿宋" w:asciiTheme="minorEastAsia" w:hAnsiTheme="minorEastAsia" w:eastAsiaTheme="minorEastAsia"/>
          <w:color w:val="auto"/>
          <w:sz w:val="24"/>
          <w:szCs w:val="24"/>
          <w:highlight w:val="none"/>
          <w:lang w:eastAsia="zh-CN"/>
        </w:rPr>
        <w:t>；</w:t>
      </w:r>
    </w:p>
    <w:p>
      <w:pPr>
        <w:spacing w:line="560" w:lineRule="exact"/>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3.下述签字人在证书中证明本资格文件中的内容是真实的和正确的</w:t>
      </w:r>
      <w:r>
        <w:rPr>
          <w:rFonts w:hint="eastAsia" w:cs="仿宋" w:asciiTheme="minorEastAsia" w:hAnsiTheme="minorEastAsia" w:eastAsiaTheme="minorEastAsia"/>
          <w:color w:val="auto"/>
          <w:sz w:val="24"/>
          <w:szCs w:val="24"/>
          <w:highlight w:val="none"/>
          <w:lang w:eastAsia="zh-CN"/>
        </w:rPr>
        <w:t>；</w:t>
      </w:r>
    </w:p>
    <w:p>
      <w:pPr>
        <w:spacing w:line="560" w:lineRule="exact"/>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val="en-US" w:eastAsia="zh-CN"/>
        </w:rPr>
        <w:t>4.我方没有单位负责人为同一人或者存在直接控股、管理关系的不同供应商，参加本项目采购活动的情形</w:t>
      </w:r>
      <w:r>
        <w:rPr>
          <w:rFonts w:hint="eastAsia" w:cs="仿宋" w:asciiTheme="minorEastAsia" w:hAnsiTheme="minorEastAsia" w:eastAsiaTheme="minorEastAsia"/>
          <w:color w:val="auto"/>
          <w:sz w:val="24"/>
          <w:szCs w:val="24"/>
          <w:highlight w:val="none"/>
          <w:lang w:eastAsia="zh-CN"/>
        </w:rPr>
        <w:t>；</w:t>
      </w:r>
    </w:p>
    <w:p>
      <w:pPr>
        <w:spacing w:line="432" w:lineRule="auto"/>
        <w:ind w:firstLine="480" w:firstLineChars="200"/>
        <w:rPr>
          <w:rFonts w:ascii="宋体" w:hAnsi="宋体" w:cs="宋体"/>
          <w:color w:val="000000" w:themeColor="text1"/>
          <w:sz w:val="24"/>
          <w14:textFill>
            <w14:solidFill>
              <w14:schemeClr w14:val="tx1"/>
            </w14:solidFill>
          </w14:textFill>
        </w:rPr>
      </w:pPr>
      <w:r>
        <w:rPr>
          <w:rFonts w:hint="eastAsia" w:cs="仿宋" w:asciiTheme="minorEastAsia" w:hAnsiTheme="minorEastAsia" w:eastAsiaTheme="minorEastAsia"/>
          <w:color w:val="auto"/>
          <w:sz w:val="24"/>
          <w:szCs w:val="24"/>
          <w:highlight w:val="none"/>
          <w:lang w:val="en-US" w:eastAsia="zh-CN"/>
        </w:rPr>
        <w:t>5.我方没有为本项目提供整体设计、规范编制或者项目管理、监理、检测等服务。</w:t>
      </w:r>
    </w:p>
    <w:p>
      <w:pPr>
        <w:spacing w:line="432" w:lineRule="auto"/>
        <w:rPr>
          <w:rFonts w:cs="仿宋" w:asciiTheme="minorEastAsia" w:hAnsiTheme="minorEastAsia" w:eastAsiaTheme="minorEastAsia"/>
          <w:color w:val="auto"/>
          <w:sz w:val="24"/>
          <w:szCs w:val="24"/>
          <w:highlight w:val="none"/>
        </w:rPr>
      </w:pPr>
    </w:p>
    <w:p>
      <w:pPr>
        <w:spacing w:line="432" w:lineRule="auto"/>
        <w:rPr>
          <w:rFonts w:cs="仿宋" w:asciiTheme="minorEastAsia" w:hAnsiTheme="minorEastAsia" w:eastAsiaTheme="minorEastAsia"/>
          <w:color w:val="auto"/>
          <w:sz w:val="24"/>
          <w:szCs w:val="24"/>
          <w:highlight w:val="none"/>
        </w:rPr>
      </w:pPr>
    </w:p>
    <w:p>
      <w:pPr>
        <w:spacing w:line="432"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法定代表人或委托代理签字或签章：                             </w:t>
      </w:r>
    </w:p>
    <w:p>
      <w:pPr>
        <w:spacing w:line="432"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eastAsia="zh-CN"/>
        </w:rPr>
        <w:t>投标人盖章</w:t>
      </w:r>
      <w:r>
        <w:rPr>
          <w:rFonts w:hint="eastAsia" w:cs="仿宋" w:asciiTheme="minorEastAsia" w:hAnsiTheme="minorEastAsia" w:eastAsiaTheme="minorEastAsia"/>
          <w:color w:val="auto"/>
          <w:sz w:val="24"/>
          <w:szCs w:val="24"/>
          <w:highlight w:val="none"/>
        </w:rPr>
        <w:t xml:space="preserve">：                                 </w:t>
      </w:r>
    </w:p>
    <w:p>
      <w:pPr>
        <w:spacing w:line="432"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日期：                                       </w:t>
      </w:r>
    </w:p>
    <w:p>
      <w:pPr>
        <w:tabs>
          <w:tab w:val="left" w:pos="1470"/>
        </w:tabs>
        <w:spacing w:line="432" w:lineRule="auto"/>
        <w:rPr>
          <w:rFonts w:cs="仿宋" w:asciiTheme="minorEastAsia" w:hAnsiTheme="minorEastAsia" w:eastAsiaTheme="minorEastAsia"/>
          <w:b/>
          <w:color w:val="auto"/>
          <w:sz w:val="24"/>
          <w:szCs w:val="24"/>
          <w:highlight w:val="none"/>
        </w:rPr>
      </w:pPr>
    </w:p>
    <w:p>
      <w:pP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br w:type="page"/>
      </w:r>
    </w:p>
    <w:p>
      <w:pPr>
        <w:pStyle w:val="6"/>
        <w:jc w:val="center"/>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格式7-8投标保证金凭证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附：投标人盖章的保证金凭证复印件或截图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仿宋" w:asciiTheme="minorEastAsia" w:hAnsiTheme="minorEastAsia" w:eastAsiaTheme="minorEastAsia"/>
          <w:color w:val="auto"/>
          <w:sz w:val="24"/>
          <w:szCs w:val="24"/>
          <w:highlight w:val="none"/>
          <w:lang w:val="en-US" w:eastAsia="zh-CN"/>
        </w:rPr>
      </w:pPr>
      <w:r>
        <w:rPr>
          <w:rFonts w:hint="eastAsia" w:cs="仿宋" w:asciiTheme="minorEastAsia" w:hAnsiTheme="minorEastAsia" w:eastAsiaTheme="minorEastAsia"/>
          <w:color w:val="auto"/>
          <w:sz w:val="24"/>
          <w:szCs w:val="24"/>
          <w:highlight w:val="none"/>
        </w:rPr>
        <w:t>本项目保证金应当采用支票、汇票、本票、网上银行支付或者金融机构、担保机构出具的保函、保险公司出具的保证保险等非现金形式交纳。</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1.采用银行电汇、转账、网上银行形式：</w:t>
      </w:r>
      <w:r>
        <w:rPr>
          <w:rFonts w:hint="eastAsia" w:cs="仿宋" w:asciiTheme="minorEastAsia" w:hAnsiTheme="minorEastAsia" w:eastAsiaTheme="minorEastAsia"/>
          <w:color w:val="auto"/>
          <w:sz w:val="24"/>
          <w:szCs w:val="24"/>
          <w:highlight w:val="none"/>
        </w:rPr>
        <w:br w:type="textWrapping"/>
      </w:r>
      <w:r>
        <w:rPr>
          <w:rFonts w:hint="eastAsia" w:cs="仿宋" w:asciiTheme="minorEastAsia" w:hAnsiTheme="minorEastAsia" w:eastAsiaTheme="minorEastAsia"/>
          <w:color w:val="auto"/>
          <w:sz w:val="24"/>
          <w:szCs w:val="24"/>
          <w:highlight w:val="none"/>
        </w:rPr>
        <w:t>保证金交至以下账户，并在投标文件中提供交纳保证金凭证</w:t>
      </w:r>
      <w:r>
        <w:rPr>
          <w:rFonts w:hint="eastAsia" w:cs="仿宋" w:asciiTheme="minorEastAsia" w:hAnsiTheme="minorEastAsia" w:eastAsiaTheme="minorEastAsia"/>
          <w:color w:val="auto"/>
          <w:sz w:val="24"/>
          <w:szCs w:val="24"/>
          <w:highlight w:val="none"/>
          <w:lang w:val="en-US" w:eastAsia="zh-CN"/>
        </w:rPr>
        <w:t>原件扫描件</w:t>
      </w:r>
      <w:r>
        <w:rPr>
          <w:rFonts w:hint="eastAsia" w:cs="仿宋" w:asciiTheme="minorEastAsia" w:hAnsiTheme="minorEastAsia" w:eastAsiaTheme="minorEastAsia"/>
          <w:color w:val="auto"/>
          <w:sz w:val="24"/>
          <w:szCs w:val="24"/>
          <w:highlight w:val="none"/>
        </w:rPr>
        <w:t>或截图：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2、采用保函形式：</w:t>
      </w:r>
      <w:r>
        <w:rPr>
          <w:rFonts w:hint="eastAsia" w:cs="仿宋" w:asciiTheme="minorEastAsia" w:hAnsiTheme="minorEastAsia" w:eastAsiaTheme="minorEastAsia"/>
          <w:color w:val="auto"/>
          <w:sz w:val="24"/>
          <w:szCs w:val="24"/>
          <w:highlight w:val="none"/>
        </w:rPr>
        <w:br w:type="textWrapping"/>
      </w:r>
      <w:r>
        <w:rPr>
          <w:rFonts w:hint="eastAsia" w:cs="仿宋" w:asciiTheme="minorEastAsia" w:hAnsiTheme="minorEastAsia" w:eastAsiaTheme="minorEastAsia"/>
          <w:color w:val="auto"/>
          <w:sz w:val="24"/>
          <w:szCs w:val="24"/>
          <w:highlight w:val="none"/>
        </w:rPr>
        <w:t>2.1 采用银行保函的，须为供应商基本账户（响应文件中提供开户许可复印件）或江西省辖区内商业银行营业网点出具的不可撤销、见索即付的独立保函；采用专业担保机构出具保函的，须为担保机构出具的不可撤销、见索即付的独立保函；以上保函可通过http://www.jxjzjf.com网站申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2.2采用银行、保证保险的电子保单的形式需通过银行、保险公司官方网站（无需授权）验证查询；采用专业担保机构出具的保函需通过http://www.jxjzjf.com网站验证查询，如以上渠道未能验证查询到的，视为无效保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w:t>
      </w:r>
      <w:r>
        <w:rPr>
          <w:rFonts w:hint="eastAsia" w:cs="仿宋" w:asciiTheme="minorEastAsia" w:hAnsiTheme="minorEastAsia" w:eastAsiaTheme="minorEastAsia"/>
          <w:color w:val="auto"/>
          <w:sz w:val="24"/>
          <w:szCs w:val="24"/>
          <w:highlight w:val="none"/>
          <w:lang w:val="en-US" w:eastAsia="zh-CN"/>
        </w:rPr>
        <w:t>3</w:t>
      </w:r>
      <w:r>
        <w:rPr>
          <w:rFonts w:hint="eastAsia" w:cs="仿宋" w:asciiTheme="minorEastAsia" w:hAnsiTheme="minorEastAsia" w:eastAsiaTheme="minorEastAsia"/>
          <w:color w:val="auto"/>
          <w:sz w:val="24"/>
          <w:szCs w:val="24"/>
          <w:highlight w:val="none"/>
        </w:rPr>
        <w:t>保函有效期须不少于投标有效期，否则视为不满足要求。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w:t>
      </w:r>
      <w:r>
        <w:rPr>
          <w:rFonts w:hint="eastAsia" w:cs="仿宋" w:asciiTheme="minorEastAsia" w:hAnsiTheme="minorEastAsia" w:eastAsiaTheme="minorEastAsia"/>
          <w:color w:val="auto"/>
          <w:sz w:val="24"/>
          <w:szCs w:val="24"/>
          <w:highlight w:val="none"/>
          <w:lang w:val="en-US" w:eastAsia="zh-CN"/>
        </w:rPr>
        <w:t>4保函保证担保范围须包含采购文件约定的不予退还投标保证金的情形，</w:t>
      </w:r>
      <w:r>
        <w:rPr>
          <w:rFonts w:hint="eastAsia" w:cs="仿宋" w:asciiTheme="minorEastAsia" w:hAnsiTheme="minorEastAsia" w:eastAsiaTheme="minorEastAsia"/>
          <w:color w:val="auto"/>
          <w:sz w:val="24"/>
          <w:szCs w:val="24"/>
          <w:highlight w:val="none"/>
        </w:rPr>
        <w:t>否则视为不满足要求。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3、采用其他形式缴纳保证金的，需提供符合国家规定的相应凭证。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未提供保证金凭证、或提供的保证金凭证及资料不满足上述要求的，视为未缴纳保证金。</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仿宋" w:asciiTheme="minorEastAsia" w:hAnsiTheme="minorEastAsia" w:eastAsiaTheme="minorEastAsia"/>
          <w:color w:val="auto"/>
          <w:sz w:val="24"/>
          <w:szCs w:val="24"/>
          <w:highlight w:val="none"/>
        </w:rPr>
      </w:pPr>
    </w:p>
    <w:p>
      <w:pPr>
        <w:pStyle w:val="4"/>
        <w:jc w:val="both"/>
        <w:rPr>
          <w:rFonts w:hint="eastAsia" w:cs="仿宋" w:asciiTheme="minorEastAsia" w:hAnsiTheme="minorEastAsia" w:eastAsiaTheme="minorEastAsia"/>
          <w:color w:val="auto"/>
          <w:sz w:val="24"/>
          <w:szCs w:val="24"/>
          <w:highlight w:val="none"/>
        </w:rPr>
      </w:pPr>
    </w:p>
    <w:p>
      <w:pPr>
        <w:rPr>
          <w:rFonts w:hint="eastAsia"/>
        </w:rPr>
      </w:pPr>
    </w:p>
    <w:p>
      <w:pPr>
        <w:pStyle w:val="4"/>
        <w:jc w:val="center"/>
        <w:rPr>
          <w:rFonts w:hint="eastAsia" w:cs="仿宋" w:asciiTheme="minorEastAsia" w:hAnsiTheme="minorEastAsia" w:eastAsiaTheme="minorEastAsia"/>
          <w:color w:val="auto"/>
          <w:sz w:val="24"/>
          <w:szCs w:val="24"/>
          <w:highlight w:val="none"/>
        </w:rPr>
      </w:pPr>
    </w:p>
    <w:p>
      <w:pPr>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br w:type="page"/>
      </w:r>
    </w:p>
    <w:p>
      <w:pPr>
        <w:pStyle w:val="6"/>
        <w:jc w:val="center"/>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格式7-9制造商出具的授权函（适用于进口产品参加投标）</w:t>
      </w:r>
    </w:p>
    <w:p>
      <w:pP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注：招标文件另有规定的从其规定或投标人与制造商的经销协议、代理协议</w:t>
      </w:r>
    </w:p>
    <w:p>
      <w:pPr>
        <w:ind w:firstLine="2520" w:firstLineChars="1050"/>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致：江西省机电设备招标有限公司</w:t>
      </w:r>
    </w:p>
    <w:p>
      <w:pPr>
        <w:spacing w:line="432" w:lineRule="auto"/>
        <w:ind w:firstLine="480"/>
        <w:rPr>
          <w:rFonts w:cs="仿宋" w:asciiTheme="minorEastAsia" w:hAnsiTheme="minorEastAsia" w:eastAsiaTheme="minorEastAsia"/>
          <w:color w:val="auto"/>
          <w:sz w:val="24"/>
          <w:szCs w:val="24"/>
          <w:highlight w:val="none"/>
        </w:rPr>
      </w:pPr>
    </w:p>
    <w:p>
      <w:pPr>
        <w:spacing w:line="432" w:lineRule="auto"/>
        <w:ind w:firstLine="48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我们</w:t>
      </w:r>
      <w:r>
        <w:rPr>
          <w:rFonts w:hint="eastAsia" w:cs="仿宋" w:asciiTheme="minorEastAsia" w:hAnsiTheme="minorEastAsia" w:eastAsiaTheme="minorEastAsia"/>
          <w:color w:val="auto"/>
          <w:sz w:val="24"/>
          <w:szCs w:val="24"/>
          <w:highlight w:val="none"/>
          <w:u w:val="single"/>
        </w:rPr>
        <w:t>(</w:t>
      </w:r>
      <w:r>
        <w:rPr>
          <w:rFonts w:hint="eastAsia" w:cs="仿宋" w:asciiTheme="minorEastAsia" w:hAnsiTheme="minorEastAsia" w:eastAsiaTheme="minorEastAsia"/>
          <w:i/>
          <w:color w:val="auto"/>
          <w:sz w:val="24"/>
          <w:szCs w:val="24"/>
          <w:highlight w:val="none"/>
          <w:u w:val="single"/>
        </w:rPr>
        <w:t>制造商名称</w:t>
      </w:r>
      <w:r>
        <w:rPr>
          <w:rFonts w:hint="eastAsia" w:cs="仿宋" w:asciiTheme="minorEastAsia" w:hAnsiTheme="minorEastAsia" w:eastAsiaTheme="minorEastAsia"/>
          <w:color w:val="auto"/>
          <w:sz w:val="24"/>
          <w:szCs w:val="24"/>
          <w:highlight w:val="none"/>
          <w:u w:val="single"/>
        </w:rPr>
        <w:t>)</w:t>
      </w:r>
      <w:r>
        <w:rPr>
          <w:rFonts w:hint="eastAsia" w:cs="仿宋" w:asciiTheme="minorEastAsia" w:hAnsiTheme="minorEastAsia" w:eastAsiaTheme="minorEastAsia"/>
          <w:color w:val="auto"/>
          <w:sz w:val="24"/>
          <w:szCs w:val="24"/>
          <w:highlight w:val="none"/>
        </w:rPr>
        <w:t>，主要营业地点设在(</w:t>
      </w:r>
      <w:r>
        <w:rPr>
          <w:rFonts w:hint="eastAsia" w:cs="仿宋" w:asciiTheme="minorEastAsia" w:hAnsiTheme="minorEastAsia" w:eastAsiaTheme="minorEastAsia"/>
          <w:i/>
          <w:color w:val="auto"/>
          <w:sz w:val="24"/>
          <w:szCs w:val="24"/>
          <w:highlight w:val="none"/>
          <w:u w:val="single"/>
        </w:rPr>
        <w:t>制造商地址)</w:t>
      </w:r>
      <w:r>
        <w:rPr>
          <w:rFonts w:hint="eastAsia" w:cs="仿宋" w:asciiTheme="minorEastAsia" w:hAnsiTheme="minorEastAsia" w:eastAsiaTheme="minorEastAsia"/>
          <w:color w:val="auto"/>
          <w:sz w:val="24"/>
          <w:szCs w:val="24"/>
          <w:highlight w:val="none"/>
        </w:rPr>
        <w:t>。我们获悉按中华人民共和国法律成立的,主要营业地点设在</w:t>
      </w:r>
      <w:r>
        <w:rPr>
          <w:rFonts w:hint="eastAsia" w:cs="仿宋" w:asciiTheme="minorEastAsia" w:hAnsiTheme="minorEastAsia" w:eastAsiaTheme="minorEastAsia"/>
          <w:i/>
          <w:color w:val="auto"/>
          <w:sz w:val="24"/>
          <w:szCs w:val="24"/>
          <w:highlight w:val="none"/>
          <w:u w:val="single"/>
        </w:rPr>
        <w:t>(贸易公司地址)</w:t>
      </w:r>
      <w:r>
        <w:rPr>
          <w:rFonts w:hint="eastAsia" w:cs="仿宋" w:asciiTheme="minorEastAsia" w:hAnsiTheme="minorEastAsia" w:eastAsiaTheme="minorEastAsia"/>
          <w:color w:val="auto"/>
          <w:sz w:val="24"/>
          <w:szCs w:val="24"/>
          <w:highlight w:val="none"/>
        </w:rPr>
        <w:t>的</w:t>
      </w:r>
      <w:r>
        <w:rPr>
          <w:rFonts w:hint="eastAsia" w:cs="仿宋" w:asciiTheme="minorEastAsia" w:hAnsiTheme="minorEastAsia" w:eastAsiaTheme="minorEastAsia"/>
          <w:i/>
          <w:color w:val="auto"/>
          <w:sz w:val="24"/>
          <w:szCs w:val="24"/>
          <w:highlight w:val="none"/>
          <w:u w:val="single"/>
        </w:rPr>
        <w:t>(贸易公司名称)</w:t>
      </w:r>
      <w:r>
        <w:rPr>
          <w:rFonts w:hint="eastAsia" w:cs="仿宋" w:asciiTheme="minorEastAsia" w:hAnsiTheme="minorEastAsia" w:eastAsiaTheme="minorEastAsia"/>
          <w:color w:val="auto"/>
          <w:sz w:val="24"/>
          <w:szCs w:val="24"/>
          <w:highlight w:val="none"/>
        </w:rPr>
        <w:t>将以我方的产品对贵公司的招标项目进行投标，我们特作如下说明：</w:t>
      </w:r>
    </w:p>
    <w:p>
      <w:pPr>
        <w:spacing w:line="432" w:lineRule="auto"/>
        <w:ind w:firstLine="48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（1）同意</w:t>
      </w:r>
      <w:r>
        <w:rPr>
          <w:rFonts w:hint="eastAsia" w:cs="仿宋" w:asciiTheme="minorEastAsia" w:hAnsiTheme="minorEastAsia" w:eastAsiaTheme="minorEastAsia"/>
          <w:i/>
          <w:color w:val="auto"/>
          <w:sz w:val="24"/>
          <w:szCs w:val="24"/>
          <w:highlight w:val="none"/>
          <w:u w:val="single"/>
        </w:rPr>
        <w:t>(贸易公司名称)</w:t>
      </w:r>
      <w:r>
        <w:rPr>
          <w:rFonts w:hint="eastAsia" w:cs="仿宋" w:asciiTheme="minorEastAsia" w:hAnsiTheme="minorEastAsia" w:eastAsiaTheme="minorEastAsia"/>
          <w:color w:val="auto"/>
          <w:sz w:val="24"/>
          <w:szCs w:val="24"/>
          <w:highlight w:val="none"/>
        </w:rPr>
        <w:t>在中华人民共和国境内以</w:t>
      </w:r>
      <w:r>
        <w:rPr>
          <w:rFonts w:hint="eastAsia" w:cs="仿宋" w:asciiTheme="minorEastAsia" w:hAnsiTheme="minorEastAsia" w:eastAsiaTheme="minorEastAsia"/>
          <w:color w:val="auto"/>
          <w:sz w:val="24"/>
          <w:szCs w:val="24"/>
          <w:highlight w:val="none"/>
          <w:u w:val="single"/>
        </w:rPr>
        <w:t>(</w:t>
      </w:r>
      <w:r>
        <w:rPr>
          <w:rFonts w:hint="eastAsia" w:cs="仿宋" w:asciiTheme="minorEastAsia" w:hAnsiTheme="minorEastAsia" w:eastAsiaTheme="minorEastAsia"/>
          <w:i/>
          <w:color w:val="auto"/>
          <w:sz w:val="24"/>
          <w:szCs w:val="24"/>
          <w:highlight w:val="none"/>
          <w:u w:val="single"/>
        </w:rPr>
        <w:t>制造商名称</w:t>
      </w:r>
      <w:r>
        <w:rPr>
          <w:rFonts w:hint="eastAsia" w:cs="仿宋" w:asciiTheme="minorEastAsia" w:hAnsiTheme="minorEastAsia" w:eastAsiaTheme="minorEastAsia"/>
          <w:color w:val="auto"/>
          <w:sz w:val="24"/>
          <w:szCs w:val="24"/>
          <w:highlight w:val="none"/>
          <w:u w:val="single"/>
        </w:rPr>
        <w:t>)</w:t>
      </w:r>
      <w:r>
        <w:rPr>
          <w:rFonts w:hint="eastAsia" w:cs="仿宋" w:asciiTheme="minorEastAsia" w:hAnsiTheme="minorEastAsia" w:eastAsiaTheme="minorEastAsia"/>
          <w:color w:val="auto"/>
          <w:sz w:val="24"/>
          <w:szCs w:val="24"/>
          <w:highlight w:val="none"/>
        </w:rPr>
        <w:t>的（</w:t>
      </w:r>
      <w:r>
        <w:rPr>
          <w:rFonts w:hint="eastAsia" w:cs="仿宋" w:asciiTheme="minorEastAsia" w:hAnsiTheme="minorEastAsia" w:eastAsiaTheme="minorEastAsia"/>
          <w:color w:val="auto"/>
          <w:sz w:val="24"/>
          <w:szCs w:val="24"/>
          <w:highlight w:val="none"/>
          <w:u w:val="single"/>
        </w:rPr>
        <w:t>产品名称、型号）</w:t>
      </w:r>
      <w:r>
        <w:rPr>
          <w:rFonts w:hint="eastAsia" w:cs="仿宋" w:asciiTheme="minorEastAsia" w:hAnsiTheme="minorEastAsia" w:eastAsiaTheme="minorEastAsia"/>
          <w:color w:val="auto"/>
          <w:sz w:val="24"/>
          <w:szCs w:val="24"/>
          <w:highlight w:val="none"/>
        </w:rPr>
        <w:t>参加贵公司有关</w:t>
      </w:r>
      <w:r>
        <w:rPr>
          <w:rFonts w:hint="eastAsia" w:cs="仿宋" w:asciiTheme="minorEastAsia" w:hAnsiTheme="minorEastAsia" w:eastAsiaTheme="minorEastAsia"/>
          <w:color w:val="auto"/>
          <w:sz w:val="24"/>
          <w:szCs w:val="24"/>
          <w:highlight w:val="none"/>
          <w:u w:val="single"/>
        </w:rPr>
        <w:t>（项目名称、项目编号）</w:t>
      </w:r>
      <w:r>
        <w:rPr>
          <w:rFonts w:hint="eastAsia" w:cs="仿宋" w:asciiTheme="minorEastAsia" w:hAnsiTheme="minorEastAsia" w:eastAsiaTheme="minorEastAsia"/>
          <w:color w:val="auto"/>
          <w:sz w:val="24"/>
          <w:szCs w:val="24"/>
          <w:highlight w:val="none"/>
        </w:rPr>
        <w:t>招标，并在中标后向我方购买相关产品。</w:t>
      </w:r>
    </w:p>
    <w:p>
      <w:pPr>
        <w:spacing w:line="432" w:lineRule="auto"/>
        <w:ind w:left="425"/>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w:t>
      </w:r>
      <w:r>
        <w:rPr>
          <w:rFonts w:hint="eastAsia" w:cs="仿宋" w:asciiTheme="minorEastAsia" w:hAnsiTheme="minorEastAsia" w:eastAsiaTheme="minorEastAsia"/>
          <w:color w:val="auto"/>
          <w:sz w:val="24"/>
          <w:szCs w:val="24"/>
          <w:highlight w:val="none"/>
          <w:u w:val="single"/>
        </w:rPr>
        <w:t>（贸易公司名称）</w:t>
      </w:r>
      <w:r>
        <w:rPr>
          <w:rFonts w:hint="eastAsia" w:cs="仿宋" w:asciiTheme="minorEastAsia" w:hAnsiTheme="minorEastAsia" w:eastAsiaTheme="minorEastAsia"/>
          <w:color w:val="auto"/>
          <w:sz w:val="24"/>
          <w:szCs w:val="24"/>
          <w:highlight w:val="none"/>
        </w:rPr>
        <w:t>在中标后，将按照与采购人签订的合同承担责任。</w:t>
      </w:r>
    </w:p>
    <w:p>
      <w:pPr>
        <w:spacing w:line="432" w:lineRule="auto"/>
        <w:ind w:firstLine="425"/>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（3）我们将依法承担制造商的责任。</w:t>
      </w:r>
    </w:p>
    <w:p>
      <w:pPr>
        <w:spacing w:line="432" w:lineRule="auto"/>
        <w:rPr>
          <w:rFonts w:cs="仿宋" w:asciiTheme="minorEastAsia" w:hAnsiTheme="minorEastAsia" w:eastAsiaTheme="minorEastAsia"/>
          <w:color w:val="auto"/>
          <w:sz w:val="24"/>
          <w:szCs w:val="24"/>
          <w:highlight w:val="none"/>
        </w:rPr>
      </w:pPr>
    </w:p>
    <w:p>
      <w:pPr>
        <w:spacing w:line="432" w:lineRule="auto"/>
        <w:ind w:firstLine="48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我方于年 月日签署本文件，</w:t>
      </w:r>
      <w:r>
        <w:rPr>
          <w:rFonts w:hint="eastAsia" w:cs="仿宋" w:asciiTheme="minorEastAsia" w:hAnsiTheme="minorEastAsia" w:eastAsiaTheme="minorEastAsia"/>
          <w:i/>
          <w:color w:val="auto"/>
          <w:sz w:val="24"/>
          <w:szCs w:val="24"/>
          <w:highlight w:val="none"/>
          <w:u w:val="single"/>
        </w:rPr>
        <w:t>(贸易公司名称)</w:t>
      </w:r>
      <w:r>
        <w:rPr>
          <w:rFonts w:hint="eastAsia" w:cs="仿宋" w:asciiTheme="minorEastAsia" w:hAnsiTheme="minorEastAsia" w:eastAsiaTheme="minorEastAsia"/>
          <w:color w:val="auto"/>
          <w:sz w:val="24"/>
          <w:szCs w:val="24"/>
          <w:highlight w:val="none"/>
        </w:rPr>
        <w:t>于年月日接受此件，以此为证。</w:t>
      </w:r>
    </w:p>
    <w:p>
      <w:pPr>
        <w:spacing w:line="432" w:lineRule="auto"/>
        <w:rPr>
          <w:rFonts w:cs="仿宋" w:asciiTheme="minorEastAsia" w:hAnsiTheme="minorEastAsia" w:eastAsiaTheme="minorEastAsia"/>
          <w:color w:val="auto"/>
          <w:sz w:val="24"/>
          <w:szCs w:val="24"/>
          <w:highlight w:val="none"/>
        </w:rPr>
      </w:pPr>
    </w:p>
    <w:p>
      <w:pPr>
        <w:spacing w:line="432" w:lineRule="auto"/>
        <w:rPr>
          <w:rFonts w:cs="仿宋" w:asciiTheme="minorEastAsia" w:hAnsiTheme="minorEastAsia" w:eastAsiaTheme="minorEastAsia"/>
          <w:color w:val="auto"/>
          <w:sz w:val="24"/>
          <w:szCs w:val="24"/>
          <w:highlight w:val="none"/>
        </w:rPr>
      </w:pPr>
    </w:p>
    <w:p>
      <w:pPr>
        <w:spacing w:line="432" w:lineRule="auto"/>
        <w:rPr>
          <w:rFonts w:cs="仿宋" w:asciiTheme="minorEastAsia" w:hAnsiTheme="minorEastAsia" w:eastAsiaTheme="minorEastAsia"/>
          <w:color w:val="auto"/>
          <w:sz w:val="24"/>
          <w:szCs w:val="24"/>
          <w:highlight w:val="none"/>
        </w:rPr>
      </w:pPr>
    </w:p>
    <w:p>
      <w:pPr>
        <w:spacing w:line="432"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贸易公司签章：                             制造商签章：              </w:t>
      </w:r>
    </w:p>
    <w:p>
      <w:pPr>
        <w:spacing w:line="432"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法定代表人或授权代表职务和部门：           法定代表人或授权代表职务和部门：        </w:t>
      </w:r>
    </w:p>
    <w:p>
      <w:pPr>
        <w:spacing w:line="432"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签字人签名或签章：                         签字人签名或签章：               </w:t>
      </w:r>
    </w:p>
    <w:p>
      <w:pP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br w:type="page"/>
      </w:r>
    </w:p>
    <w:p>
      <w:pPr>
        <w:spacing w:line="500" w:lineRule="exact"/>
        <w:jc w:val="center"/>
        <w:outlineLvl w:val="3"/>
        <w:rPr>
          <w:rFonts w:asciiTheme="minorEastAsia" w:hAnsiTheme="minorEastAsia" w:eastAsiaTheme="minorEastAsia"/>
          <w:b/>
          <w:sz w:val="24"/>
        </w:rPr>
      </w:pPr>
      <w:r>
        <w:rPr>
          <w:rFonts w:hint="eastAsia" w:asciiTheme="minorEastAsia" w:hAnsiTheme="minorEastAsia" w:eastAsiaTheme="minorEastAsia"/>
          <w:b/>
          <w:sz w:val="24"/>
        </w:rPr>
        <w:t>格式7-10.分包意向协议格式</w:t>
      </w:r>
    </w:p>
    <w:p>
      <w:pPr>
        <w:pStyle w:val="6"/>
        <w:outlineLvl w:val="3"/>
      </w:pPr>
    </w:p>
    <w:p>
      <w:pPr>
        <w:spacing w:line="500" w:lineRule="exact"/>
        <w:jc w:val="center"/>
        <w:rPr>
          <w:sz w:val="24"/>
          <w:szCs w:val="24"/>
        </w:rPr>
      </w:pPr>
      <w:r>
        <w:rPr>
          <w:rFonts w:hint="eastAsia"/>
          <w:sz w:val="24"/>
          <w:szCs w:val="24"/>
        </w:rPr>
        <w:t>分包意向协议</w:t>
      </w:r>
    </w:p>
    <w:p>
      <w:pPr>
        <w:spacing w:line="500" w:lineRule="exact"/>
        <w:ind w:firstLine="5280" w:firstLineChars="2200"/>
        <w:rPr>
          <w:sz w:val="24"/>
          <w:szCs w:val="24"/>
        </w:rPr>
      </w:pPr>
      <w:r>
        <w:rPr>
          <w:rFonts w:hint="eastAsia"/>
          <w:sz w:val="24"/>
          <w:szCs w:val="24"/>
        </w:rPr>
        <w:t>签订地点:</w:t>
      </w:r>
    </w:p>
    <w:p>
      <w:pPr>
        <w:spacing w:line="500" w:lineRule="exact"/>
        <w:ind w:firstLine="5280" w:firstLineChars="2200"/>
        <w:rPr>
          <w:sz w:val="24"/>
          <w:szCs w:val="24"/>
        </w:rPr>
      </w:pPr>
      <w:r>
        <w:rPr>
          <w:rFonts w:hint="eastAsia"/>
          <w:sz w:val="24"/>
          <w:szCs w:val="24"/>
        </w:rPr>
        <w:t>签订时间:</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发包方(以下称甲方)：</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分包方(以下称乙方)：</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鉴于甲方将承担</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项目,为顺利完成本项目合同内容,根据《中华人民</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共和国民法典》以及相关法律法规、规章规定，甲方决定将该项目部分内容委托</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给乙方完成。</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甲乙双方本着友好合作的目的，自愿签订本分包意向协议，并承诺共同遵守，</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在甲方与采购人签订项目合同后，甲方将与乙方签订正式分包合同，届时该意向</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协议终止。</w:t>
      </w:r>
    </w:p>
    <w:p>
      <w:pPr>
        <w:spacing w:line="500" w:lineRule="exact"/>
        <w:ind w:left="420" w:left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第一条 分包项目概况</w:t>
      </w:r>
    </w:p>
    <w:p>
      <w:pPr>
        <w:spacing w:line="500" w:lineRule="exact"/>
        <w:ind w:left="420" w:left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1、项目名称：</w:t>
      </w:r>
    </w:p>
    <w:p>
      <w:pPr>
        <w:spacing w:line="500" w:lineRule="exact"/>
        <w:ind w:left="420" w:left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2、分包内容：</w:t>
      </w:r>
    </w:p>
    <w:p>
      <w:pPr>
        <w:spacing w:line="500" w:lineRule="exact"/>
        <w:ind w:left="420" w:left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3、分包内容所占合同金额比例：</w:t>
      </w:r>
    </w:p>
    <w:p>
      <w:pPr>
        <w:spacing w:line="500" w:lineRule="exact"/>
        <w:ind w:left="420" w:left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4、分包供应商企业类型（中型/小型/微型）：</w:t>
      </w:r>
    </w:p>
    <w:p>
      <w:pPr>
        <w:spacing w:line="500" w:lineRule="exact"/>
        <w:ind w:left="420" w:left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5、分包供应商小微企业占合同金额比例：</w:t>
      </w:r>
    </w:p>
    <w:p>
      <w:pPr>
        <w:spacing w:line="500" w:lineRule="exact"/>
        <w:ind w:left="420" w:left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注：投标文件中必须提供分包供应商中小企业声明函（格式见招标文件第四</w:t>
      </w:r>
    </w:p>
    <w:p>
      <w:pPr>
        <w:spacing w:line="500" w:lineRule="exact"/>
        <w:ind w:left="420" w:left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章投标文件格式8-1）。</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乙方：</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（签字盖章）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（签字盖章）</w:t>
      </w:r>
    </w:p>
    <w:p>
      <w:pPr>
        <w:spacing w:line="500" w:lineRule="atLeast"/>
        <w:ind w:firstLine="1680" w:firstLineChars="700"/>
        <w:rPr>
          <w:rFonts w:cs="仿宋" w:asciiTheme="minorEastAsia" w:hAnsiTheme="minorEastAsia" w:eastAsiaTheme="minorEastAsia"/>
          <w:sz w:val="24"/>
          <w:szCs w:val="24"/>
        </w:rPr>
      </w:pP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月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年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月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color w:val="auto"/>
          <w:highlight w:val="none"/>
        </w:rPr>
      </w:pPr>
    </w:p>
    <w:p>
      <w:pPr>
        <w:pStyle w:val="4"/>
        <w:jc w:val="center"/>
        <w:rPr>
          <w:rFonts w:hint="eastAsia" w:cs="仿宋" w:asciiTheme="minorEastAsia" w:hAnsiTheme="minorEastAsia" w:eastAsiaTheme="minorEastAsia"/>
          <w:color w:val="auto"/>
          <w:sz w:val="24"/>
          <w:szCs w:val="24"/>
          <w:highlight w:val="yellow"/>
        </w:rPr>
      </w:pPr>
      <w:r>
        <w:rPr>
          <w:rFonts w:hint="eastAsia" w:cs="仿宋" w:asciiTheme="minorEastAsia" w:hAnsiTheme="minorEastAsia" w:eastAsiaTheme="minorEastAsia"/>
          <w:color w:val="auto"/>
          <w:sz w:val="24"/>
          <w:szCs w:val="24"/>
          <w:highlight w:val="yellow"/>
        </w:rPr>
        <w:br w:type="page"/>
      </w:r>
    </w:p>
    <w:p>
      <w:pPr>
        <w:pStyle w:val="6"/>
        <w:jc w:val="center"/>
        <w:outlineLvl w:val="3"/>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格式7-1</w:t>
      </w:r>
      <w:r>
        <w:rPr>
          <w:rFonts w:hint="eastAsia" w:cs="仿宋" w:asciiTheme="minorEastAsia" w:hAnsiTheme="minorEastAsia" w:eastAsiaTheme="minorEastAsia"/>
          <w:color w:val="auto"/>
          <w:sz w:val="24"/>
          <w:szCs w:val="24"/>
          <w:highlight w:val="none"/>
          <w:lang w:val="en-US" w:eastAsia="zh-CN"/>
        </w:rPr>
        <w:t>1</w:t>
      </w:r>
      <w:r>
        <w:rPr>
          <w:rFonts w:hint="eastAsia" w:cs="仿宋" w:asciiTheme="minorEastAsia" w:hAnsiTheme="minorEastAsia" w:eastAsiaTheme="minorEastAsia"/>
          <w:color w:val="auto"/>
          <w:sz w:val="24"/>
          <w:szCs w:val="24"/>
          <w:highlight w:val="none"/>
        </w:rPr>
        <w:t>江西省政府采购供应商资格信用承诺函</w:t>
      </w:r>
    </w:p>
    <w:p>
      <w:pPr>
        <w:pStyle w:val="75"/>
        <w:keepNext w:val="0"/>
        <w:keepLines w:val="0"/>
        <w:widowControl w:val="0"/>
        <w:shd w:val="clear" w:color="auto" w:fill="auto"/>
        <w:bidi w:val="0"/>
        <w:spacing w:before="0" w:after="0" w:line="610"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致（采购人或政府采购代理机构）:</w:t>
      </w:r>
    </w:p>
    <w:p>
      <w:pPr>
        <w:pStyle w:val="75"/>
        <w:keepNext w:val="0"/>
        <w:keepLines w:val="0"/>
        <w:widowControl w:val="0"/>
        <w:shd w:val="clear" w:color="auto" w:fill="auto"/>
        <w:bidi w:val="0"/>
        <w:spacing w:before="0" w:after="0" w:line="610" w:lineRule="exact"/>
        <w:ind w:left="0" w:leftChars="0" w:right="0" w:firstLine="0" w:firstLineChars="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单位名称（自然人姓名）:</w:t>
      </w:r>
    </w:p>
    <w:p>
      <w:pPr>
        <w:pStyle w:val="75"/>
        <w:keepNext w:val="0"/>
        <w:keepLines w:val="0"/>
        <w:widowControl w:val="0"/>
        <w:shd w:val="clear" w:color="auto" w:fill="auto"/>
        <w:bidi w:val="0"/>
        <w:spacing w:before="0" w:after="0" w:line="610" w:lineRule="exact"/>
        <w:ind w:left="0" w:leftChars="0" w:right="0" w:firstLine="0" w:firstLineChars="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统一社会信用代码（身份证号码）：</w:t>
      </w:r>
    </w:p>
    <w:p>
      <w:pPr>
        <w:pStyle w:val="75"/>
        <w:keepNext w:val="0"/>
        <w:keepLines w:val="0"/>
        <w:widowControl w:val="0"/>
        <w:shd w:val="clear" w:color="auto" w:fill="auto"/>
        <w:bidi w:val="0"/>
        <w:spacing w:before="0" w:after="0" w:line="610" w:lineRule="exact"/>
        <w:ind w:left="0" w:leftChars="0" w:right="0" w:firstLine="0" w:firstLineChars="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法定代表人（负责人）：</w:t>
      </w:r>
    </w:p>
    <w:p>
      <w:pPr>
        <w:pStyle w:val="75"/>
        <w:keepNext w:val="0"/>
        <w:keepLines w:val="0"/>
        <w:widowControl w:val="0"/>
        <w:shd w:val="clear" w:color="auto" w:fill="auto"/>
        <w:bidi w:val="0"/>
        <w:spacing w:before="0" w:after="0" w:line="610" w:lineRule="exact"/>
        <w:ind w:left="0" w:leftChars="0" w:right="0" w:firstLine="0" w:firstLineChars="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联系地址和电话：</w:t>
      </w:r>
    </w:p>
    <w:p>
      <w:pPr>
        <w:pStyle w:val="75"/>
        <w:keepNext w:val="0"/>
        <w:keepLines w:val="0"/>
        <w:widowControl w:val="0"/>
        <w:shd w:val="clear" w:color="auto" w:fill="auto"/>
        <w:bidi w:val="0"/>
        <w:spacing w:before="0" w:after="0" w:line="600" w:lineRule="exact"/>
        <w:ind w:left="0" w:right="0" w:firstLine="66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我单位（本人）自愿参加本次政府采购活动，严格遵守《中 华人民共和国政府采购法》及相关法律法规，坚守公开、公平、 公正和诚实信用等原则，依法诚信经营，并郑重承诺：</w:t>
      </w:r>
    </w:p>
    <w:p>
      <w:pPr>
        <w:pStyle w:val="75"/>
        <w:keepNext w:val="0"/>
        <w:keepLines w:val="0"/>
        <w:widowControl w:val="0"/>
        <w:shd w:val="clear" w:color="auto" w:fill="auto"/>
        <w:bidi w:val="0"/>
        <w:spacing w:before="0" w:after="240" w:line="610" w:lineRule="exact"/>
        <w:ind w:right="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（一）我单位（本人）符合采购文件要求以及《中华人民共和国政府采购法》第二十二条规定的条件：</w:t>
      </w:r>
    </w:p>
    <w:p>
      <w:pPr>
        <w:pStyle w:val="75"/>
        <w:keepNext w:val="0"/>
        <w:keepLines w:val="0"/>
        <w:widowControl w:val="0"/>
        <w:numPr>
          <w:ilvl w:val="0"/>
          <w:numId w:val="5"/>
        </w:numPr>
        <w:shd w:val="clear" w:color="auto" w:fill="auto"/>
        <w:tabs>
          <w:tab w:val="left" w:pos="972"/>
        </w:tabs>
        <w:bidi w:val="0"/>
        <w:spacing w:before="0" w:after="0" w:line="425" w:lineRule="auto"/>
        <w:ind w:left="0" w:right="0" w:firstLine="580"/>
        <w:jc w:val="both"/>
        <w:rPr>
          <w:rFonts w:hint="eastAsia" w:ascii="宋体" w:hAnsi="宋体" w:eastAsia="宋体" w:cs="宋体"/>
          <w:sz w:val="24"/>
          <w:szCs w:val="24"/>
        </w:rPr>
      </w:pPr>
      <w:bookmarkStart w:id="85" w:name="bookmark20"/>
      <w:bookmarkEnd w:id="85"/>
      <w:r>
        <w:rPr>
          <w:rFonts w:hint="eastAsia" w:ascii="宋体" w:hAnsi="宋体" w:eastAsia="宋体" w:cs="宋体"/>
          <w:color w:val="000000"/>
          <w:spacing w:val="0"/>
          <w:w w:val="100"/>
          <w:position w:val="0"/>
          <w:sz w:val="24"/>
          <w:szCs w:val="24"/>
        </w:rPr>
        <w:t>具有独立承担民事责任的能力；</w:t>
      </w:r>
    </w:p>
    <w:p>
      <w:pPr>
        <w:pStyle w:val="75"/>
        <w:keepNext w:val="0"/>
        <w:keepLines w:val="0"/>
        <w:widowControl w:val="0"/>
        <w:numPr>
          <w:ilvl w:val="0"/>
          <w:numId w:val="5"/>
        </w:numPr>
        <w:shd w:val="clear" w:color="auto" w:fill="auto"/>
        <w:tabs>
          <w:tab w:val="left" w:pos="977"/>
        </w:tabs>
        <w:bidi w:val="0"/>
        <w:spacing w:before="0" w:after="0" w:line="610" w:lineRule="exact"/>
        <w:ind w:left="0" w:right="0" w:firstLine="580"/>
        <w:jc w:val="both"/>
        <w:rPr>
          <w:rFonts w:hint="eastAsia" w:ascii="宋体" w:hAnsi="宋体" w:eastAsia="宋体" w:cs="宋体"/>
          <w:sz w:val="24"/>
          <w:szCs w:val="24"/>
        </w:rPr>
      </w:pPr>
      <w:bookmarkStart w:id="86" w:name="bookmark21"/>
      <w:bookmarkEnd w:id="86"/>
      <w:r>
        <w:rPr>
          <w:rFonts w:hint="eastAsia" w:ascii="宋体" w:hAnsi="宋体" w:eastAsia="宋体" w:cs="宋体"/>
          <w:color w:val="000000"/>
          <w:spacing w:val="0"/>
          <w:w w:val="100"/>
          <w:position w:val="0"/>
          <w:sz w:val="24"/>
          <w:szCs w:val="24"/>
        </w:rPr>
        <w:t>具有良好的商业信誉和健全的财务会计制度；</w:t>
      </w:r>
    </w:p>
    <w:p>
      <w:pPr>
        <w:pStyle w:val="75"/>
        <w:keepNext w:val="0"/>
        <w:keepLines w:val="0"/>
        <w:widowControl w:val="0"/>
        <w:numPr>
          <w:ilvl w:val="0"/>
          <w:numId w:val="5"/>
        </w:numPr>
        <w:shd w:val="clear" w:color="auto" w:fill="auto"/>
        <w:tabs>
          <w:tab w:val="left" w:pos="977"/>
        </w:tabs>
        <w:bidi w:val="0"/>
        <w:spacing w:before="0" w:after="0" w:line="610" w:lineRule="exact"/>
        <w:ind w:left="0" w:right="0" w:firstLine="580"/>
        <w:jc w:val="both"/>
        <w:rPr>
          <w:rFonts w:hint="eastAsia" w:ascii="宋体" w:hAnsi="宋体" w:eastAsia="宋体" w:cs="宋体"/>
          <w:sz w:val="24"/>
          <w:szCs w:val="24"/>
        </w:rPr>
      </w:pPr>
      <w:bookmarkStart w:id="87" w:name="bookmark22"/>
      <w:bookmarkEnd w:id="87"/>
      <w:r>
        <w:rPr>
          <w:rFonts w:hint="eastAsia" w:ascii="宋体" w:hAnsi="宋体" w:eastAsia="宋体" w:cs="宋体"/>
          <w:color w:val="000000"/>
          <w:spacing w:val="0"/>
          <w:w w:val="100"/>
          <w:position w:val="0"/>
          <w:sz w:val="24"/>
          <w:szCs w:val="24"/>
        </w:rPr>
        <w:t>具有履行合同所必需的设备和专业技术能力；</w:t>
      </w:r>
    </w:p>
    <w:p>
      <w:pPr>
        <w:pStyle w:val="75"/>
        <w:keepNext w:val="0"/>
        <w:keepLines w:val="0"/>
        <w:widowControl w:val="0"/>
        <w:numPr>
          <w:ilvl w:val="0"/>
          <w:numId w:val="5"/>
        </w:numPr>
        <w:shd w:val="clear" w:color="auto" w:fill="auto"/>
        <w:tabs>
          <w:tab w:val="left" w:pos="982"/>
        </w:tabs>
        <w:bidi w:val="0"/>
        <w:spacing w:before="0" w:after="0" w:line="610" w:lineRule="exact"/>
        <w:ind w:left="0" w:right="0" w:firstLine="580"/>
        <w:jc w:val="both"/>
        <w:rPr>
          <w:rFonts w:hint="eastAsia" w:ascii="宋体" w:hAnsi="宋体" w:eastAsia="宋体" w:cs="宋体"/>
          <w:sz w:val="24"/>
          <w:szCs w:val="24"/>
        </w:rPr>
      </w:pPr>
      <w:bookmarkStart w:id="88" w:name="bookmark23"/>
      <w:bookmarkEnd w:id="88"/>
      <w:r>
        <w:rPr>
          <w:rFonts w:hint="eastAsia" w:ascii="宋体" w:hAnsi="宋体" w:eastAsia="宋体" w:cs="宋体"/>
          <w:color w:val="000000"/>
          <w:spacing w:val="0"/>
          <w:w w:val="100"/>
          <w:position w:val="0"/>
          <w:sz w:val="24"/>
          <w:szCs w:val="24"/>
        </w:rPr>
        <w:t>有依法缴纳税收和社会保障资金的良好记录；</w:t>
      </w:r>
    </w:p>
    <w:p>
      <w:pPr>
        <w:pStyle w:val="75"/>
        <w:keepNext w:val="0"/>
        <w:keepLines w:val="0"/>
        <w:widowControl w:val="0"/>
        <w:numPr>
          <w:ilvl w:val="0"/>
          <w:numId w:val="5"/>
        </w:numPr>
        <w:shd w:val="clear" w:color="auto" w:fill="auto"/>
        <w:tabs>
          <w:tab w:val="left" w:pos="1040"/>
        </w:tabs>
        <w:bidi w:val="0"/>
        <w:spacing w:before="0" w:after="240" w:line="610" w:lineRule="exact"/>
        <w:ind w:left="0" w:right="0" w:firstLine="660"/>
        <w:jc w:val="left"/>
        <w:rPr>
          <w:rFonts w:hint="eastAsia" w:ascii="宋体" w:hAnsi="宋体" w:eastAsia="宋体" w:cs="宋体"/>
          <w:sz w:val="24"/>
          <w:szCs w:val="24"/>
        </w:rPr>
      </w:pPr>
      <w:bookmarkStart w:id="89" w:name="bookmark24"/>
      <w:bookmarkEnd w:id="89"/>
      <w:r>
        <w:rPr>
          <w:rFonts w:hint="eastAsia" w:ascii="宋体" w:hAnsi="宋体" w:eastAsia="宋体" w:cs="宋体"/>
          <w:color w:val="000000"/>
          <w:spacing w:val="0"/>
          <w:w w:val="100"/>
          <w:position w:val="0"/>
          <w:sz w:val="24"/>
          <w:szCs w:val="24"/>
        </w:rPr>
        <w:t>参加政府采购活动前三年内，在经营活动中没有重大违法记录；</w:t>
      </w:r>
    </w:p>
    <w:p>
      <w:pPr>
        <w:pStyle w:val="75"/>
        <w:keepNext w:val="0"/>
        <w:keepLines w:val="0"/>
        <w:widowControl w:val="0"/>
        <w:numPr>
          <w:ilvl w:val="0"/>
          <w:numId w:val="5"/>
        </w:numPr>
        <w:shd w:val="clear" w:color="auto" w:fill="auto"/>
        <w:bidi w:val="0"/>
        <w:spacing w:before="0" w:after="400" w:line="240" w:lineRule="auto"/>
        <w:ind w:left="0" w:right="0" w:firstLine="580"/>
        <w:jc w:val="left"/>
        <w:rPr>
          <w:rFonts w:hint="eastAsia" w:ascii="宋体" w:hAnsi="宋体" w:eastAsia="宋体" w:cs="宋体"/>
          <w:sz w:val="24"/>
          <w:szCs w:val="24"/>
        </w:rPr>
      </w:pPr>
      <w:bookmarkStart w:id="90" w:name="bookmark25"/>
      <w:bookmarkEnd w:id="90"/>
      <w:r>
        <w:rPr>
          <w:rFonts w:hint="eastAsia" w:ascii="宋体" w:hAnsi="宋体" w:eastAsia="宋体" w:cs="宋体"/>
          <w:color w:val="000000"/>
          <w:spacing w:val="0"/>
          <w:w w:val="100"/>
          <w:position w:val="0"/>
          <w:sz w:val="24"/>
          <w:szCs w:val="24"/>
        </w:rPr>
        <w:t>符合法律、行政法规规定的其他条件。</w:t>
      </w:r>
    </w:p>
    <w:p>
      <w:pPr>
        <w:pStyle w:val="75"/>
        <w:keepNext w:val="0"/>
        <w:keepLines w:val="0"/>
        <w:widowControl w:val="0"/>
        <w:shd w:val="clear" w:color="auto" w:fill="auto"/>
        <w:bidi w:val="0"/>
        <w:spacing w:before="0" w:after="0" w:line="653" w:lineRule="exact"/>
        <w:ind w:right="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（二）我单位（本人）未被列入严重失信主体名单、失信被执行人、税收违法黑名单、政府采购严重违法失信行为记录名单。</w:t>
      </w:r>
    </w:p>
    <w:p>
      <w:pPr>
        <w:pStyle w:val="75"/>
        <w:keepNext w:val="0"/>
        <w:keepLines w:val="0"/>
        <w:widowControl w:val="0"/>
        <w:shd w:val="clear" w:color="auto" w:fill="auto"/>
        <w:bidi w:val="0"/>
        <w:spacing w:before="0" w:after="580" w:line="605" w:lineRule="exact"/>
        <w:ind w:left="0" w:right="0" w:firstLine="62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 xml:space="preserve">我单位（本人）对本承诺函及所承诺事项的真实性、合法性及有效性负责，并已知晓如所作信用承诺不实，可能涉嫌《中华人民共和国政府采购法》第七十七条第一款第（一）项规定的 </w:t>
      </w:r>
      <w:r>
        <w:rPr>
          <w:rFonts w:hint="eastAsia" w:ascii="宋体" w:hAnsi="宋体" w:eastAsia="宋体" w:cs="宋体"/>
          <w:color w:val="000000"/>
          <w:spacing w:val="0"/>
          <w:w w:val="100"/>
          <w:position w:val="0"/>
          <w:sz w:val="24"/>
          <w:szCs w:val="24"/>
          <w:lang w:val="zh-CN" w:eastAsia="zh-CN" w:bidi="zh-CN"/>
        </w:rPr>
        <w:t>“提供</w:t>
      </w:r>
      <w:r>
        <w:rPr>
          <w:rFonts w:hint="eastAsia" w:ascii="宋体" w:hAnsi="宋体" w:eastAsia="宋体" w:cs="宋体"/>
          <w:color w:val="000000"/>
          <w:spacing w:val="0"/>
          <w:w w:val="100"/>
          <w:position w:val="0"/>
          <w:sz w:val="24"/>
          <w:szCs w:val="24"/>
        </w:rPr>
        <w:t>虚假材料谋取中标、成交”违法情形。经调查属实的，自觉接受政府采购行政监管部门按照《中华人民共和国政府采 购法》第七十七条：</w:t>
      </w:r>
      <w:r>
        <w:rPr>
          <w:rFonts w:hint="eastAsia" w:ascii="宋体" w:hAnsi="宋体" w:eastAsia="宋体" w:cs="宋体"/>
          <w:color w:val="000000"/>
          <w:spacing w:val="0"/>
          <w:w w:val="100"/>
          <w:position w:val="0"/>
          <w:sz w:val="24"/>
          <w:szCs w:val="24"/>
          <w:lang w:val="zh-CN" w:eastAsia="zh-CN" w:bidi="zh-CN"/>
        </w:rPr>
        <w:t>“处</w:t>
      </w:r>
      <w:r>
        <w:rPr>
          <w:rFonts w:hint="eastAsia" w:ascii="宋体" w:hAnsi="宋体" w:eastAsia="宋体" w:cs="宋体"/>
          <w:color w:val="000000"/>
          <w:spacing w:val="0"/>
          <w:w w:val="100"/>
          <w:position w:val="0"/>
          <w:sz w:val="24"/>
          <w:szCs w:val="24"/>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pPr>
        <w:pStyle w:val="75"/>
        <w:keepNext w:val="0"/>
        <w:keepLines w:val="0"/>
        <w:widowControl w:val="0"/>
        <w:shd w:val="clear" w:color="auto" w:fill="auto"/>
        <w:bidi w:val="0"/>
        <w:spacing w:before="0" w:after="0" w:line="605" w:lineRule="exact"/>
        <w:ind w:left="0" w:right="0" w:firstLine="0"/>
        <w:jc w:val="center"/>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 xml:space="preserve">          </w:t>
      </w:r>
    </w:p>
    <w:p>
      <w:pPr>
        <w:pStyle w:val="75"/>
        <w:keepNext w:val="0"/>
        <w:keepLines w:val="0"/>
        <w:widowControl w:val="0"/>
        <w:shd w:val="clear" w:color="auto" w:fill="auto"/>
        <w:bidi w:val="0"/>
        <w:spacing w:before="0" w:after="0" w:line="605" w:lineRule="exact"/>
        <w:ind w:left="0" w:right="0" w:firstLine="0"/>
        <w:jc w:val="center"/>
        <w:rPr>
          <w:rFonts w:hint="eastAsia" w:ascii="宋体" w:hAnsi="宋体" w:eastAsia="宋体" w:cs="宋体"/>
          <w:sz w:val="24"/>
          <w:szCs w:val="24"/>
        </w:rPr>
      </w:pP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供应商名称（单位公章）：</w:t>
      </w:r>
    </w:p>
    <w:p>
      <w:pPr>
        <w:pStyle w:val="75"/>
        <w:keepNext w:val="0"/>
        <w:keepLines w:val="0"/>
        <w:widowControl w:val="0"/>
        <w:shd w:val="clear" w:color="auto" w:fill="auto"/>
        <w:bidi w:val="0"/>
        <w:spacing w:before="0" w:after="0" w:line="605"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或自然人（签字）：</w:t>
      </w:r>
    </w:p>
    <w:p>
      <w:pPr>
        <w:pStyle w:val="75"/>
        <w:keepNext w:val="0"/>
        <w:keepLines w:val="0"/>
        <w:widowControl w:val="0"/>
        <w:shd w:val="clear" w:color="auto" w:fill="auto"/>
        <w:bidi w:val="0"/>
        <w:spacing w:before="0" w:after="520" w:line="605" w:lineRule="exact"/>
        <w:ind w:left="0" w:right="0" w:firstLine="0"/>
        <w:jc w:val="righ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年</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 xml:space="preserve"> 月</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 xml:space="preserve"> 日</w:t>
      </w:r>
    </w:p>
    <w:p>
      <w:pPr>
        <w:pStyle w:val="76"/>
        <w:keepNext w:val="0"/>
        <w:keepLines w:val="0"/>
        <w:widowControl w:val="0"/>
        <w:shd w:val="clear" w:color="auto" w:fill="auto"/>
        <w:bidi w:val="0"/>
        <w:spacing w:before="0" w:after="0" w:line="602" w:lineRule="exact"/>
        <w:ind w:left="0" w:right="0" w:firstLine="0"/>
        <w:jc w:val="both"/>
        <w:rPr>
          <w:rFonts w:hint="eastAsia" w:ascii="宋体" w:hAnsi="宋体" w:eastAsia="宋体" w:cs="宋体"/>
          <w:color w:val="000000"/>
          <w:spacing w:val="0"/>
          <w:w w:val="100"/>
          <w:position w:val="0"/>
          <w:sz w:val="24"/>
          <w:szCs w:val="24"/>
        </w:rPr>
      </w:pPr>
    </w:p>
    <w:p>
      <w:pPr>
        <w:pStyle w:val="76"/>
        <w:keepNext w:val="0"/>
        <w:keepLines w:val="0"/>
        <w:widowControl w:val="0"/>
        <w:shd w:val="clear" w:color="auto" w:fill="auto"/>
        <w:bidi w:val="0"/>
        <w:spacing w:before="0" w:after="0" w:line="602" w:lineRule="exact"/>
        <w:ind w:left="0" w:right="0" w:firstLine="0"/>
        <w:jc w:val="both"/>
        <w:rPr>
          <w:rFonts w:hint="eastAsia" w:ascii="宋体" w:hAnsi="宋体" w:eastAsia="宋体" w:cs="宋体"/>
          <w:color w:val="000000"/>
          <w:spacing w:val="0"/>
          <w:w w:val="100"/>
          <w:position w:val="0"/>
          <w:sz w:val="24"/>
          <w:szCs w:val="24"/>
        </w:rPr>
      </w:pPr>
    </w:p>
    <w:p>
      <w:pPr>
        <w:pStyle w:val="76"/>
        <w:keepNext w:val="0"/>
        <w:keepLines w:val="0"/>
        <w:widowControl w:val="0"/>
        <w:shd w:val="clear" w:color="auto" w:fill="auto"/>
        <w:bidi w:val="0"/>
        <w:spacing w:before="0" w:after="0" w:line="602" w:lineRule="exact"/>
        <w:ind w:left="0" w:right="0" w:firstLine="0"/>
        <w:jc w:val="both"/>
        <w:rPr>
          <w:rFonts w:hint="eastAsia" w:ascii="宋体" w:hAnsi="宋体" w:eastAsia="宋体" w:cs="宋体"/>
          <w:sz w:val="24"/>
          <w:szCs w:val="24"/>
          <w:lang w:eastAsia="zh-CN"/>
        </w:rPr>
      </w:pPr>
      <w:r>
        <w:rPr>
          <w:rFonts w:hint="eastAsia" w:ascii="宋体" w:hAnsi="宋体" w:eastAsia="宋体" w:cs="宋体"/>
          <w:color w:val="000000"/>
          <w:spacing w:val="0"/>
          <w:w w:val="100"/>
          <w:position w:val="0"/>
          <w:sz w:val="24"/>
          <w:szCs w:val="24"/>
        </w:rPr>
        <w:t>注:</w:t>
      </w:r>
      <w:r>
        <w:rPr>
          <w:rFonts w:hint="eastAsia" w:ascii="宋体" w:hAnsi="宋体" w:eastAsia="宋体" w:cs="宋体"/>
          <w:color w:val="000000"/>
          <w:spacing w:val="0"/>
          <w:w w:val="100"/>
          <w:position w:val="0"/>
          <w:sz w:val="24"/>
          <w:szCs w:val="24"/>
          <w:lang w:val="en-US" w:eastAsia="zh-CN" w:bidi="en-US"/>
        </w:rPr>
        <w:t>1.</w:t>
      </w:r>
      <w:r>
        <w:rPr>
          <w:rFonts w:hint="eastAsia" w:ascii="宋体" w:hAnsi="宋体" w:eastAsia="宋体" w:cs="宋体"/>
          <w:color w:val="000000"/>
          <w:spacing w:val="0"/>
          <w:w w:val="100"/>
          <w:position w:val="0"/>
          <w:sz w:val="24"/>
          <w:szCs w:val="24"/>
        </w:rPr>
        <w:t>我单位（本人）专指参加政府采购活动的供应商（含自然人）</w:t>
      </w:r>
      <w:r>
        <w:rPr>
          <w:rFonts w:hint="eastAsia" w:cs="宋体"/>
          <w:color w:val="000000"/>
          <w:spacing w:val="0"/>
          <w:w w:val="100"/>
          <w:position w:val="0"/>
          <w:sz w:val="24"/>
          <w:szCs w:val="24"/>
          <w:lang w:eastAsia="zh-CN"/>
        </w:rPr>
        <w:t>。</w:t>
      </w:r>
    </w:p>
    <w:p>
      <w:pPr>
        <w:pStyle w:val="76"/>
        <w:keepNext w:val="0"/>
        <w:keepLines w:val="0"/>
        <w:widowControl w:val="0"/>
        <w:shd w:val="clear" w:color="auto" w:fill="auto"/>
        <w:bidi w:val="0"/>
        <w:spacing w:before="0" w:after="260" w:line="602" w:lineRule="exact"/>
        <w:ind w:right="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2.供应商须在投标（响应）文件中按此模板提供承诺函，既未提供前述承诺函又未提供对应事项证明材料的，视为未实质响应招标文件要求，按无效投标（响应）处理。</w:t>
      </w:r>
    </w:p>
    <w:p>
      <w:pPr>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br w:type="page"/>
      </w:r>
    </w:p>
    <w:p>
      <w:pPr>
        <w:pStyle w:val="6"/>
        <w:jc w:val="center"/>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格式7-1</w:t>
      </w:r>
      <w:r>
        <w:rPr>
          <w:rFonts w:hint="eastAsia" w:cs="仿宋" w:asciiTheme="minorEastAsia" w:hAnsiTheme="minorEastAsia" w:eastAsiaTheme="minorEastAsia"/>
          <w:color w:val="auto"/>
          <w:sz w:val="24"/>
          <w:szCs w:val="24"/>
          <w:highlight w:val="none"/>
          <w:lang w:val="en-US" w:eastAsia="zh-CN"/>
        </w:rPr>
        <w:t>2</w:t>
      </w:r>
      <w:r>
        <w:rPr>
          <w:rFonts w:hint="eastAsia" w:cs="仿宋" w:asciiTheme="minorEastAsia" w:hAnsiTheme="minorEastAsia" w:eastAsiaTheme="minorEastAsia"/>
          <w:color w:val="auto"/>
          <w:sz w:val="24"/>
          <w:szCs w:val="24"/>
          <w:highlight w:val="none"/>
        </w:rPr>
        <w:t>其他资格证明文件</w:t>
      </w:r>
    </w:p>
    <w:p>
      <w:pPr>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br w:type="page"/>
      </w:r>
    </w:p>
    <w:p>
      <w:pPr>
        <w:pStyle w:val="6"/>
        <w:jc w:val="center"/>
        <w:outlineLvl w:val="3"/>
        <w:rPr>
          <w:rFonts w:cs="仿宋" w:asciiTheme="minorEastAsia" w:hAnsiTheme="minorEastAsia" w:eastAsiaTheme="minorEastAsia"/>
          <w:b/>
          <w:color w:val="auto"/>
          <w:sz w:val="24"/>
          <w:szCs w:val="24"/>
          <w:highlight w:val="none"/>
        </w:rPr>
      </w:pPr>
      <w:r>
        <w:rPr>
          <w:rFonts w:hint="eastAsia" w:cs="仿宋" w:asciiTheme="minorEastAsia" w:hAnsiTheme="minorEastAsia" w:eastAsiaTheme="minorEastAsia"/>
          <w:b/>
          <w:color w:val="auto"/>
          <w:sz w:val="24"/>
          <w:szCs w:val="24"/>
          <w:highlight w:val="none"/>
        </w:rPr>
        <w:t>8.为落实政府采购政策投标人须提供的证明材料</w:t>
      </w:r>
    </w:p>
    <w:p>
      <w:pPr>
        <w:outlineLvl w:val="3"/>
        <w:rPr>
          <w:rFonts w:cs="仿宋" w:asciiTheme="minorEastAsia" w:hAnsiTheme="minorEastAsia" w:eastAsiaTheme="minorEastAsia"/>
          <w:color w:val="auto"/>
          <w:sz w:val="24"/>
          <w:szCs w:val="24"/>
          <w:highlight w:val="none"/>
        </w:rPr>
      </w:pPr>
    </w:p>
    <w:p>
      <w:pPr>
        <w:pStyle w:val="4"/>
        <w:spacing w:before="0" w:after="0" w:line="460" w:lineRule="exact"/>
        <w:jc w:val="center"/>
        <w:rPr>
          <w:rFonts w:cs="仿宋" w:asciiTheme="minorEastAsia" w:hAnsiTheme="minorEastAsia" w:eastAsiaTheme="minorEastAsia"/>
          <w:bCs w:val="0"/>
          <w:color w:val="auto"/>
          <w:sz w:val="24"/>
          <w:szCs w:val="24"/>
          <w:highlight w:val="none"/>
        </w:rPr>
      </w:pPr>
      <w:bookmarkStart w:id="91" w:name="_Toc474492115"/>
    </w:p>
    <w:p>
      <w:pPr>
        <w:pStyle w:val="6"/>
        <w:jc w:val="center"/>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格式8-1中小企业声明</w:t>
      </w:r>
      <w:bookmarkEnd w:id="91"/>
    </w:p>
    <w:p>
      <w:pPr>
        <w:pStyle w:val="2"/>
        <w:spacing w:before="55" w:line="302" w:lineRule="auto"/>
        <w:ind w:right="415" w:firstLine="64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本公司（联合体）郑重声明，根据《政府采购促进中小企业发展管理办法》（财库﹝2020﹞46 号）的规定，本公司（联合体）参加（单位名称）的（项目名称）采购活动，提供的货物全部由符合政策要求的中小企业制造。相关企业</w:t>
      </w:r>
    </w:p>
    <w:p>
      <w:pPr>
        <w:pStyle w:val="2"/>
        <w:spacing w:line="304" w:lineRule="auto"/>
        <w:ind w:right="405"/>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（含联合体中的中小企业、签订分包意向协议的中小企业） 的具体情况如下：</w:t>
      </w:r>
    </w:p>
    <w:p>
      <w:pPr>
        <w:pStyle w:val="68"/>
        <w:numPr>
          <w:ilvl w:val="0"/>
          <w:numId w:val="6"/>
        </w:numPr>
        <w:tabs>
          <w:tab w:val="left" w:pos="1183"/>
          <w:tab w:val="left" w:pos="1484"/>
          <w:tab w:val="left" w:pos="4662"/>
          <w:tab w:val="left" w:pos="6903"/>
        </w:tabs>
        <w:spacing w:before="0" w:after="0" w:line="295" w:lineRule="auto"/>
        <w:ind w:left="205" w:right="169" w:firstLine="655"/>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 xml:space="preserve"> （ 标 的 名 称 ） ， 属 于 （ 采 购 文 件 中 明 确 的 所 属 行 业 ） 行业；制造商为（企业名称），从业人员 </w:t>
      </w:r>
      <w:r>
        <w:rPr>
          <w:rFonts w:hint="eastAsia" w:asciiTheme="minorEastAsia" w:hAnsiTheme="minorEastAsia" w:eastAsiaTheme="minorEastAsia" w:cstheme="minorEastAsia"/>
          <w:kern w:val="2"/>
          <w:sz w:val="24"/>
          <w:szCs w:val="24"/>
          <w:highlight w:val="none"/>
          <w:lang w:val="en-US" w:eastAsia="zh-CN" w:bidi="ar-SA"/>
        </w:rPr>
        <w:tab/>
      </w:r>
      <w:r>
        <w:rPr>
          <w:rFonts w:hint="eastAsia" w:asciiTheme="minorEastAsia" w:hAnsiTheme="minorEastAsia" w:eastAsiaTheme="minorEastAsia" w:cstheme="minorEastAsia"/>
          <w:kern w:val="2"/>
          <w:sz w:val="24"/>
          <w:szCs w:val="24"/>
          <w:highlight w:val="none"/>
          <w:lang w:val="en-US" w:eastAsia="zh-CN" w:bidi="ar-SA"/>
        </w:rPr>
        <w:t xml:space="preserve">人，营业收入为 </w:t>
      </w:r>
      <w:r>
        <w:rPr>
          <w:rFonts w:hint="eastAsia" w:asciiTheme="minorEastAsia" w:hAnsiTheme="minorEastAsia" w:eastAsiaTheme="minorEastAsia" w:cstheme="minorEastAsia"/>
          <w:kern w:val="2"/>
          <w:sz w:val="24"/>
          <w:szCs w:val="24"/>
          <w:highlight w:val="none"/>
          <w:lang w:val="en-US" w:eastAsia="zh-CN" w:bidi="ar-SA"/>
        </w:rPr>
        <w:tab/>
      </w:r>
      <w:r>
        <w:rPr>
          <w:rFonts w:hint="eastAsia" w:asciiTheme="minorEastAsia" w:hAnsiTheme="minorEastAsia" w:eastAsiaTheme="minorEastAsia" w:cstheme="minorEastAsia"/>
          <w:kern w:val="2"/>
          <w:sz w:val="24"/>
          <w:szCs w:val="24"/>
          <w:highlight w:val="none"/>
          <w:lang w:val="en-US" w:eastAsia="zh-CN" w:bidi="ar-SA"/>
        </w:rPr>
        <w:t xml:space="preserve">万元，资产总额为 </w:t>
      </w:r>
      <w:r>
        <w:rPr>
          <w:rFonts w:hint="eastAsia" w:asciiTheme="minorEastAsia" w:hAnsiTheme="minorEastAsia" w:eastAsiaTheme="minorEastAsia" w:cstheme="minorEastAsia"/>
          <w:kern w:val="2"/>
          <w:sz w:val="24"/>
          <w:szCs w:val="24"/>
          <w:highlight w:val="none"/>
          <w:lang w:val="en-US" w:eastAsia="zh-CN" w:bidi="ar-SA"/>
        </w:rPr>
        <w:tab/>
      </w:r>
      <w:r>
        <w:rPr>
          <w:rFonts w:hint="eastAsia" w:asciiTheme="minorEastAsia" w:hAnsiTheme="minorEastAsia" w:eastAsiaTheme="minorEastAsia" w:cstheme="minorEastAsia"/>
          <w:kern w:val="2"/>
          <w:sz w:val="24"/>
          <w:szCs w:val="24"/>
          <w:highlight w:val="none"/>
          <w:lang w:val="en-US" w:eastAsia="zh-CN" w:bidi="ar-SA"/>
        </w:rPr>
        <w:t>万元</w:t>
      </w:r>
      <w:r>
        <w:rPr>
          <w:rFonts w:hint="eastAsia" w:asciiTheme="minorEastAsia" w:hAnsiTheme="minorEastAsia" w:eastAsiaTheme="minorEastAsia" w:cstheme="minorEastAsia"/>
          <w:kern w:val="2"/>
          <w:sz w:val="24"/>
          <w:szCs w:val="24"/>
          <w:highlight w:val="none"/>
          <w:lang w:val="en-US" w:eastAsia="zh-CN" w:bidi="ar-SA"/>
        </w:rPr>
        <w:fldChar w:fldCharType="begin"/>
      </w:r>
      <w:r>
        <w:rPr>
          <w:rFonts w:hint="eastAsia" w:asciiTheme="minorEastAsia" w:hAnsiTheme="minorEastAsia" w:eastAsiaTheme="minorEastAsia" w:cstheme="minorEastAsia"/>
          <w:kern w:val="2"/>
          <w:sz w:val="24"/>
          <w:szCs w:val="24"/>
          <w:highlight w:val="none"/>
          <w:lang w:val="en-US" w:eastAsia="zh-CN" w:bidi="ar-SA"/>
        </w:rPr>
        <w:instrText xml:space="preserve"> HYPERLINK \l "_bookmark0" </w:instrText>
      </w:r>
      <w:r>
        <w:rPr>
          <w:rFonts w:hint="eastAsia" w:asciiTheme="minorEastAsia" w:hAnsiTheme="minorEastAsia" w:eastAsiaTheme="minorEastAsia" w:cstheme="minorEastAsia"/>
          <w:kern w:val="2"/>
          <w:sz w:val="24"/>
          <w:szCs w:val="24"/>
          <w:highlight w:val="none"/>
          <w:lang w:val="en-US" w:eastAsia="zh-CN" w:bidi="ar-SA"/>
        </w:rPr>
        <w:fldChar w:fldCharType="separate"/>
      </w:r>
      <w:r>
        <w:rPr>
          <w:rFonts w:hint="eastAsia" w:asciiTheme="minorEastAsia" w:hAnsiTheme="minorEastAsia" w:eastAsiaTheme="minorEastAsia" w:cstheme="minorEastAsia"/>
          <w:kern w:val="2"/>
          <w:sz w:val="24"/>
          <w:szCs w:val="24"/>
          <w:highlight w:val="none"/>
          <w:lang w:val="en-US" w:eastAsia="zh-CN" w:bidi="ar-SA"/>
        </w:rPr>
        <w:t>1</w:t>
      </w:r>
      <w:r>
        <w:rPr>
          <w:rFonts w:hint="eastAsia" w:asciiTheme="minorEastAsia" w:hAnsiTheme="minorEastAsia" w:eastAsiaTheme="minorEastAsia" w:cstheme="minorEastAsia"/>
          <w:kern w:val="2"/>
          <w:sz w:val="24"/>
          <w:szCs w:val="24"/>
          <w:highlight w:val="none"/>
          <w:lang w:val="en-US" w:eastAsia="zh-CN" w:bidi="ar-SA"/>
        </w:rPr>
        <w:fldChar w:fldCharType="end"/>
      </w:r>
      <w:r>
        <w:rPr>
          <w:rFonts w:hint="eastAsia" w:asciiTheme="minorEastAsia" w:hAnsiTheme="minorEastAsia" w:eastAsiaTheme="minorEastAsia" w:cstheme="minorEastAsia"/>
          <w:kern w:val="2"/>
          <w:sz w:val="24"/>
          <w:szCs w:val="24"/>
          <w:highlight w:val="none"/>
          <w:lang w:val="en-US" w:eastAsia="zh-CN" w:bidi="ar-SA"/>
        </w:rPr>
        <w:t>，属于（中型企业、小型企业、微型企业）；</w:t>
      </w:r>
    </w:p>
    <w:p>
      <w:pPr>
        <w:pStyle w:val="68"/>
        <w:numPr>
          <w:ilvl w:val="0"/>
          <w:numId w:val="6"/>
        </w:numPr>
        <w:tabs>
          <w:tab w:val="left" w:pos="1165"/>
          <w:tab w:val="left" w:pos="1183"/>
          <w:tab w:val="left" w:pos="4362"/>
          <w:tab w:val="left" w:pos="6577"/>
        </w:tabs>
        <w:spacing w:before="0" w:after="0" w:line="295" w:lineRule="auto"/>
        <w:ind w:left="205" w:right="169" w:firstLine="655"/>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 xml:space="preserve"> （ 标 的 名 称 ） ， 属 于 （ 采 购 文 件 中 明 确 的 所 属 行 业 ） 行业；制造商为（企业名称），从业人员 </w:t>
      </w:r>
      <w:r>
        <w:rPr>
          <w:rFonts w:hint="eastAsia" w:asciiTheme="minorEastAsia" w:hAnsiTheme="minorEastAsia" w:eastAsiaTheme="minorEastAsia" w:cstheme="minorEastAsia"/>
          <w:kern w:val="2"/>
          <w:sz w:val="24"/>
          <w:szCs w:val="24"/>
          <w:highlight w:val="none"/>
          <w:lang w:val="en-US" w:eastAsia="zh-CN" w:bidi="ar-SA"/>
        </w:rPr>
        <w:tab/>
      </w:r>
      <w:r>
        <w:rPr>
          <w:rFonts w:hint="eastAsia" w:asciiTheme="minorEastAsia" w:hAnsiTheme="minorEastAsia" w:eastAsiaTheme="minorEastAsia" w:cstheme="minorEastAsia"/>
          <w:kern w:val="2"/>
          <w:sz w:val="24"/>
          <w:szCs w:val="24"/>
          <w:highlight w:val="none"/>
          <w:lang w:val="en-US" w:eastAsia="zh-CN" w:bidi="ar-SA"/>
        </w:rPr>
        <w:t xml:space="preserve">人，营业收入为 </w:t>
      </w:r>
      <w:r>
        <w:rPr>
          <w:rFonts w:hint="eastAsia" w:asciiTheme="minorEastAsia" w:hAnsiTheme="minorEastAsia" w:eastAsiaTheme="minorEastAsia" w:cstheme="minorEastAsia"/>
          <w:kern w:val="2"/>
          <w:sz w:val="24"/>
          <w:szCs w:val="24"/>
          <w:highlight w:val="none"/>
          <w:lang w:val="en-US" w:eastAsia="zh-CN" w:bidi="ar-SA"/>
        </w:rPr>
        <w:tab/>
      </w:r>
      <w:r>
        <w:rPr>
          <w:rFonts w:hint="eastAsia" w:asciiTheme="minorEastAsia" w:hAnsiTheme="minorEastAsia" w:eastAsiaTheme="minorEastAsia" w:cstheme="minorEastAsia"/>
          <w:kern w:val="2"/>
          <w:sz w:val="24"/>
          <w:szCs w:val="24"/>
          <w:highlight w:val="none"/>
          <w:lang w:val="en-US" w:eastAsia="zh-CN" w:bidi="ar-SA"/>
        </w:rPr>
        <w:t xml:space="preserve">万元，资产总额为 </w:t>
      </w:r>
      <w:r>
        <w:rPr>
          <w:rFonts w:hint="eastAsia" w:asciiTheme="minorEastAsia" w:hAnsiTheme="minorEastAsia" w:eastAsiaTheme="minorEastAsia" w:cstheme="minorEastAsia"/>
          <w:kern w:val="2"/>
          <w:sz w:val="24"/>
          <w:szCs w:val="24"/>
          <w:highlight w:val="none"/>
          <w:lang w:val="en-US" w:eastAsia="zh-CN" w:bidi="ar-SA"/>
        </w:rPr>
        <w:tab/>
      </w:r>
      <w:r>
        <w:rPr>
          <w:rFonts w:hint="eastAsia" w:asciiTheme="minorEastAsia" w:hAnsiTheme="minorEastAsia" w:eastAsiaTheme="minorEastAsia" w:cstheme="minorEastAsia"/>
          <w:kern w:val="2"/>
          <w:sz w:val="24"/>
          <w:szCs w:val="24"/>
          <w:highlight w:val="none"/>
          <w:lang w:val="en-US" w:eastAsia="zh-CN" w:bidi="ar-SA"/>
        </w:rPr>
        <w:t>万元，属于（中型企业、小型企业、微型企业）；</w:t>
      </w:r>
    </w:p>
    <w:p>
      <w:pPr>
        <w:pStyle w:val="2"/>
        <w:ind w:left="86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w:t>
      </w:r>
    </w:p>
    <w:p>
      <w:pPr>
        <w:pStyle w:val="2"/>
        <w:spacing w:before="105" w:line="304" w:lineRule="auto"/>
        <w:ind w:right="417" w:firstLine="645"/>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以上企业，不属于大企业的分支机构，不存在控股股东为大企业的情形，也不存在与大企业的负责人为同一人的情形。</w:t>
      </w:r>
    </w:p>
    <w:p>
      <w:pPr>
        <w:pStyle w:val="2"/>
        <w:spacing w:line="302" w:lineRule="auto"/>
        <w:ind w:right="372" w:firstLine="645"/>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本企业对上述声明内容的真实性负责。如有虚假，将依法承担相应责任。</w:t>
      </w:r>
    </w:p>
    <w:p>
      <w:pPr>
        <w:pStyle w:val="2"/>
        <w:spacing w:before="35" w:line="316" w:lineRule="auto"/>
        <w:ind w:left="4060" w:right="2166"/>
        <w:rPr>
          <w:rFonts w:hint="eastAsia" w:ascii="仿宋" w:hAnsi="仿宋" w:eastAsia="仿宋" w:cs="仿宋"/>
          <w:kern w:val="2"/>
          <w:sz w:val="24"/>
          <w:szCs w:val="24"/>
          <w:highlight w:val="yellow"/>
          <w:lang w:val="en-US" w:eastAsia="zh-CN" w:bidi="ar-SA"/>
        </w:rPr>
      </w:pPr>
    </w:p>
    <w:p>
      <w:pPr>
        <w:pStyle w:val="2"/>
        <w:spacing w:before="35" w:line="316" w:lineRule="auto"/>
        <w:ind w:left="4060" w:right="2166"/>
        <w:rPr>
          <w:rFonts w:hint="eastAsia" w:ascii="仿宋" w:hAnsi="仿宋" w:eastAsia="仿宋" w:cs="仿宋"/>
          <w:kern w:val="2"/>
          <w:sz w:val="24"/>
          <w:szCs w:val="24"/>
          <w:highlight w:val="yellow"/>
          <w:lang w:val="en-US" w:eastAsia="zh-CN" w:bidi="ar-SA"/>
        </w:rPr>
      </w:pPr>
    </w:p>
    <w:p>
      <w:pPr>
        <w:pStyle w:val="2"/>
        <w:spacing w:before="35" w:line="316" w:lineRule="auto"/>
        <w:ind w:left="4060" w:right="2166"/>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企业名称（盖章）：</w:t>
      </w:r>
    </w:p>
    <w:p>
      <w:pPr>
        <w:pStyle w:val="2"/>
        <w:spacing w:before="35" w:line="316" w:lineRule="auto"/>
        <w:ind w:left="4060" w:right="2166"/>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日期：</w:t>
      </w:r>
    </w:p>
    <w:p>
      <w:pPr>
        <w:spacing w:after="0" w:line="316" w:lineRule="auto"/>
        <w:rPr>
          <w:rFonts w:hint="eastAsia" w:asciiTheme="minorEastAsia" w:hAnsiTheme="minorEastAsia" w:eastAsiaTheme="minorEastAsia" w:cstheme="minorEastAsia"/>
          <w:kern w:val="2"/>
          <w:sz w:val="24"/>
          <w:szCs w:val="24"/>
          <w:highlight w:val="none"/>
          <w:lang w:val="en-US" w:eastAsia="zh-CN" w:bidi="ar-SA"/>
        </w:rPr>
      </w:pPr>
    </w:p>
    <w:p>
      <w:pPr>
        <w:spacing w:before="5"/>
        <w:ind w:left="20" w:right="0" w:firstLine="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注：1、从业人员、营业收入、资产总额填报上一年度数据，无上一年度数据的新成立企业可不填报。</w:t>
      </w:r>
    </w:p>
    <w:p>
      <w:pPr>
        <w:rPr>
          <w:rFonts w:cs="仿宋" w:asciiTheme="minorEastAsia" w:hAnsiTheme="minorEastAsia" w:eastAsiaTheme="minorEastAsia"/>
          <w:color w:val="auto"/>
          <w:sz w:val="24"/>
          <w:szCs w:val="24"/>
          <w:highlight w:val="none"/>
        </w:rPr>
      </w:pPr>
    </w:p>
    <w:p>
      <w:pPr>
        <w:pStyle w:val="4"/>
        <w:spacing w:before="0" w:after="0" w:line="460" w:lineRule="exact"/>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br w:type="page"/>
      </w:r>
      <w:bookmarkStart w:id="92" w:name="_Toc329789742"/>
    </w:p>
    <w:bookmarkEnd w:id="92"/>
    <w:p>
      <w:pPr>
        <w:pStyle w:val="6"/>
        <w:outlineLvl w:val="3"/>
        <w:rPr>
          <w:rFonts w:hint="eastAsia" w:asciiTheme="minorEastAsia" w:hAnsiTheme="minorEastAsia" w:eastAsiaTheme="minorEastAsia" w:cstheme="minorEastAsia"/>
          <w:color w:val="auto"/>
          <w:sz w:val="24"/>
          <w:szCs w:val="24"/>
          <w:highlight w:val="none"/>
        </w:rPr>
      </w:pPr>
      <w:bookmarkStart w:id="93" w:name="_Toc474492116"/>
      <w:r>
        <w:rPr>
          <w:rFonts w:hint="eastAsia" w:asciiTheme="minorEastAsia" w:hAnsiTheme="minorEastAsia" w:eastAsiaTheme="minorEastAsia" w:cstheme="minorEastAsia"/>
          <w:color w:val="auto"/>
          <w:sz w:val="24"/>
          <w:szCs w:val="24"/>
          <w:highlight w:val="none"/>
        </w:rPr>
        <w:t>格式8-2省级以上监狱管理局、戒毒管理局（含新疆生产建设兵团）出具的属于监狱企业证明文件</w:t>
      </w:r>
      <w:bookmarkEnd w:id="93"/>
    </w:p>
    <w:p>
      <w:pPr>
        <w:rPr>
          <w:rFonts w:hint="eastAsia" w:asciiTheme="minorEastAsia" w:hAnsiTheme="minorEastAsia" w:eastAsiaTheme="minorEastAsia" w:cstheme="minorEastAsia"/>
          <w:color w:val="auto"/>
          <w:sz w:val="24"/>
          <w:szCs w:val="24"/>
          <w:highlight w:val="none"/>
        </w:rPr>
      </w:pPr>
    </w:p>
    <w:p>
      <w:pPr>
        <w:spacing w:line="432" w:lineRule="auto"/>
        <w:ind w:left="843" w:hanging="843" w:hangingChars="35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注：1、省级以上监狱管理局、戒毒管理局（含新疆生产建设兵团）出具的属于监狱企业证明文件格式由出具单位提供；</w:t>
      </w:r>
    </w:p>
    <w:p>
      <w:pPr>
        <w:pStyle w:val="6"/>
        <w:ind w:left="1001" w:leftChars="229" w:hanging="520" w:hangingChars="200"/>
        <w:outlineLvl w:val="3"/>
        <w:rPr>
          <w:rFonts w:cs="仿宋" w:asciiTheme="minorEastAsia" w:hAnsiTheme="minorEastAsia" w:eastAsia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2、不属于监狱企业的不需提供。</w:t>
      </w:r>
      <w:r>
        <w:rPr>
          <w:rFonts w:hint="eastAsia" w:asciiTheme="minorEastAsia" w:hAnsiTheme="minorEastAsia" w:eastAsiaTheme="minorEastAsia" w:cstheme="minorEastAsia"/>
          <w:b w:val="0"/>
          <w:color w:val="auto"/>
          <w:sz w:val="24"/>
          <w:szCs w:val="24"/>
          <w:highlight w:val="none"/>
        </w:rPr>
        <w:br w:type="page"/>
      </w:r>
      <w:bookmarkStart w:id="94" w:name="OLE_LINK14"/>
      <w:bookmarkStart w:id="95" w:name="OLE_LINK13"/>
      <w:r>
        <w:rPr>
          <w:rFonts w:hint="eastAsia" w:cs="仿宋" w:asciiTheme="minorEastAsia" w:hAnsiTheme="minorEastAsia" w:eastAsiaTheme="minorEastAsia"/>
          <w:color w:val="auto"/>
          <w:sz w:val="24"/>
          <w:szCs w:val="24"/>
          <w:highlight w:val="none"/>
        </w:rPr>
        <w:t>格式8-3残疾人福利性单位声明函</w:t>
      </w:r>
    </w:p>
    <w:bookmarkEnd w:id="94"/>
    <w:bookmarkEnd w:id="95"/>
    <w:p>
      <w:pPr>
        <w:spacing w:line="588" w:lineRule="exact"/>
        <w:jc w:val="center"/>
        <w:rPr>
          <w:rFonts w:cs="仿宋" w:asciiTheme="minorEastAsia" w:hAnsiTheme="minorEastAsia" w:eastAsiaTheme="minorEastAsia"/>
          <w:b/>
          <w:color w:val="auto"/>
          <w:spacing w:val="6"/>
          <w:sz w:val="24"/>
          <w:szCs w:val="24"/>
          <w:highlight w:val="none"/>
        </w:rPr>
      </w:pPr>
      <w:r>
        <w:rPr>
          <w:rFonts w:hint="eastAsia" w:cs="仿宋" w:asciiTheme="minorEastAsia" w:hAnsiTheme="minorEastAsia" w:eastAsiaTheme="minorEastAsia"/>
          <w:b/>
          <w:color w:val="auto"/>
          <w:spacing w:val="6"/>
          <w:sz w:val="24"/>
          <w:szCs w:val="24"/>
          <w:highlight w:val="none"/>
        </w:rPr>
        <w:t>残疾人福利性单位声明函</w:t>
      </w:r>
    </w:p>
    <w:p>
      <w:pPr>
        <w:spacing w:line="588" w:lineRule="exact"/>
        <w:rPr>
          <w:rFonts w:cs="仿宋" w:asciiTheme="minorEastAsia" w:hAnsiTheme="minorEastAsia" w:eastAsiaTheme="minorEastAsia"/>
          <w:b/>
          <w:color w:val="auto"/>
          <w:spacing w:val="6"/>
          <w:sz w:val="24"/>
          <w:szCs w:val="24"/>
          <w:highlight w:val="none"/>
        </w:rPr>
      </w:pPr>
    </w:p>
    <w:p>
      <w:pPr>
        <w:spacing w:line="588" w:lineRule="exact"/>
        <w:ind w:firstLine="504" w:firstLineChars="200"/>
        <w:rPr>
          <w:rFonts w:cs="仿宋" w:asciiTheme="minorEastAsia" w:hAnsiTheme="minorEastAsia" w:eastAsiaTheme="minorEastAsia"/>
          <w:color w:val="auto"/>
          <w:spacing w:val="6"/>
          <w:sz w:val="24"/>
          <w:szCs w:val="24"/>
          <w:highlight w:val="none"/>
        </w:rPr>
      </w:pPr>
      <w:r>
        <w:rPr>
          <w:rFonts w:hint="eastAsia" w:cs="仿宋" w:asciiTheme="minorEastAsia" w:hAnsiTheme="minorEastAsia" w:eastAsiaTheme="minorEastAsia"/>
          <w:color w:val="auto"/>
          <w:spacing w:val="6"/>
          <w:sz w:val="24"/>
          <w:szCs w:val="24"/>
          <w:highlight w:val="none"/>
        </w:rPr>
        <w:t>本单位郑重声明，根据《财政部 民政部 中国残疾人联合会关于促进残疾人就业政府采购政策的通知》（财库</w:t>
      </w:r>
      <w:r>
        <w:rPr>
          <w:rFonts w:hint="eastAsia" w:cs="仿宋" w:asciiTheme="minorEastAsia" w:hAnsiTheme="minorEastAsia" w:eastAsiaTheme="minorEastAsia"/>
          <w:color w:val="auto"/>
          <w:sz w:val="24"/>
          <w:szCs w:val="24"/>
          <w:highlight w:val="none"/>
        </w:rPr>
        <w:t>〔2017〕 141</w:t>
      </w:r>
      <w:r>
        <w:rPr>
          <w:rFonts w:hint="eastAsia" w:cs="仿宋" w:asciiTheme="minorEastAsia" w:hAnsiTheme="minorEastAsia" w:eastAsiaTheme="minorEastAsia"/>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cs="仿宋" w:asciiTheme="minorEastAsia" w:hAnsiTheme="minorEastAsia" w:eastAsiaTheme="minorEastAsia"/>
          <w:color w:val="auto"/>
          <w:spacing w:val="6"/>
          <w:sz w:val="24"/>
          <w:szCs w:val="24"/>
          <w:highlight w:val="none"/>
        </w:rPr>
      </w:pPr>
      <w:r>
        <w:rPr>
          <w:rFonts w:hint="eastAsia" w:cs="仿宋" w:asciiTheme="minorEastAsia" w:hAnsiTheme="minorEastAsia" w:eastAsiaTheme="minorEastAsia"/>
          <w:color w:val="auto"/>
          <w:spacing w:val="6"/>
          <w:sz w:val="24"/>
          <w:szCs w:val="24"/>
          <w:highlight w:val="none"/>
        </w:rPr>
        <w:t>本单位对上述声明的真实性负责。如有虚假，将依法承担相应责任。</w:t>
      </w:r>
    </w:p>
    <w:p>
      <w:pPr>
        <w:spacing w:line="588" w:lineRule="exact"/>
        <w:ind w:firstLine="504" w:firstLineChars="200"/>
        <w:rPr>
          <w:rFonts w:cs="仿宋" w:asciiTheme="minorEastAsia" w:hAnsiTheme="minorEastAsia" w:eastAsiaTheme="minorEastAsia"/>
          <w:color w:val="auto"/>
          <w:spacing w:val="6"/>
          <w:sz w:val="24"/>
          <w:szCs w:val="24"/>
          <w:highlight w:val="none"/>
        </w:rPr>
      </w:pPr>
    </w:p>
    <w:p>
      <w:pPr>
        <w:spacing w:line="588" w:lineRule="exact"/>
        <w:ind w:firstLine="504" w:firstLineChars="200"/>
        <w:rPr>
          <w:rFonts w:cs="仿宋" w:asciiTheme="minorEastAsia" w:hAnsiTheme="minorEastAsia" w:eastAsiaTheme="minorEastAsia"/>
          <w:color w:val="auto"/>
          <w:spacing w:val="6"/>
          <w:sz w:val="24"/>
          <w:szCs w:val="24"/>
          <w:highlight w:val="none"/>
        </w:rPr>
      </w:pPr>
    </w:p>
    <w:p>
      <w:pPr>
        <w:tabs>
          <w:tab w:val="left" w:pos="4860"/>
        </w:tabs>
        <w:spacing w:line="588" w:lineRule="exact"/>
        <w:ind w:right="1560" w:firstLine="504" w:firstLineChars="200"/>
        <w:jc w:val="center"/>
        <w:rPr>
          <w:rFonts w:cs="仿宋" w:asciiTheme="minorEastAsia" w:hAnsiTheme="minorEastAsia" w:eastAsiaTheme="minorEastAsia"/>
          <w:color w:val="auto"/>
          <w:spacing w:val="6"/>
          <w:sz w:val="24"/>
          <w:szCs w:val="24"/>
          <w:highlight w:val="none"/>
        </w:rPr>
      </w:pPr>
      <w:r>
        <w:rPr>
          <w:rFonts w:hint="eastAsia" w:cs="仿宋" w:asciiTheme="minorEastAsia" w:hAnsiTheme="minorEastAsia" w:eastAsiaTheme="minorEastAsia"/>
          <w:color w:val="auto"/>
          <w:spacing w:val="6"/>
          <w:sz w:val="24"/>
          <w:szCs w:val="24"/>
          <w:highlight w:val="none"/>
        </w:rPr>
        <w:t>单位名称（盖章）：</w:t>
      </w:r>
    </w:p>
    <w:p>
      <w:pPr>
        <w:tabs>
          <w:tab w:val="left" w:pos="4860"/>
        </w:tabs>
        <w:spacing w:line="588" w:lineRule="exact"/>
        <w:ind w:right="1560" w:firstLine="504" w:firstLineChars="200"/>
        <w:jc w:val="center"/>
        <w:rPr>
          <w:rFonts w:cs="仿宋" w:asciiTheme="minorEastAsia" w:hAnsiTheme="minorEastAsia" w:eastAsiaTheme="minorEastAsia"/>
          <w:color w:val="auto"/>
          <w:spacing w:val="6"/>
          <w:sz w:val="24"/>
          <w:szCs w:val="24"/>
          <w:highlight w:val="none"/>
        </w:rPr>
      </w:pPr>
      <w:r>
        <w:rPr>
          <w:rFonts w:hint="eastAsia" w:cs="仿宋" w:asciiTheme="minorEastAsia" w:hAnsiTheme="minorEastAsia" w:eastAsiaTheme="minorEastAsia"/>
          <w:color w:val="auto"/>
          <w:spacing w:val="6"/>
          <w:sz w:val="24"/>
          <w:szCs w:val="24"/>
          <w:highlight w:val="none"/>
        </w:rPr>
        <w:t xml:space="preserve">        日  期：</w:t>
      </w:r>
    </w:p>
    <w:p>
      <w:pPr>
        <w:ind w:firstLine="482" w:firstLineChars="200"/>
        <w:rPr>
          <w:rFonts w:cs="仿宋" w:asciiTheme="minorEastAsia" w:hAnsiTheme="minorEastAsia" w:eastAsiaTheme="minorEastAsia"/>
          <w:b/>
          <w:color w:val="auto"/>
          <w:sz w:val="24"/>
          <w:szCs w:val="24"/>
          <w:highlight w:val="none"/>
        </w:rPr>
      </w:pPr>
    </w:p>
    <w:p>
      <w:pPr>
        <w:pStyle w:val="6"/>
        <w:ind w:left="964" w:hanging="1040" w:hangingChars="400"/>
        <w:outlineLvl w:val="3"/>
        <w:rPr>
          <w:rFonts w:hint="eastAsia" w:asciiTheme="minorEastAsia" w:hAnsiTheme="minorEastAsia" w:eastAsiaTheme="minorEastAsia" w:cstheme="minorEastAsia"/>
          <w:color w:val="auto"/>
          <w:sz w:val="24"/>
          <w:szCs w:val="24"/>
          <w:highlight w:val="none"/>
        </w:rPr>
      </w:pPr>
      <w:r>
        <w:rPr>
          <w:rFonts w:hint="eastAsia" w:cs="仿宋" w:asciiTheme="minorEastAsia" w:hAnsiTheme="minorEastAsia" w:eastAsia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格式8-4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采购的产品如属于政府强制采购节能产品的，投标文件中必须提供国家确定的认证机构出具的、处于有效期之内的节能产品认证证书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原件扫描件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pPr>
        <w:rPr>
          <w:rFonts w:hint="eastAsia" w:asciiTheme="minorEastAsia" w:hAnsiTheme="minorEastAsia" w:eastAsiaTheme="minorEastAsia" w:cstheme="minorEastAsia"/>
          <w:color w:val="auto"/>
          <w:sz w:val="24"/>
          <w:szCs w:val="24"/>
          <w:highlight w:val="none"/>
        </w:rPr>
      </w:pPr>
    </w:p>
    <w:p>
      <w:pPr>
        <w:pStyle w:val="2"/>
        <w:jc w:val="center"/>
        <w:rPr>
          <w:rFonts w:hint="eastAsia" w:asciiTheme="minorEastAsia" w:hAnsiTheme="minorEastAsia" w:eastAsiaTheme="minorEastAsia" w:cstheme="minorEastAsia"/>
          <w:highlight w:val="none"/>
          <w:lang w:eastAsia="zh-CN"/>
        </w:rPr>
        <w:sectPr>
          <w:footerReference r:id="rId13" w:type="default"/>
          <w:footerReference r:id="rId14" w:type="even"/>
          <w:pgSz w:w="11906" w:h="16838"/>
          <w:pgMar w:top="1418" w:right="1247" w:bottom="1418" w:left="1814"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heme="minorEastAsia" w:hAnsiTheme="minorEastAsia" w:eastAsiaTheme="minorEastAsia" w:cstheme="minorEastAsia"/>
          <w:b w:val="0"/>
          <w:bCs w:val="0"/>
          <w:spacing w:val="6"/>
          <w:sz w:val="24"/>
          <w:szCs w:val="24"/>
          <w:highlight w:val="none"/>
        </w:rPr>
        <w:t>（不属于品目清单的产品无需提供，文件另有规定的从其规定</w:t>
      </w:r>
      <w:r>
        <w:rPr>
          <w:rFonts w:hint="eastAsia" w:asciiTheme="minorEastAsia" w:hAnsiTheme="minorEastAsia" w:eastAsiaTheme="minorEastAsia" w:cstheme="minorEastAsia"/>
          <w:b w:val="0"/>
          <w:bCs w:val="0"/>
          <w:spacing w:val="6"/>
          <w:sz w:val="24"/>
          <w:szCs w:val="24"/>
          <w:highlight w:val="none"/>
          <w:lang w:eastAsia="zh-CN"/>
        </w:rPr>
        <w:t>。</w:t>
      </w:r>
      <w:r>
        <w:rPr>
          <w:rFonts w:hint="eastAsia" w:asciiTheme="minorEastAsia" w:hAnsiTheme="minorEastAsia" w:eastAsiaTheme="minorEastAsia" w:cstheme="minorEastAsia"/>
          <w:b w:val="0"/>
          <w:bCs w:val="0"/>
          <w:spacing w:val="6"/>
          <w:sz w:val="24"/>
          <w:szCs w:val="24"/>
          <w:highlight w:val="none"/>
        </w:rPr>
        <w:t>）</w:t>
      </w:r>
    </w:p>
    <w:p>
      <w:pPr>
        <w:pStyle w:val="4"/>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pStyle w:val="6"/>
        <w:jc w:val="center"/>
        <w:outlineLvl w:val="3"/>
        <w:rPr>
          <w:rFonts w:cs="仿宋" w:asciiTheme="minorEastAsia" w:hAnsiTheme="minorEastAsia" w:eastAsiaTheme="minorEastAsia"/>
          <w:b/>
          <w:color w:val="auto"/>
          <w:sz w:val="24"/>
          <w:szCs w:val="24"/>
          <w:highlight w:val="none"/>
        </w:rPr>
      </w:pPr>
      <w:bookmarkStart w:id="96" w:name="_Toc474492117"/>
      <w:r>
        <w:rPr>
          <w:rFonts w:hint="eastAsia" w:cs="仿宋" w:asciiTheme="minorEastAsia" w:hAnsiTheme="minorEastAsia" w:eastAsiaTheme="minorEastAsia"/>
          <w:b/>
          <w:color w:val="auto"/>
          <w:sz w:val="24"/>
          <w:szCs w:val="24"/>
          <w:highlight w:val="none"/>
        </w:rPr>
        <w:t>9.技术文件</w:t>
      </w:r>
      <w:bookmarkEnd w:id="96"/>
    </w:p>
    <w:p>
      <w:pPr>
        <w:rPr>
          <w:rFonts w:cs="仿宋" w:asciiTheme="minorEastAsia" w:hAnsiTheme="minorEastAsia" w:eastAsiaTheme="minorEastAsia"/>
          <w:color w:val="auto"/>
          <w:sz w:val="24"/>
          <w:szCs w:val="24"/>
          <w:highlight w:val="none"/>
        </w:rPr>
      </w:pPr>
    </w:p>
    <w:p>
      <w:pPr>
        <w:spacing w:line="432"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内容包括：</w:t>
      </w:r>
    </w:p>
    <w:p>
      <w:pPr>
        <w:spacing w:line="432"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1、货物的技术规格与功能的详细说明</w:t>
      </w:r>
    </w:p>
    <w:p>
      <w:pPr>
        <w:spacing w:line="432"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2、主要外购件、配套件的型号规格和制造商明细表</w:t>
      </w:r>
    </w:p>
    <w:p>
      <w:pPr>
        <w:spacing w:line="432"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3、标准附件、备品备件和专用工具等</w:t>
      </w:r>
    </w:p>
    <w:p>
      <w:pP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4、投标人认为需要说明的其他内容（投标人视需要自行编写）</w:t>
      </w: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color w:val="auto"/>
          <w:sz w:val="24"/>
          <w:szCs w:val="24"/>
          <w:highlight w:val="none"/>
        </w:rPr>
      </w:pPr>
    </w:p>
    <w:p>
      <w:pPr>
        <w:pStyle w:val="6"/>
        <w:jc w:val="center"/>
        <w:outlineLvl w:val="3"/>
        <w:rPr>
          <w:rFonts w:cs="仿宋" w:asciiTheme="minorEastAsia" w:hAnsiTheme="minorEastAsia" w:eastAsiaTheme="minorEastAsia"/>
          <w:b/>
          <w:color w:val="auto"/>
          <w:sz w:val="24"/>
          <w:szCs w:val="24"/>
          <w:highlight w:val="none"/>
        </w:rPr>
      </w:pPr>
      <w:bookmarkStart w:id="97" w:name="_Toc474492119"/>
      <w:r>
        <w:rPr>
          <w:rFonts w:hint="eastAsia" w:cs="仿宋" w:asciiTheme="minorEastAsia" w:hAnsiTheme="minorEastAsia" w:eastAsiaTheme="minorEastAsia"/>
          <w:b/>
          <w:color w:val="auto"/>
          <w:sz w:val="24"/>
          <w:szCs w:val="24"/>
          <w:highlight w:val="none"/>
        </w:rPr>
        <w:t>10、其他资料</w:t>
      </w:r>
      <w:bookmarkEnd w:id="97"/>
    </w:p>
    <w:p>
      <w:pPr>
        <w:spacing w:afterLines="50" w:line="320" w:lineRule="exact"/>
        <w:jc w:val="center"/>
        <w:rPr>
          <w:rFonts w:cs="仿宋" w:asciiTheme="minorEastAsia" w:hAnsiTheme="minorEastAsia" w:eastAsiaTheme="minorEastAsia"/>
          <w:b/>
          <w:color w:val="auto"/>
          <w:sz w:val="24"/>
          <w:szCs w:val="24"/>
          <w:highlight w:val="none"/>
        </w:rPr>
      </w:pPr>
    </w:p>
    <w:p>
      <w:pPr>
        <w:pStyle w:val="6"/>
        <w:jc w:val="center"/>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格式10-1投标企业情况一览表</w:t>
      </w:r>
    </w:p>
    <w:p>
      <w:pPr>
        <w:spacing w:line="320" w:lineRule="exact"/>
        <w:jc w:val="center"/>
        <w:rPr>
          <w:rFonts w:cs="仿宋" w:asciiTheme="minorEastAsia" w:hAnsiTheme="minorEastAsia" w:eastAsiaTheme="minorEastAsia"/>
          <w:color w:val="auto"/>
          <w:sz w:val="24"/>
          <w:szCs w:val="24"/>
          <w:highlight w:val="none"/>
        </w:rPr>
      </w:pPr>
    </w:p>
    <w:tbl>
      <w:tblPr>
        <w:tblStyle w:val="40"/>
        <w:tblW w:w="9720" w:type="dxa"/>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投标人名称</w:t>
            </w:r>
          </w:p>
        </w:tc>
        <w:tc>
          <w:tcPr>
            <w:tcW w:w="7485" w:type="dxa"/>
            <w:gridSpan w:val="6"/>
            <w:vAlign w:val="center"/>
          </w:tcPr>
          <w:p>
            <w:pPr>
              <w:jc w:val="center"/>
              <w:rPr>
                <w:rFonts w:cs="仿宋" w:asciiTheme="minorEastAsia" w:hAnsiTheme="minorEastAsia" w:eastAsiaTheme="minorEastAsia"/>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注册地址</w:t>
            </w:r>
          </w:p>
        </w:tc>
        <w:tc>
          <w:tcPr>
            <w:tcW w:w="3929" w:type="dxa"/>
            <w:gridSpan w:val="3"/>
            <w:vAlign w:val="center"/>
          </w:tcPr>
          <w:p>
            <w:pPr>
              <w:jc w:val="center"/>
              <w:rPr>
                <w:rFonts w:cs="仿宋" w:asciiTheme="minorEastAsia" w:hAnsiTheme="minorEastAsia" w:eastAsiaTheme="minorEastAsia"/>
                <w:color w:val="auto"/>
                <w:sz w:val="24"/>
                <w:szCs w:val="24"/>
                <w:highlight w:val="none"/>
              </w:rPr>
            </w:pPr>
          </w:p>
        </w:tc>
        <w:tc>
          <w:tcPr>
            <w:tcW w:w="1356" w:type="dxa"/>
            <w:vAlign w:val="center"/>
          </w:tcPr>
          <w:p>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邮政编码</w:t>
            </w:r>
          </w:p>
        </w:tc>
        <w:tc>
          <w:tcPr>
            <w:tcW w:w="2200" w:type="dxa"/>
            <w:gridSpan w:val="2"/>
            <w:vAlign w:val="center"/>
          </w:tcPr>
          <w:p>
            <w:pPr>
              <w:jc w:val="center"/>
              <w:rPr>
                <w:rFonts w:cs="仿宋" w:asciiTheme="minorEastAsia" w:hAnsiTheme="minorEastAsia" w:eastAsiaTheme="minorEastAsia"/>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vAlign w:val="center"/>
          </w:tcPr>
          <w:p>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联系方式</w:t>
            </w:r>
          </w:p>
        </w:tc>
        <w:tc>
          <w:tcPr>
            <w:tcW w:w="1035" w:type="dxa"/>
            <w:vAlign w:val="center"/>
          </w:tcPr>
          <w:p>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p>
        </w:tc>
        <w:tc>
          <w:tcPr>
            <w:tcW w:w="2894" w:type="dxa"/>
            <w:gridSpan w:val="2"/>
            <w:vAlign w:val="center"/>
          </w:tcPr>
          <w:p>
            <w:pPr>
              <w:jc w:val="center"/>
              <w:rPr>
                <w:rFonts w:cs="仿宋" w:asciiTheme="minorEastAsia" w:hAnsiTheme="minorEastAsia" w:eastAsiaTheme="minorEastAsia"/>
                <w:color w:val="auto"/>
                <w:sz w:val="24"/>
                <w:szCs w:val="24"/>
                <w:highlight w:val="none"/>
              </w:rPr>
            </w:pPr>
          </w:p>
        </w:tc>
        <w:tc>
          <w:tcPr>
            <w:tcW w:w="1356" w:type="dxa"/>
            <w:vAlign w:val="center"/>
          </w:tcPr>
          <w:p>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p>
        </w:tc>
        <w:tc>
          <w:tcPr>
            <w:tcW w:w="2200" w:type="dxa"/>
            <w:gridSpan w:val="2"/>
            <w:vAlign w:val="center"/>
          </w:tcPr>
          <w:p>
            <w:pPr>
              <w:jc w:val="center"/>
              <w:rPr>
                <w:rFonts w:cs="仿宋" w:asciiTheme="minorEastAsia" w:hAnsiTheme="minorEastAsia" w:eastAsiaTheme="minorEastAsia"/>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vAlign w:val="center"/>
          </w:tcPr>
          <w:p>
            <w:pPr>
              <w:jc w:val="center"/>
              <w:rPr>
                <w:rFonts w:cs="仿宋" w:asciiTheme="minorEastAsia" w:hAnsiTheme="minorEastAsia" w:eastAsiaTheme="minorEastAsia"/>
                <w:color w:val="auto"/>
                <w:sz w:val="24"/>
                <w:szCs w:val="24"/>
                <w:highlight w:val="none"/>
              </w:rPr>
            </w:pPr>
          </w:p>
        </w:tc>
        <w:tc>
          <w:tcPr>
            <w:tcW w:w="1035" w:type="dxa"/>
            <w:vAlign w:val="center"/>
          </w:tcPr>
          <w:p>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传  真</w:t>
            </w:r>
          </w:p>
        </w:tc>
        <w:tc>
          <w:tcPr>
            <w:tcW w:w="2894" w:type="dxa"/>
            <w:gridSpan w:val="2"/>
            <w:vAlign w:val="center"/>
          </w:tcPr>
          <w:p>
            <w:pPr>
              <w:jc w:val="center"/>
              <w:rPr>
                <w:rFonts w:cs="仿宋" w:asciiTheme="minorEastAsia" w:hAnsiTheme="minorEastAsia" w:eastAsiaTheme="minorEastAsia"/>
                <w:color w:val="auto"/>
                <w:sz w:val="24"/>
                <w:szCs w:val="24"/>
                <w:highlight w:val="none"/>
              </w:rPr>
            </w:pPr>
          </w:p>
        </w:tc>
        <w:tc>
          <w:tcPr>
            <w:tcW w:w="1356" w:type="dxa"/>
            <w:vAlign w:val="center"/>
          </w:tcPr>
          <w:p>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网址/邮箱</w:t>
            </w:r>
          </w:p>
        </w:tc>
        <w:tc>
          <w:tcPr>
            <w:tcW w:w="2200" w:type="dxa"/>
            <w:gridSpan w:val="2"/>
            <w:vAlign w:val="center"/>
          </w:tcPr>
          <w:p>
            <w:pPr>
              <w:jc w:val="center"/>
              <w:rPr>
                <w:rFonts w:cs="仿宋" w:asciiTheme="minorEastAsia" w:hAnsiTheme="minorEastAsia" w:eastAsiaTheme="minorEastAsia"/>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企业性质</w:t>
            </w:r>
          </w:p>
        </w:tc>
        <w:tc>
          <w:tcPr>
            <w:tcW w:w="7485" w:type="dxa"/>
            <w:gridSpan w:val="6"/>
            <w:vAlign w:val="center"/>
          </w:tcPr>
          <w:p>
            <w:pPr>
              <w:jc w:val="center"/>
              <w:rPr>
                <w:rFonts w:cs="仿宋" w:asciiTheme="minorEastAsia" w:hAnsiTheme="minorEastAsia" w:eastAsiaTheme="minorEastAsia"/>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法定代表人</w:t>
            </w:r>
          </w:p>
        </w:tc>
        <w:tc>
          <w:tcPr>
            <w:tcW w:w="1035" w:type="dxa"/>
            <w:vAlign w:val="center"/>
          </w:tcPr>
          <w:p>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姓名</w:t>
            </w:r>
          </w:p>
        </w:tc>
        <w:tc>
          <w:tcPr>
            <w:tcW w:w="1696" w:type="dxa"/>
            <w:vAlign w:val="center"/>
          </w:tcPr>
          <w:p>
            <w:pPr>
              <w:jc w:val="center"/>
              <w:rPr>
                <w:rFonts w:cs="仿宋" w:asciiTheme="minorEastAsia" w:hAnsiTheme="minorEastAsia" w:eastAsiaTheme="minorEastAsia"/>
                <w:color w:val="auto"/>
                <w:sz w:val="24"/>
                <w:szCs w:val="24"/>
                <w:highlight w:val="none"/>
              </w:rPr>
            </w:pPr>
          </w:p>
        </w:tc>
        <w:tc>
          <w:tcPr>
            <w:tcW w:w="1198" w:type="dxa"/>
            <w:vAlign w:val="center"/>
          </w:tcPr>
          <w:p>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技术职称</w:t>
            </w:r>
          </w:p>
        </w:tc>
        <w:tc>
          <w:tcPr>
            <w:tcW w:w="1356" w:type="dxa"/>
            <w:vAlign w:val="center"/>
          </w:tcPr>
          <w:p>
            <w:pPr>
              <w:jc w:val="center"/>
              <w:rPr>
                <w:rFonts w:cs="仿宋" w:asciiTheme="minorEastAsia" w:hAnsiTheme="minorEastAsia" w:eastAsiaTheme="minorEastAsia"/>
                <w:color w:val="auto"/>
                <w:sz w:val="24"/>
                <w:szCs w:val="24"/>
                <w:highlight w:val="none"/>
              </w:rPr>
            </w:pPr>
          </w:p>
        </w:tc>
        <w:tc>
          <w:tcPr>
            <w:tcW w:w="876" w:type="dxa"/>
            <w:vAlign w:val="center"/>
          </w:tcPr>
          <w:p>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电话</w:t>
            </w:r>
          </w:p>
        </w:tc>
        <w:tc>
          <w:tcPr>
            <w:tcW w:w="1324" w:type="dxa"/>
            <w:vAlign w:val="center"/>
          </w:tcPr>
          <w:p>
            <w:pPr>
              <w:jc w:val="center"/>
              <w:rPr>
                <w:rFonts w:cs="仿宋" w:asciiTheme="minorEastAsia" w:hAnsiTheme="minorEastAsia" w:eastAsiaTheme="minorEastAsia"/>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技术负责人</w:t>
            </w:r>
          </w:p>
        </w:tc>
        <w:tc>
          <w:tcPr>
            <w:tcW w:w="1035" w:type="dxa"/>
            <w:vAlign w:val="center"/>
          </w:tcPr>
          <w:p>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姓名</w:t>
            </w:r>
          </w:p>
        </w:tc>
        <w:tc>
          <w:tcPr>
            <w:tcW w:w="1696" w:type="dxa"/>
            <w:vAlign w:val="center"/>
          </w:tcPr>
          <w:p>
            <w:pPr>
              <w:jc w:val="center"/>
              <w:rPr>
                <w:rFonts w:cs="仿宋" w:asciiTheme="minorEastAsia" w:hAnsiTheme="minorEastAsia" w:eastAsiaTheme="minorEastAsia"/>
                <w:color w:val="auto"/>
                <w:sz w:val="24"/>
                <w:szCs w:val="24"/>
                <w:highlight w:val="none"/>
              </w:rPr>
            </w:pPr>
          </w:p>
        </w:tc>
        <w:tc>
          <w:tcPr>
            <w:tcW w:w="1198" w:type="dxa"/>
            <w:vAlign w:val="center"/>
          </w:tcPr>
          <w:p>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技术职称</w:t>
            </w:r>
          </w:p>
        </w:tc>
        <w:tc>
          <w:tcPr>
            <w:tcW w:w="1356" w:type="dxa"/>
            <w:vAlign w:val="center"/>
          </w:tcPr>
          <w:p>
            <w:pPr>
              <w:jc w:val="center"/>
              <w:rPr>
                <w:rFonts w:cs="仿宋" w:asciiTheme="minorEastAsia" w:hAnsiTheme="minorEastAsia" w:eastAsiaTheme="minorEastAsia"/>
                <w:color w:val="auto"/>
                <w:sz w:val="24"/>
                <w:szCs w:val="24"/>
                <w:highlight w:val="none"/>
              </w:rPr>
            </w:pPr>
          </w:p>
        </w:tc>
        <w:tc>
          <w:tcPr>
            <w:tcW w:w="876" w:type="dxa"/>
            <w:vAlign w:val="center"/>
          </w:tcPr>
          <w:p>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电话</w:t>
            </w:r>
          </w:p>
        </w:tc>
        <w:tc>
          <w:tcPr>
            <w:tcW w:w="1324" w:type="dxa"/>
            <w:vAlign w:val="center"/>
          </w:tcPr>
          <w:p>
            <w:pPr>
              <w:jc w:val="center"/>
              <w:rPr>
                <w:rFonts w:cs="仿宋" w:asciiTheme="minorEastAsia" w:hAnsiTheme="minorEastAsia" w:eastAsiaTheme="minorEastAsia"/>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成立时间</w:t>
            </w:r>
          </w:p>
        </w:tc>
        <w:tc>
          <w:tcPr>
            <w:tcW w:w="2731" w:type="dxa"/>
            <w:gridSpan w:val="2"/>
            <w:vAlign w:val="center"/>
          </w:tcPr>
          <w:p>
            <w:pPr>
              <w:jc w:val="center"/>
              <w:rPr>
                <w:rFonts w:cs="仿宋" w:asciiTheme="minorEastAsia" w:hAnsiTheme="minorEastAsia" w:eastAsiaTheme="minorEastAsia"/>
                <w:color w:val="auto"/>
                <w:sz w:val="24"/>
                <w:szCs w:val="24"/>
                <w:highlight w:val="none"/>
              </w:rPr>
            </w:pPr>
          </w:p>
        </w:tc>
        <w:tc>
          <w:tcPr>
            <w:tcW w:w="4754" w:type="dxa"/>
            <w:gridSpan w:val="4"/>
            <w:vAlign w:val="center"/>
          </w:tcPr>
          <w:p>
            <w:pP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员工总人数：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营业执照号</w:t>
            </w:r>
          </w:p>
        </w:tc>
        <w:tc>
          <w:tcPr>
            <w:tcW w:w="7485" w:type="dxa"/>
            <w:gridSpan w:val="6"/>
            <w:tcBorders>
              <w:bottom w:val="single" w:color="auto" w:sz="4" w:space="0"/>
            </w:tcBorders>
            <w:vAlign w:val="center"/>
          </w:tcPr>
          <w:p>
            <w:pPr>
              <w:jc w:val="center"/>
              <w:rPr>
                <w:rFonts w:cs="仿宋" w:asciiTheme="minorEastAsia" w:hAnsiTheme="minorEastAsia" w:eastAsiaTheme="minorEastAsia"/>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注册资金</w:t>
            </w:r>
          </w:p>
        </w:tc>
        <w:tc>
          <w:tcPr>
            <w:tcW w:w="7485" w:type="dxa"/>
            <w:gridSpan w:val="6"/>
            <w:tcBorders>
              <w:top w:val="single" w:color="auto" w:sz="4" w:space="0"/>
              <w:bottom w:val="single" w:color="auto" w:sz="4" w:space="0"/>
            </w:tcBorders>
            <w:vAlign w:val="center"/>
          </w:tcPr>
          <w:p>
            <w:pPr>
              <w:jc w:val="center"/>
              <w:rPr>
                <w:rFonts w:cs="仿宋" w:asciiTheme="minorEastAsia" w:hAnsiTheme="minorEastAsia" w:eastAsiaTheme="minorEastAsia"/>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开户银行</w:t>
            </w:r>
          </w:p>
        </w:tc>
        <w:tc>
          <w:tcPr>
            <w:tcW w:w="7485" w:type="dxa"/>
            <w:gridSpan w:val="6"/>
            <w:tcBorders>
              <w:top w:val="single" w:color="auto" w:sz="4" w:space="0"/>
              <w:bottom w:val="single" w:color="auto" w:sz="4" w:space="0"/>
            </w:tcBorders>
            <w:vAlign w:val="center"/>
          </w:tcPr>
          <w:p>
            <w:pPr>
              <w:jc w:val="center"/>
              <w:rPr>
                <w:rFonts w:cs="仿宋" w:asciiTheme="minorEastAsia" w:hAnsiTheme="minorEastAsia" w:eastAsiaTheme="minorEastAsia"/>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银行账号</w:t>
            </w:r>
          </w:p>
        </w:tc>
        <w:tc>
          <w:tcPr>
            <w:tcW w:w="7485" w:type="dxa"/>
            <w:gridSpan w:val="6"/>
            <w:tcBorders>
              <w:top w:val="single" w:color="auto" w:sz="4" w:space="0"/>
            </w:tcBorders>
            <w:vAlign w:val="center"/>
          </w:tcPr>
          <w:p>
            <w:pPr>
              <w:jc w:val="center"/>
              <w:rPr>
                <w:rFonts w:cs="仿宋" w:asciiTheme="minorEastAsia" w:hAnsiTheme="minorEastAsia" w:eastAsiaTheme="minorEastAsia"/>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62" w:hRule="atLeast"/>
        </w:trPr>
        <w:tc>
          <w:tcPr>
            <w:tcW w:w="2235" w:type="dxa"/>
            <w:vAlign w:val="center"/>
          </w:tcPr>
          <w:p>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经营范围备注</w:t>
            </w:r>
          </w:p>
        </w:tc>
        <w:tc>
          <w:tcPr>
            <w:tcW w:w="7485" w:type="dxa"/>
            <w:gridSpan w:val="6"/>
            <w:vAlign w:val="center"/>
          </w:tcPr>
          <w:p>
            <w:pPr>
              <w:jc w:val="center"/>
              <w:rPr>
                <w:rFonts w:cs="仿宋" w:asciiTheme="minorEastAsia" w:hAnsiTheme="minorEastAsia" w:eastAsiaTheme="minorEastAsia"/>
                <w:color w:val="auto"/>
                <w:sz w:val="24"/>
                <w:szCs w:val="24"/>
                <w:highlight w:val="none"/>
              </w:rPr>
            </w:pPr>
          </w:p>
        </w:tc>
      </w:tr>
    </w:tbl>
    <w:p>
      <w:pPr>
        <w:spacing w:line="432" w:lineRule="auto"/>
        <w:rPr>
          <w:rFonts w:cs="仿宋" w:asciiTheme="minorEastAsia" w:hAnsiTheme="minorEastAsia" w:eastAsiaTheme="minorEastAsia"/>
          <w:color w:val="auto"/>
          <w:sz w:val="24"/>
          <w:szCs w:val="24"/>
          <w:highlight w:val="none"/>
        </w:rPr>
      </w:pPr>
    </w:p>
    <w:p>
      <w:pPr>
        <w:spacing w:line="320" w:lineRule="exact"/>
        <w:jc w:val="center"/>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color w:val="auto"/>
          <w:sz w:val="24"/>
          <w:szCs w:val="24"/>
          <w:highlight w:val="none"/>
        </w:rPr>
        <w:br w:type="page"/>
      </w:r>
    </w:p>
    <w:p>
      <w:pPr>
        <w:spacing w:line="320" w:lineRule="exact"/>
        <w:rPr>
          <w:rFonts w:cs="仿宋" w:asciiTheme="minorEastAsia" w:hAnsiTheme="minorEastAsia" w:eastAsiaTheme="minorEastAsia"/>
          <w:b/>
          <w:bCs/>
          <w:color w:val="auto"/>
          <w:sz w:val="24"/>
          <w:szCs w:val="24"/>
          <w:highlight w:val="none"/>
        </w:rPr>
      </w:pPr>
    </w:p>
    <w:p>
      <w:pPr>
        <w:pStyle w:val="6"/>
        <w:jc w:val="center"/>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格式10-2 与技术、商务等评审计分有关的资料</w:t>
      </w:r>
    </w:p>
    <w:p>
      <w:pPr>
        <w:pStyle w:val="4"/>
        <w:jc w:val="center"/>
        <w:outlineLvl w:val="1"/>
        <w:rPr>
          <w:rFonts w:cs="仿宋" w:asciiTheme="minorEastAsia" w:hAnsiTheme="minorEastAsia" w:eastAsiaTheme="minorEastAsia"/>
          <w:b/>
          <w:color w:val="auto"/>
          <w:sz w:val="24"/>
          <w:szCs w:val="24"/>
          <w:highlight w:val="none"/>
        </w:rPr>
      </w:pPr>
      <w:r>
        <w:rPr>
          <w:rFonts w:hint="eastAsia" w:cs="仿宋" w:asciiTheme="minorEastAsia" w:hAnsiTheme="minorEastAsia" w:eastAsiaTheme="minorEastAsia"/>
          <w:color w:val="auto"/>
          <w:sz w:val="24"/>
          <w:szCs w:val="24"/>
          <w:highlight w:val="none"/>
        </w:rPr>
        <w:br w:type="page"/>
      </w:r>
      <w:bookmarkStart w:id="98" w:name="_Toc7352"/>
      <w:r>
        <w:rPr>
          <w:rFonts w:hint="eastAsia" w:cs="仿宋" w:asciiTheme="minorEastAsia" w:hAnsiTheme="minorEastAsia" w:eastAsiaTheme="minorEastAsia"/>
          <w:b/>
          <w:color w:val="auto"/>
          <w:sz w:val="24"/>
          <w:szCs w:val="24"/>
          <w:highlight w:val="none"/>
        </w:rPr>
        <w:t>第五章　货物需求表及采购需求</w:t>
      </w:r>
      <w:bookmarkEnd w:id="98"/>
    </w:p>
    <w:p>
      <w:pPr>
        <w:pStyle w:val="6"/>
        <w:jc w:val="center"/>
        <w:outlineLvl w:val="3"/>
        <w:rPr>
          <w:rFonts w:cs="仿宋" w:asciiTheme="minorEastAsia" w:hAnsiTheme="minorEastAsia" w:eastAsiaTheme="minorEastAsia"/>
          <w:b/>
          <w:color w:val="auto"/>
          <w:sz w:val="24"/>
          <w:szCs w:val="24"/>
          <w:highlight w:val="none"/>
        </w:rPr>
      </w:pPr>
    </w:p>
    <w:p>
      <w:pPr>
        <w:pStyle w:val="6"/>
        <w:spacing w:before="0" w:after="0" w:line="460" w:lineRule="exact"/>
        <w:ind w:left="720"/>
        <w:outlineLvl w:val="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一、货物需求表</w:t>
      </w:r>
    </w:p>
    <w:p>
      <w:pPr>
        <w:jc w:val="center"/>
        <w:rPr>
          <w:rFonts w:cs="仿宋" w:asciiTheme="minorEastAsia" w:hAnsiTheme="minorEastAsia" w:eastAsiaTheme="minorEastAsia"/>
          <w:color w:val="auto"/>
          <w:sz w:val="24"/>
          <w:szCs w:val="24"/>
          <w:highlight w:val="none"/>
        </w:rPr>
      </w:pPr>
    </w:p>
    <w:tbl>
      <w:tblPr>
        <w:tblStyle w:val="40"/>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0" w:hRule="atLeast"/>
        </w:trPr>
        <w:tc>
          <w:tcPr>
            <w:tcW w:w="2835" w:type="dxa"/>
            <w:tcBorders>
              <w:top w:val="single" w:color="auto" w:sz="12" w:space="0"/>
              <w:left w:val="single" w:color="auto" w:sz="12" w:space="0"/>
            </w:tcBorders>
          </w:tcPr>
          <w:p>
            <w:pPr>
              <w:spacing w:line="360" w:lineRule="auto"/>
              <w:rPr>
                <w:rFonts w:asciiTheme="minorEastAsia" w:hAnsiTheme="minorEastAsia" w:eastAsiaTheme="minorEastAsia" w:cstheme="minorEastAsia"/>
                <w:color w:val="auto"/>
                <w:sz w:val="24"/>
                <w:highlight w:val="none"/>
              </w:rPr>
            </w:pPr>
          </w:p>
        </w:tc>
        <w:tc>
          <w:tcPr>
            <w:tcW w:w="5625" w:type="dxa"/>
            <w:tcBorders>
              <w:top w:val="single" w:color="auto" w:sz="12" w:space="0"/>
              <w:right w:val="single" w:color="auto" w:sz="12" w:space="0"/>
            </w:tcBorders>
            <w:vAlign w:val="center"/>
          </w:tcPr>
          <w:p>
            <w:pPr>
              <w:spacing w:line="900" w:lineRule="exact"/>
              <w:ind w:firstLine="1200" w:firstLineChars="5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详见“第一章 </w:t>
            </w: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rPr>
              <w:t>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数量</w:t>
            </w:r>
          </w:p>
        </w:tc>
        <w:tc>
          <w:tcPr>
            <w:tcW w:w="5625" w:type="dxa"/>
            <w:tcBorders>
              <w:right w:val="single" w:color="auto" w:sz="12" w:space="0"/>
            </w:tcBorders>
            <w:vAlign w:val="center"/>
          </w:tcPr>
          <w:p>
            <w:pPr>
              <w:spacing w:line="9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详见第五章中的“采购要求”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交货期（工期）</w:t>
            </w:r>
          </w:p>
        </w:tc>
        <w:tc>
          <w:tcPr>
            <w:tcW w:w="5625" w:type="dxa"/>
            <w:tcBorders>
              <w:right w:val="single" w:color="auto" w:sz="12" w:space="0"/>
            </w:tcBorders>
            <w:vAlign w:val="center"/>
          </w:tcPr>
          <w:p>
            <w:pPr>
              <w:spacing w:line="9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详见第五章中的“商务条</w:t>
            </w:r>
            <w:r>
              <w:rPr>
                <w:rFonts w:hint="eastAsia" w:asciiTheme="minorEastAsia" w:hAnsiTheme="minorEastAsia" w:eastAsiaTheme="minorEastAsia" w:cstheme="minorEastAsia"/>
                <w:color w:val="auto"/>
                <w:sz w:val="24"/>
                <w:highlight w:val="none"/>
                <w:lang w:val="en-US" w:eastAsia="zh-CN"/>
              </w:rPr>
              <w:t>件</w:t>
            </w:r>
            <w:r>
              <w:rPr>
                <w:rFonts w:hint="eastAsia" w:asciiTheme="minorEastAsia" w:hAnsiTheme="minorEastAsia" w:eastAsiaTheme="minorEastAsia" w:cstheme="minor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交货地点</w:t>
            </w:r>
          </w:p>
        </w:tc>
        <w:tc>
          <w:tcPr>
            <w:tcW w:w="5625" w:type="dxa"/>
            <w:tcBorders>
              <w:right w:val="single" w:color="auto" w:sz="12" w:space="0"/>
            </w:tcBorders>
            <w:vAlign w:val="center"/>
          </w:tcPr>
          <w:p>
            <w:pPr>
              <w:spacing w:line="440" w:lineRule="exact"/>
              <w:ind w:left="480" w:hanging="480" w:hangingChars="200"/>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highlight w:val="none"/>
              </w:rPr>
              <w:t>详见第五章中的“商务条</w:t>
            </w:r>
            <w:r>
              <w:rPr>
                <w:rFonts w:hint="eastAsia" w:asciiTheme="minorEastAsia" w:hAnsiTheme="minorEastAsia" w:eastAsiaTheme="minorEastAsia" w:cstheme="minorEastAsia"/>
                <w:color w:val="auto"/>
                <w:sz w:val="24"/>
                <w:highlight w:val="none"/>
                <w:lang w:val="en-US" w:eastAsia="zh-CN"/>
              </w:rPr>
              <w:t>件</w:t>
            </w:r>
            <w:r>
              <w:rPr>
                <w:rFonts w:hint="eastAsia" w:asciiTheme="minorEastAsia" w:hAnsiTheme="minorEastAsia" w:eastAsiaTheme="minorEastAsia" w:cstheme="minor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c>
          <w:tcPr>
            <w:tcW w:w="5625" w:type="dxa"/>
            <w:tcBorders>
              <w:right w:val="single" w:color="auto" w:sz="12" w:space="0"/>
            </w:tcBorders>
            <w:vAlign w:val="center"/>
          </w:tcPr>
          <w:p>
            <w:pPr>
              <w:spacing w:line="440" w:lineRule="exact"/>
              <w:ind w:left="216" w:leftChars="103" w:firstLine="420" w:firstLineChars="175"/>
              <w:jc w:val="center"/>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本项目为交钥匙工程</w:t>
            </w:r>
          </w:p>
        </w:tc>
      </w:tr>
    </w:tbl>
    <w:p>
      <w:pPr>
        <w:adjustRightInd w:val="0"/>
        <w:spacing w:line="460" w:lineRule="exact"/>
        <w:rPr>
          <w:rFonts w:cs="仿宋" w:asciiTheme="minorEastAsia" w:hAnsiTheme="minorEastAsia" w:eastAsiaTheme="minorEastAsia"/>
          <w:b/>
          <w:color w:val="auto"/>
          <w:sz w:val="24"/>
          <w:szCs w:val="24"/>
          <w:highlight w:val="none"/>
        </w:rPr>
      </w:pPr>
    </w:p>
    <w:p>
      <w:pPr>
        <w:adjustRightInd w:val="0"/>
        <w:spacing w:line="460" w:lineRule="exact"/>
        <w:rPr>
          <w:rFonts w:cs="仿宋" w:asciiTheme="minorEastAsia" w:hAnsiTheme="minorEastAsia" w:eastAsiaTheme="minorEastAsia"/>
          <w:b/>
          <w:color w:val="auto"/>
          <w:sz w:val="24"/>
          <w:szCs w:val="24"/>
          <w:highlight w:val="none"/>
        </w:rPr>
      </w:pPr>
    </w:p>
    <w:p>
      <w:pPr>
        <w:adjustRightInd w:val="0"/>
        <w:spacing w:line="460" w:lineRule="exact"/>
        <w:rPr>
          <w:rFonts w:cs="仿宋" w:asciiTheme="minorEastAsia" w:hAnsiTheme="minorEastAsia" w:eastAsiaTheme="minorEastAsia"/>
          <w:b/>
          <w:color w:val="auto"/>
          <w:sz w:val="24"/>
          <w:szCs w:val="24"/>
          <w:highlight w:val="none"/>
        </w:rPr>
      </w:pPr>
    </w:p>
    <w:p>
      <w:pPr>
        <w:adjustRightInd w:val="0"/>
        <w:spacing w:line="460" w:lineRule="exact"/>
        <w:rPr>
          <w:rFonts w:cs="仿宋" w:asciiTheme="minorEastAsia" w:hAnsiTheme="minorEastAsia" w:eastAsiaTheme="minorEastAsia"/>
          <w:b/>
          <w:color w:val="auto"/>
          <w:sz w:val="24"/>
          <w:szCs w:val="24"/>
          <w:highlight w:val="none"/>
        </w:rPr>
      </w:pPr>
    </w:p>
    <w:p>
      <w:pPr>
        <w:adjustRightInd w:val="0"/>
        <w:spacing w:line="460" w:lineRule="exact"/>
        <w:rPr>
          <w:rFonts w:cs="仿宋" w:asciiTheme="minorEastAsia" w:hAnsiTheme="minorEastAsia" w:eastAsiaTheme="minorEastAsia"/>
          <w:b/>
          <w:color w:val="auto"/>
          <w:sz w:val="24"/>
          <w:szCs w:val="24"/>
          <w:highlight w:val="none"/>
        </w:rPr>
      </w:pPr>
    </w:p>
    <w:p>
      <w:pPr>
        <w:adjustRightInd w:val="0"/>
        <w:spacing w:line="460" w:lineRule="exact"/>
        <w:rPr>
          <w:rFonts w:cs="仿宋" w:asciiTheme="minorEastAsia" w:hAnsiTheme="minorEastAsia" w:eastAsiaTheme="minorEastAsia"/>
          <w:b/>
          <w:color w:val="auto"/>
          <w:sz w:val="24"/>
          <w:szCs w:val="24"/>
          <w:highlight w:val="none"/>
        </w:rPr>
      </w:pPr>
    </w:p>
    <w:p>
      <w:pPr>
        <w:adjustRightInd w:val="0"/>
        <w:spacing w:line="460" w:lineRule="exact"/>
        <w:rPr>
          <w:rFonts w:cs="仿宋" w:asciiTheme="minorEastAsia" w:hAnsiTheme="minorEastAsia" w:eastAsiaTheme="minorEastAsia"/>
          <w:b/>
          <w:color w:val="auto"/>
          <w:sz w:val="24"/>
          <w:szCs w:val="24"/>
          <w:highlight w:val="none"/>
        </w:rPr>
      </w:pPr>
    </w:p>
    <w:p>
      <w:pPr>
        <w:adjustRightInd w:val="0"/>
        <w:spacing w:line="460" w:lineRule="exact"/>
        <w:rPr>
          <w:rFonts w:cs="仿宋" w:asciiTheme="minorEastAsia" w:hAnsiTheme="minorEastAsia" w:eastAsiaTheme="minorEastAsia"/>
          <w:b/>
          <w:color w:val="auto"/>
          <w:sz w:val="24"/>
          <w:szCs w:val="24"/>
          <w:highlight w:val="none"/>
        </w:rPr>
      </w:pPr>
    </w:p>
    <w:p>
      <w:pPr>
        <w:adjustRightInd w:val="0"/>
        <w:spacing w:line="460" w:lineRule="exact"/>
        <w:rPr>
          <w:rFonts w:cs="仿宋" w:asciiTheme="minorEastAsia" w:hAnsiTheme="minorEastAsia" w:eastAsiaTheme="minorEastAsia"/>
          <w:b/>
          <w:color w:val="auto"/>
          <w:sz w:val="24"/>
          <w:szCs w:val="24"/>
          <w:highlight w:val="none"/>
        </w:rPr>
      </w:pPr>
    </w:p>
    <w:p>
      <w:pPr>
        <w:adjustRightInd w:val="0"/>
        <w:spacing w:line="460" w:lineRule="exact"/>
        <w:rPr>
          <w:rFonts w:cs="仿宋" w:asciiTheme="minorEastAsia" w:hAnsiTheme="minorEastAsia" w:eastAsiaTheme="minorEastAsia"/>
          <w:b/>
          <w:color w:val="auto"/>
          <w:sz w:val="24"/>
          <w:szCs w:val="24"/>
          <w:highlight w:val="none"/>
        </w:rPr>
      </w:pPr>
    </w:p>
    <w:p>
      <w:pPr>
        <w:pStyle w:val="4"/>
        <w:spacing w:before="0" w:after="0" w:line="460" w:lineRule="exact"/>
        <w:jc w:val="center"/>
        <w:rPr>
          <w:rFonts w:cs="仿宋" w:asciiTheme="minorEastAsia" w:hAnsiTheme="minorEastAsia" w:eastAsiaTheme="minorEastAsia"/>
          <w:color w:val="auto"/>
          <w:sz w:val="24"/>
          <w:szCs w:val="24"/>
          <w:highlight w:val="none"/>
        </w:rPr>
      </w:pPr>
    </w:p>
    <w:p>
      <w:pPr>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br w:type="page"/>
      </w:r>
    </w:p>
    <w:p>
      <w:pPr>
        <w:pStyle w:val="6"/>
        <w:spacing w:before="0" w:after="0" w:line="460" w:lineRule="exact"/>
        <w:ind w:firstLine="3600" w:firstLineChars="1200"/>
        <w:jc w:val="both"/>
        <w:outlineLvl w:val="3"/>
        <w:rPr>
          <w:rFonts w:cs="仿宋" w:asciiTheme="minorEastAsia" w:hAnsiTheme="minorEastAsia" w:eastAsiaTheme="minorEastAsia"/>
          <w:color w:val="auto"/>
          <w:sz w:val="28"/>
          <w:szCs w:val="28"/>
          <w:highlight w:val="none"/>
        </w:rPr>
      </w:pPr>
      <w:r>
        <w:rPr>
          <w:rFonts w:hint="eastAsia" w:cs="仿宋" w:asciiTheme="minorEastAsia" w:hAnsiTheme="minorEastAsia" w:eastAsiaTheme="minorEastAsia"/>
          <w:color w:val="auto"/>
          <w:sz w:val="28"/>
          <w:szCs w:val="28"/>
          <w:highlight w:val="none"/>
        </w:rPr>
        <w:t>二、采购需求</w:t>
      </w:r>
    </w:p>
    <w:p>
      <w:pPr>
        <w:rPr>
          <w:rFonts w:cs="微软雅黑" w:asciiTheme="majorEastAsia" w:hAnsiTheme="majorEastAsia" w:eastAsiaTheme="majorEastAsia"/>
          <w:kern w:val="0"/>
          <w:szCs w:val="22"/>
          <w:highlight w:val="none"/>
          <w:lang w:bidi="ar"/>
        </w:rPr>
      </w:pPr>
      <w:r>
        <w:rPr>
          <w:rFonts w:hint="eastAsia" w:cs="微软雅黑" w:asciiTheme="majorEastAsia" w:hAnsiTheme="majorEastAsia" w:eastAsiaTheme="majorEastAsia"/>
          <w:kern w:val="0"/>
          <w:szCs w:val="22"/>
          <w:highlight w:val="none"/>
          <w:lang w:bidi="ar"/>
        </w:rPr>
        <w:t>1.1采购清单</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196"/>
        <w:gridCol w:w="69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val="0"/>
              <w:jc w:val="center"/>
              <w:rPr>
                <w:rFonts w:hint="eastAsia" w:ascii="宋体" w:hAnsi="宋体" w:eastAsia="宋体" w:cs="宋体"/>
                <w:b/>
                <w:bCs/>
                <w:color w:val="auto"/>
                <w:sz w:val="24"/>
                <w:szCs w:val="24"/>
                <w:highlight w:val="none"/>
                <w:lang w:val="en-US" w:eastAsia="en-US"/>
              </w:rPr>
            </w:pPr>
            <w:bookmarkStart w:id="99" w:name="_Toc32549"/>
            <w:r>
              <w:rPr>
                <w:rFonts w:hint="eastAsia" w:ascii="宋体" w:hAnsi="宋体" w:eastAsia="宋体" w:cs="宋体"/>
                <w:b/>
                <w:bCs/>
                <w:color w:val="auto"/>
                <w:sz w:val="24"/>
                <w:szCs w:val="24"/>
                <w:highlight w:val="none"/>
              </w:rPr>
              <w:t>序号</w:t>
            </w:r>
          </w:p>
        </w:tc>
        <w:tc>
          <w:tcPr>
            <w:tcW w:w="0" w:type="auto"/>
            <w:vAlign w:val="center"/>
          </w:tcPr>
          <w:p>
            <w:pPr>
              <w:widowControl w:val="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品目名称</w:t>
            </w:r>
          </w:p>
        </w:tc>
        <w:tc>
          <w:tcPr>
            <w:tcW w:w="0" w:type="auto"/>
            <w:vAlign w:val="center"/>
          </w:tcPr>
          <w:p>
            <w:pPr>
              <w:widowControl w:val="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数量</w:t>
            </w:r>
          </w:p>
        </w:tc>
        <w:tc>
          <w:tcPr>
            <w:tcW w:w="0" w:type="auto"/>
            <w:vAlign w:val="center"/>
          </w:tcPr>
          <w:p>
            <w:pPr>
              <w:widowControl w:val="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pPr>
              <w:widowControl w:val="0"/>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1</w:t>
            </w:r>
          </w:p>
        </w:tc>
        <w:tc>
          <w:tcPr>
            <w:tcW w:w="0" w:type="auto"/>
            <w:vAlign w:val="center"/>
          </w:tcPr>
          <w:p>
            <w:pPr>
              <w:widowControl w:val="0"/>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地面地砖铺设</w:t>
            </w:r>
          </w:p>
        </w:tc>
        <w:tc>
          <w:tcPr>
            <w:tcW w:w="0" w:type="auto"/>
            <w:vAlign w:val="center"/>
          </w:tcPr>
          <w:p>
            <w:pPr>
              <w:widowControl w:val="0"/>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400</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0" w:type="auto"/>
            <w:vAlign w:val="center"/>
          </w:tcPr>
          <w:p>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教师工作站</w:t>
            </w:r>
          </w:p>
        </w:tc>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0" w:type="auto"/>
            <w:vAlign w:val="center"/>
          </w:tcPr>
          <w:p>
            <w:pPr>
              <w:widowControl w:val="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综合布线</w:t>
            </w:r>
          </w:p>
        </w:tc>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智慧云软件系统</w:t>
            </w:r>
          </w:p>
        </w:tc>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183</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服务器</w:t>
            </w:r>
          </w:p>
        </w:tc>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水晶头</w:t>
            </w:r>
          </w:p>
        </w:tc>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万兆交换机</w:t>
            </w:r>
          </w:p>
        </w:tc>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8</w:t>
            </w:r>
          </w:p>
        </w:tc>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交换机</w:t>
            </w:r>
          </w:p>
        </w:tc>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0" w:type="auto"/>
            <w:vAlign w:val="center"/>
          </w:tcPr>
          <w:p>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电子教室</w:t>
            </w:r>
          </w:p>
        </w:tc>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0" w:type="auto"/>
            <w:vAlign w:val="center"/>
          </w:tcPr>
          <w:p>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凳子</w:t>
            </w:r>
          </w:p>
        </w:tc>
        <w:tc>
          <w:tcPr>
            <w:tcW w:w="0" w:type="auto"/>
            <w:vAlign w:val="center"/>
          </w:tcPr>
          <w:p>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500</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0" w:type="auto"/>
            <w:vAlign w:val="center"/>
          </w:tcPr>
          <w:p>
            <w:pPr>
              <w:widowControl w:val="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台式计算机1</w:t>
            </w:r>
          </w:p>
        </w:tc>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244</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p>
        </w:tc>
        <w:tc>
          <w:tcPr>
            <w:tcW w:w="0" w:type="auto"/>
            <w:vAlign w:val="center"/>
          </w:tcPr>
          <w:p>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鼠标键盘</w:t>
            </w:r>
          </w:p>
        </w:tc>
        <w:tc>
          <w:tcPr>
            <w:tcW w:w="0" w:type="auto"/>
            <w:vAlign w:val="center"/>
          </w:tcPr>
          <w:p>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450</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13</w:t>
            </w:r>
          </w:p>
        </w:tc>
        <w:tc>
          <w:tcPr>
            <w:tcW w:w="0" w:type="auto"/>
            <w:vAlign w:val="center"/>
          </w:tcPr>
          <w:p>
            <w:pPr>
              <w:widowControl w:val="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音响功放话筒组</w:t>
            </w:r>
          </w:p>
        </w:tc>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14</w:t>
            </w:r>
          </w:p>
        </w:tc>
        <w:tc>
          <w:tcPr>
            <w:tcW w:w="0" w:type="auto"/>
            <w:vAlign w:val="center"/>
          </w:tcPr>
          <w:p>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空调</w:t>
            </w:r>
          </w:p>
        </w:tc>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15</w:t>
            </w:r>
          </w:p>
        </w:tc>
        <w:tc>
          <w:tcPr>
            <w:tcW w:w="0" w:type="auto"/>
            <w:vAlign w:val="center"/>
          </w:tcPr>
          <w:p>
            <w:pPr>
              <w:widowControl w:val="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台式计算机2</w:t>
            </w:r>
          </w:p>
        </w:tc>
        <w:tc>
          <w:tcPr>
            <w:tcW w:w="0" w:type="auto"/>
            <w:vAlign w:val="center"/>
          </w:tcPr>
          <w:p>
            <w:pPr>
              <w:widowControl w:val="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183</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0" w:type="auto"/>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16</w:t>
            </w:r>
          </w:p>
        </w:tc>
        <w:tc>
          <w:tcPr>
            <w:tcW w:w="0" w:type="auto"/>
            <w:vAlign w:val="center"/>
          </w:tcPr>
          <w:p>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电脑桌</w:t>
            </w:r>
          </w:p>
        </w:tc>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90</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17</w:t>
            </w:r>
          </w:p>
        </w:tc>
        <w:tc>
          <w:tcPr>
            <w:tcW w:w="0" w:type="auto"/>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教师电脑桌椅</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18</w:t>
            </w:r>
          </w:p>
        </w:tc>
        <w:tc>
          <w:tcPr>
            <w:tcW w:w="0" w:type="auto"/>
            <w:vAlign w:val="center"/>
          </w:tcPr>
          <w:p>
            <w:pPr>
              <w:keepNext w:val="0"/>
              <w:keepLines w:val="0"/>
              <w:widowControl/>
              <w:suppressLineNumbers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NAS 网络存储器</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19</w:t>
            </w:r>
          </w:p>
        </w:tc>
        <w:tc>
          <w:tcPr>
            <w:tcW w:w="0" w:type="auto"/>
            <w:vAlign w:val="center"/>
          </w:tcPr>
          <w:p>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路由器</w:t>
            </w:r>
          </w:p>
        </w:tc>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20</w:t>
            </w:r>
          </w:p>
        </w:tc>
        <w:tc>
          <w:tcPr>
            <w:tcW w:w="0" w:type="auto"/>
            <w:vAlign w:val="center"/>
          </w:tcPr>
          <w:p>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机房管理固态U 盘</w:t>
            </w:r>
          </w:p>
        </w:tc>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0" w:type="auto"/>
            <w:vAlign w:val="center"/>
          </w:tcPr>
          <w:p>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投影系统</w:t>
            </w:r>
          </w:p>
        </w:tc>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0" w:type="auto"/>
            <w:vAlign w:val="center"/>
          </w:tcPr>
          <w:p>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网线</w:t>
            </w:r>
          </w:p>
        </w:tc>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0" w:type="auto"/>
            <w:vAlign w:val="center"/>
          </w:tcPr>
          <w:p>
            <w:pPr>
              <w:widowControl w:val="0"/>
              <w:jc w:val="center"/>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z w:val="24"/>
                <w:szCs w:val="24"/>
                <w:highlight w:val="none"/>
                <w:lang w:val="en-US" w:eastAsia="zh-CN"/>
              </w:rPr>
              <w:t>寻线仪</w:t>
            </w:r>
          </w:p>
        </w:tc>
        <w:tc>
          <w:tcPr>
            <w:tcW w:w="0" w:type="auto"/>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铝扣板</w:t>
            </w:r>
          </w:p>
        </w:tc>
        <w:tc>
          <w:tcPr>
            <w:tcW w:w="0" w:type="auto"/>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400</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平米</w:t>
            </w:r>
          </w:p>
        </w:tc>
      </w:tr>
    </w:tbl>
    <w:p>
      <w:pPr>
        <w:spacing w:line="360" w:lineRule="auto"/>
        <w:jc w:val="left"/>
        <w:rPr>
          <w:rFonts w:ascii="宋体" w:hAnsi="宋体" w:cs="宋体"/>
          <w:szCs w:val="28"/>
          <w:highlight w:val="none"/>
        </w:rPr>
      </w:pPr>
      <w:r>
        <w:rPr>
          <w:rFonts w:hint="eastAsia" w:ascii="宋体" w:hAnsi="宋体" w:cs="宋体"/>
          <w:szCs w:val="28"/>
          <w:highlight w:val="none"/>
        </w:rPr>
        <w:t>1.2供应商须提供符合本项目技术要求和国家标准、行业标准等标准的优质产品。若同一标准已颁发新标准，则按最新标准执行。若同一产品同时有几个标准（如国际标准、国家标准、行业标准、企业标准等），则按最高层次的标准执行。</w:t>
      </w:r>
    </w:p>
    <w:p>
      <w:pPr>
        <w:spacing w:line="360" w:lineRule="auto"/>
        <w:jc w:val="left"/>
        <w:rPr>
          <w:rFonts w:ascii="宋体" w:hAnsi="宋体" w:cs="宋体"/>
          <w:szCs w:val="28"/>
          <w:highlight w:val="none"/>
        </w:rPr>
      </w:pPr>
      <w:r>
        <w:rPr>
          <w:rFonts w:hint="eastAsia" w:ascii="宋体" w:hAnsi="宋体" w:cs="宋体"/>
          <w:szCs w:val="28"/>
          <w:highlight w:val="none"/>
        </w:rPr>
        <w:t>1.3本项目为交钥匙工程：所有货物、材料、运输、转运、装卸、辅材、安装、施工、调试、安全文明生产、机械设备及耗材费、检测、验收、上线运行、培训、技术支持、保险、人员工资福利、国家法定假日加班费、劳保用品费、办公设备及办公费、管理费、利润、税金、售后服务、质保期内维修材料、缺陷期间维护及为完成该项目不可预见的费用等一切费用均包含在投标报价总价中。</w:t>
      </w:r>
      <w:r>
        <w:rPr>
          <w:rFonts w:hint="eastAsia" w:ascii="宋体" w:hAnsi="宋体" w:cs="宋体"/>
          <w:szCs w:val="28"/>
          <w:highlight w:val="none"/>
          <w:lang w:eastAsia="zh-CN"/>
        </w:rPr>
        <w:t>供应商</w:t>
      </w:r>
      <w:r>
        <w:rPr>
          <w:rFonts w:hint="eastAsia" w:ascii="宋体" w:hAnsi="宋体" w:cs="宋体"/>
          <w:szCs w:val="28"/>
          <w:highlight w:val="none"/>
        </w:rPr>
        <w:t>应充分考虑本项目合同实施期间可能发生的一切费用，并承担由此而带来的风险。凡</w:t>
      </w:r>
      <w:r>
        <w:rPr>
          <w:rFonts w:hint="eastAsia" w:ascii="宋体" w:hAnsi="宋体" w:cs="宋体"/>
          <w:szCs w:val="28"/>
          <w:highlight w:val="none"/>
          <w:lang w:eastAsia="zh-CN"/>
        </w:rPr>
        <w:t>供应商</w:t>
      </w:r>
      <w:r>
        <w:rPr>
          <w:rFonts w:hint="eastAsia" w:ascii="宋体" w:hAnsi="宋体" w:cs="宋体"/>
          <w:szCs w:val="28"/>
          <w:highlight w:val="none"/>
        </w:rPr>
        <w:t>在报价中未列明但又是建成该项目所必备的项目或遗漏项目，采购人将一律视为已包括在其报价中。</w:t>
      </w:r>
    </w:p>
    <w:p>
      <w:pPr>
        <w:rPr>
          <w:highlight w:val="none"/>
        </w:rPr>
        <w:sectPr>
          <w:footerReference r:id="rId1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highlight w:val="none"/>
        </w:rPr>
        <w:br w:type="page"/>
      </w:r>
    </w:p>
    <w:bookmarkEnd w:id="99"/>
    <w:p>
      <w:pPr>
        <w:pStyle w:val="4"/>
        <w:rPr>
          <w:highlight w:val="none"/>
        </w:rPr>
      </w:pPr>
      <w:bookmarkStart w:id="100" w:name="_Toc5455"/>
      <w:r>
        <w:rPr>
          <w:rFonts w:hint="eastAsia"/>
          <w:highlight w:val="none"/>
        </w:rPr>
        <w:t>二、技术要求</w:t>
      </w:r>
      <w:bookmarkEnd w:id="100"/>
    </w:p>
    <w:tbl>
      <w:tblPr>
        <w:tblStyle w:val="4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694"/>
        <w:gridCol w:w="1340"/>
        <w:gridCol w:w="6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07" w:type="pct"/>
            <w:shd w:val="clear" w:color="auto" w:fill="FFFFFF" w:themeFill="background1"/>
            <w:vAlign w:val="center"/>
          </w:tcPr>
          <w:p>
            <w:pPr>
              <w:widowControl w:val="0"/>
              <w:jc w:val="center"/>
              <w:rPr>
                <w:rFonts w:hint="eastAsia" w:ascii="宋体" w:hAnsi="宋体" w:eastAsia="宋体" w:cs="宋体"/>
                <w:b/>
                <w:bCs/>
                <w:color w:val="auto"/>
                <w:sz w:val="24"/>
                <w:szCs w:val="24"/>
                <w:highlight w:val="none"/>
                <w:lang w:val="en-US" w:eastAsia="en-US"/>
              </w:rPr>
            </w:pPr>
            <w:r>
              <w:rPr>
                <w:rFonts w:hint="eastAsia" w:ascii="宋体" w:hAnsi="宋体" w:eastAsia="宋体" w:cs="宋体"/>
                <w:b/>
                <w:bCs/>
                <w:color w:val="auto"/>
                <w:sz w:val="24"/>
                <w:szCs w:val="24"/>
                <w:highlight w:val="none"/>
              </w:rPr>
              <w:t>序号</w:t>
            </w:r>
          </w:p>
        </w:tc>
        <w:tc>
          <w:tcPr>
            <w:tcW w:w="786" w:type="pct"/>
            <w:shd w:val="clear" w:color="auto" w:fill="FFFFFF" w:themeFill="background1"/>
            <w:vAlign w:val="center"/>
          </w:tcPr>
          <w:p>
            <w:pPr>
              <w:widowControl w:val="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品目名称</w:t>
            </w:r>
          </w:p>
        </w:tc>
        <w:tc>
          <w:tcPr>
            <w:tcW w:w="3805" w:type="pct"/>
            <w:shd w:val="clear" w:color="auto" w:fill="FFFFFF" w:themeFill="background1"/>
            <w:vAlign w:val="center"/>
          </w:tcPr>
          <w:p>
            <w:pPr>
              <w:widowControl w:val="0"/>
              <w:jc w:val="center"/>
              <w:rPr>
                <w:rFonts w:hint="eastAsia" w:ascii="宋体" w:hAnsi="宋体" w:eastAsia="宋体" w:cs="宋体"/>
                <w:b/>
                <w:bCs/>
                <w:color w:val="auto"/>
                <w:sz w:val="24"/>
                <w:szCs w:val="24"/>
                <w:highlight w:val="none"/>
                <w:lang w:val="en-US" w:eastAsia="en-US"/>
              </w:rPr>
            </w:pPr>
            <w:r>
              <w:rPr>
                <w:rFonts w:hint="eastAsia" w:ascii="宋体" w:hAnsi="宋体" w:eastAsia="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57" w:hRule="atLeast"/>
          <w:jc w:val="center"/>
        </w:trPr>
        <w:tc>
          <w:tcPr>
            <w:tcW w:w="407" w:type="pct"/>
            <w:shd w:val="clear" w:color="auto" w:fill="FFFFFF" w:themeFill="background1"/>
            <w:vAlign w:val="center"/>
          </w:tcPr>
          <w:p>
            <w:pPr>
              <w:widowControl w:val="0"/>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1</w:t>
            </w:r>
          </w:p>
        </w:tc>
        <w:tc>
          <w:tcPr>
            <w:tcW w:w="786" w:type="pct"/>
            <w:shd w:val="clear" w:color="auto" w:fill="FFFFFF" w:themeFill="background1"/>
            <w:vAlign w:val="center"/>
          </w:tcPr>
          <w:p>
            <w:pPr>
              <w:widowControl w:val="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地面地砖铺设</w:t>
            </w:r>
          </w:p>
        </w:tc>
        <w:tc>
          <w:tcPr>
            <w:tcW w:w="3805" w:type="pct"/>
            <w:shd w:val="clear" w:color="auto" w:fill="FFFFFF" w:themeFill="background1"/>
            <w:vAlign w:val="center"/>
          </w:tcPr>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地砖通铺 800mm*800mm，（含静电地板拆除工作，报废静电地板都需运至校外相应地点进行报废处理）上下楼人工辅材等</w:t>
            </w:r>
            <w:r>
              <w:rPr>
                <w:rFonts w:hint="eastAsia" w:ascii="宋体" w:hAnsi="宋体" w:eastAsia="宋体" w:cs="宋体"/>
                <w:color w:val="auto"/>
                <w:sz w:val="24"/>
                <w:szCs w:val="24"/>
                <w:highlight w:val="none"/>
                <w:lang w:eastAsia="zh-CN"/>
              </w:rPr>
              <w:t>，辅材提供数量需完全满足本项目的实施要求</w:t>
            </w:r>
            <w:r>
              <w:rPr>
                <w:rFonts w:hint="eastAsia" w:ascii="宋体" w:hAnsi="宋体" w:eastAsia="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07" w:type="pct"/>
            <w:shd w:val="clear" w:color="auto" w:fill="FFFFFF" w:themeFill="background1"/>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786" w:type="pct"/>
            <w:shd w:val="clear" w:color="auto" w:fill="FFFFFF" w:themeFill="background1"/>
            <w:vAlign w:val="center"/>
          </w:tcPr>
          <w:p>
            <w:pPr>
              <w:widowControl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教师工作站</w:t>
            </w:r>
          </w:p>
        </w:tc>
        <w:tc>
          <w:tcPr>
            <w:tcW w:w="3805" w:type="pct"/>
            <w:shd w:val="clear" w:color="auto" w:fill="FFFFFF" w:themeFill="background1"/>
            <w:vAlign w:val="center"/>
          </w:tcPr>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1、CPU</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16核24线程，P核基础频率≧3.4G, L3末级缓存≧30M,设计热功耗≧125W；</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2、硬盘：≥2T SSD 固态硬盘；</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3、内存：容量32GBDDR5 4800,≧4个内存插槽，最大支持128GB。</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4、网卡：10/100/1000M自适应。</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5、I/O接口：≥6 个 USB Type-A 3.2 10Gbps 信率端口（1 个充电端口）； ≥1 个 USB Type-C® 20Gbps 信率端口；≥1 个通用音频插孔;≥ 1 个音频输入； ≥1 个音频输出；≥ 1 个 RJ-45； ≥2 个 DisplayPort™ 1.4；≥ 1 个USB Type-A 3.0 5Gbps 信率端口；≥3 个 USB Type-A2.0端口；</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6、主板：≥ 1 个 PCIe 5 x16（x16 接口），≥1 个 PCIe 3 x4（x16 接口）；≥ 1 个 PCIe 3 x4（x4 接口）；≥ 1 个 PCIe 3 x1（x4 接口）；； ≥1 个用于 WLAN 的 M.2 2230 PCIe 3 X1，≥3 个 M.2 2280（1 个用于 WLAN 的 M.2 2230 插槽和 3 个用于存储的 M.2 2280 插槽。</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7、显卡：</w:t>
            </w:r>
            <w:r>
              <w:rPr>
                <w:rFonts w:hint="eastAsia" w:ascii="宋体" w:hAnsi="宋体" w:eastAsia="宋体" w:cs="宋体"/>
                <w:color w:val="auto"/>
                <w:sz w:val="24"/>
                <w:szCs w:val="24"/>
                <w:highlight w:val="none"/>
                <w:lang w:eastAsia="zh-CN"/>
              </w:rPr>
              <w:t>显卡显示芯片核心频率≥1320MHz,显存DDR6 显存容量≥12GB,显示位宽≥192bit</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8、显示系统：≥</w:t>
            </w:r>
            <w:r>
              <w:rPr>
                <w:rFonts w:hint="eastAsia" w:ascii="宋体" w:hAnsi="宋体" w:eastAsia="宋体" w:cs="宋体"/>
                <w:color w:val="auto"/>
                <w:sz w:val="24"/>
                <w:szCs w:val="24"/>
                <w:highlight w:val="none"/>
                <w:lang w:eastAsia="zh-CN"/>
              </w:rPr>
              <w:t xml:space="preserve"> 23.8 英寸，IPS屏幕，分辨率:≥1920*1080，刷新率≥75Hz,亮度：≥250nit,VGA+HDMI+DP三种及</w:t>
            </w:r>
            <w:r>
              <w:rPr>
                <w:rFonts w:hint="eastAsia" w:ascii="宋体" w:hAnsi="宋体" w:eastAsia="宋体" w:cs="宋体"/>
                <w:color w:val="auto"/>
                <w:sz w:val="24"/>
                <w:szCs w:val="24"/>
                <w:highlight w:val="none"/>
                <w:lang w:val="en-US" w:eastAsia="zh-CN"/>
              </w:rPr>
              <w:t>以上</w:t>
            </w:r>
            <w:r>
              <w:rPr>
                <w:rFonts w:hint="eastAsia" w:ascii="宋体" w:hAnsi="宋体" w:eastAsia="宋体" w:cs="宋体"/>
                <w:color w:val="auto"/>
                <w:sz w:val="24"/>
                <w:szCs w:val="24"/>
                <w:highlight w:val="none"/>
                <w:lang w:eastAsia="zh-CN"/>
              </w:rPr>
              <w:t>接口，原厂HDMI连接线，显示器内置芯片，未经批准与电脑断开连接，用户可通过预先设定的PIN密码禁用该显示器功能，显示器内置芯片，可以在独立的屏幕区域中，同时处理文档、电子表格和电子邮件等功能</w:t>
            </w:r>
            <w:r>
              <w:rPr>
                <w:rFonts w:hint="eastAsia" w:ascii="宋体" w:hAnsi="宋体" w:eastAsia="宋体" w:cs="宋体"/>
                <w:color w:val="auto"/>
                <w:sz w:val="24"/>
                <w:szCs w:val="24"/>
                <w:highlight w:val="none"/>
                <w:lang w:val="en-US" w:eastAsia="zh-CN"/>
              </w:rPr>
              <w:t>;</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9、应用功能：1）具备硬盘还原及网络同传功能，2）提供中文版的BIOS，3）具有Bios 智能屏蔽USB 功能，可在Bios 中可设置每个USB接口是否可用功能；</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10、机箱电磁锁：通过BIOS设置密码，控制机箱打开，并记录开机箱的时间及次数；</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11、售后服务：提供三年原厂保修上门服务；</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12.其他要求：须满足附件：《工作站政府采购需求标准2023年版》必须纳入采购需求（加“*”）的指标。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07" w:type="pct"/>
            <w:shd w:val="clear" w:color="auto" w:fill="FFFFFF" w:themeFill="background1"/>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86" w:type="pct"/>
            <w:shd w:val="clear" w:color="auto" w:fill="FFFFFF" w:themeFill="background1"/>
            <w:vAlign w:val="center"/>
          </w:tcPr>
          <w:p>
            <w:pPr>
              <w:widowControl w:val="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综合布线</w:t>
            </w:r>
          </w:p>
        </w:tc>
        <w:tc>
          <w:tcPr>
            <w:tcW w:w="3805" w:type="pct"/>
            <w:shd w:val="clear" w:color="auto" w:fill="FFFFFF" w:themeFill="background1"/>
            <w:vAlign w:val="center"/>
          </w:tcPr>
          <w:p>
            <w:pPr>
              <w:widowControl w:val="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含强弱电布线包含所有设备运输，所有音视频电脑设备安装及调试，项目部署实施配套的相关配件、线材、电工胶布、线管、线槽、电源插座、扎带、光纤、光模块等施工辅材等</w:t>
            </w:r>
            <w:r>
              <w:rPr>
                <w:rFonts w:hint="eastAsia" w:ascii="宋体" w:hAnsi="宋体" w:eastAsia="宋体" w:cs="宋体"/>
                <w:color w:val="auto"/>
                <w:sz w:val="24"/>
                <w:szCs w:val="24"/>
                <w:highlight w:val="none"/>
                <w:lang w:eastAsia="zh-CN"/>
              </w:rPr>
              <w:t>，辅材提供数量需完全满足本项目的实施要求</w:t>
            </w:r>
            <w:r>
              <w:rPr>
                <w:rFonts w:hint="eastAsia" w:ascii="宋体" w:hAnsi="宋体" w:eastAsia="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07" w:type="pct"/>
            <w:shd w:val="clear" w:color="auto" w:fill="FFFFFF" w:themeFill="background1"/>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786" w:type="pct"/>
            <w:shd w:val="clear" w:color="auto" w:fill="FFFFFF" w:themeFill="background1"/>
            <w:vAlign w:val="center"/>
          </w:tcPr>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智慧云软件系统</w:t>
            </w:r>
          </w:p>
        </w:tc>
        <w:tc>
          <w:tcPr>
            <w:tcW w:w="3805" w:type="pct"/>
            <w:shd w:val="clear" w:color="auto" w:fill="FFFFFF" w:themeFill="background1"/>
            <w:vAlign w:val="top"/>
          </w:tcPr>
          <w:p>
            <w:pPr>
              <w:pStyle w:val="2"/>
              <w:widowContro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 支持创建多种类型系统桌面，包括但不限于Windows 7、windows 10和Linux系统；同一台终端可以同时支持windows和Linux系统，便于用户在不同场景下切换使用；</w:t>
            </w:r>
          </w:p>
          <w:p>
            <w:pPr>
              <w:pStyle w:val="2"/>
              <w:widowContro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 支持对桌面模板进行全生命周期管理，包括模板编辑更新、版本回退、更新点信息、模板复制、版本下载等功能操作和管理；</w:t>
            </w:r>
          </w:p>
          <w:p>
            <w:pPr>
              <w:pStyle w:val="2"/>
              <w:widowContro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 支持桌面数据盘和共享盘，针对共享盘可实现单终端多系统共享（非网络共享盘），提高终端磁盘资源的高效利用；</w:t>
            </w:r>
          </w:p>
          <w:p>
            <w:pPr>
              <w:pStyle w:val="2"/>
              <w:widowContro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 支持多种桌面更新模式，针对不同磁盘容量的终端，可自定义选择增量更新和覆盖更新，以满足不同场景的需求和兼容；</w:t>
            </w:r>
          </w:p>
          <w:p>
            <w:pPr>
              <w:pStyle w:val="2"/>
              <w:widowContro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 支持电子教学软件的统一配置，包括教室号、教师机IP、顶层服务IP、频道号、教师机标识等。实现终端、电子教学软件的统一部署和维护。</w:t>
            </w:r>
          </w:p>
          <w:p>
            <w:pPr>
              <w:pStyle w:val="2"/>
              <w:widowContro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 支持多种桌面镜像下发方式，包括自动更新和手动下发。下发过程中不会影响现有终端的系统使用，在后台实现静默更新；</w:t>
            </w:r>
          </w:p>
          <w:p>
            <w:pPr>
              <w:pStyle w:val="2"/>
              <w:widowContro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 支持批量或单台终端设备屏幕分辨率、终端序号、终端IP地址等参数的设置 ；</w:t>
            </w:r>
          </w:p>
          <w:p>
            <w:pPr>
              <w:pStyle w:val="2"/>
              <w:widowContro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 持对服务器使用情况进行监控，包含CPU/内存/存储/网络/进程等，可实现对终端资源进行监控及硬件变更预警；</w:t>
            </w:r>
          </w:p>
          <w:p>
            <w:pPr>
              <w:pStyle w:val="2"/>
              <w:widowContro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 支持通过管理平台批量对多个分组终端统一下发命令，包括但不限于进入维护模式、桌面下发、关机、重启、清空桌面、取消下发、开机等操作；</w:t>
            </w:r>
          </w:p>
          <w:p>
            <w:pPr>
              <w:pStyle w:val="2"/>
              <w:widowContro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 支持创建多种类型系统桌面，包括但不限于Windows 7、windows 10和Linux系统。同一台终端可以同时支持windows和Linux系统，便于用户在不同场景下切换使用；</w:t>
            </w:r>
          </w:p>
          <w:p>
            <w:pPr>
              <w:pStyle w:val="2"/>
              <w:widowContro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 支持广域网部署，使服务端与终端可以跨互联网连接。支持对局域网内终端及外网各子单位终端集中管理。</w:t>
            </w:r>
          </w:p>
          <w:p>
            <w:pPr>
              <w:pStyle w:val="2"/>
              <w:widowContro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 在多个分组（教室）使用同一桌面业务场景下，支持批量增加教学桌面组，快速配置同一模板用于多个分组，从而提高部署效率。</w:t>
            </w:r>
          </w:p>
          <w:p>
            <w:pPr>
              <w:pStyle w:val="2"/>
              <w:widowContro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 支持跨网段管理终端，</w:t>
            </w:r>
            <w:r>
              <w:rPr>
                <w:rFonts w:hint="eastAsia" w:ascii="宋体" w:hAnsi="宋体" w:cs="宋体"/>
                <w:color w:val="auto"/>
                <w:sz w:val="24"/>
                <w:szCs w:val="24"/>
                <w:highlight w:val="none"/>
                <w:lang w:val="en-US" w:eastAsia="zh-CN"/>
              </w:rPr>
              <w:t>手动</w:t>
            </w:r>
            <w:r>
              <w:rPr>
                <w:rFonts w:hint="eastAsia" w:ascii="宋体" w:hAnsi="宋体" w:eastAsia="宋体" w:cs="宋体"/>
                <w:color w:val="auto"/>
                <w:sz w:val="24"/>
                <w:szCs w:val="24"/>
                <w:highlight w:val="none"/>
                <w:lang w:eastAsia="zh-CN"/>
              </w:rPr>
              <w:t>开机、关机、重启等操作。</w:t>
            </w:r>
          </w:p>
          <w:p>
            <w:pPr>
              <w:pStyle w:val="2"/>
              <w:widowContro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 支持通过管理平台远程设置终端IP，方便远程运维。</w:t>
            </w:r>
          </w:p>
          <w:p>
            <w:pPr>
              <w:pStyle w:val="2"/>
              <w:widowContro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 支持在管理平台上开启共享数据盘，为一个终端多个操作系统提供存储共享服务。可设置共享数据盘空间大小及数据清除策略；</w:t>
            </w:r>
          </w:p>
          <w:p>
            <w:pPr>
              <w:pStyle w:val="2"/>
              <w:widowContro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16. 支持通过管理平台对单台终端以TCP方式下发桌面，保障桌面系统数据传输的可靠性； </w:t>
            </w:r>
          </w:p>
          <w:p>
            <w:pPr>
              <w:pStyle w:val="2"/>
              <w:widowContro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 支持通过管理平台指定单台或多台终端进入编辑模式，实现还原桌面临时性不还原，或临时性硬件或外设设备变更后的快速生效。</w:t>
            </w:r>
          </w:p>
          <w:p>
            <w:pPr>
              <w:pStyle w:val="2"/>
              <w:widowContro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18. 支持通过管理平台对单台或多台终端发送消息，终端可在桌面登录页面和进入桌面显示管理平台发送的信息。</w:t>
            </w:r>
          </w:p>
          <w:p>
            <w:pPr>
              <w:pStyle w:val="2"/>
              <w:rPr>
                <w:rFonts w:hint="eastAsia" w:eastAsia="宋体"/>
                <w:lang w:val="en-US" w:eastAsia="zh-CN"/>
              </w:rPr>
            </w:pP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支持在对单个桌面模板进行多版本管理，</w:t>
            </w:r>
            <w:r>
              <w:rPr>
                <w:rFonts w:hint="eastAsia" w:ascii="宋体" w:hAnsi="宋体" w:cs="宋体"/>
                <w:color w:val="auto"/>
                <w:sz w:val="24"/>
                <w:szCs w:val="24"/>
                <w:highlight w:val="none"/>
                <w:lang w:val="en-US" w:eastAsia="zh-CN"/>
              </w:rPr>
              <w:t>支持</w:t>
            </w:r>
            <w:r>
              <w:rPr>
                <w:rFonts w:hint="eastAsia" w:ascii="宋体" w:hAnsi="宋体" w:eastAsia="宋体" w:cs="宋体"/>
                <w:color w:val="auto"/>
                <w:sz w:val="24"/>
                <w:szCs w:val="24"/>
                <w:highlight w:val="none"/>
              </w:rPr>
              <w:t>版本的</w:t>
            </w:r>
            <w:r>
              <w:rPr>
                <w:rFonts w:hint="eastAsia" w:ascii="宋体" w:hAnsi="宋体" w:cs="宋体"/>
                <w:color w:val="auto"/>
                <w:sz w:val="24"/>
                <w:szCs w:val="24"/>
                <w:highlight w:val="none"/>
                <w:lang w:val="en-US" w:eastAsia="zh-CN"/>
              </w:rPr>
              <w:t>手动</w:t>
            </w:r>
            <w:r>
              <w:rPr>
                <w:rFonts w:hint="eastAsia" w:ascii="宋体" w:hAnsi="宋体" w:eastAsia="宋体" w:cs="宋体"/>
                <w:color w:val="auto"/>
                <w:sz w:val="24"/>
                <w:szCs w:val="24"/>
                <w:highlight w:val="none"/>
              </w:rPr>
              <w:t>合并</w:t>
            </w:r>
            <w:r>
              <w:rPr>
                <w:rFonts w:hint="eastAsia" w:ascii="宋体" w:hAnsi="宋体" w:cs="宋体"/>
                <w:color w:val="auto"/>
                <w:sz w:val="24"/>
                <w:szCs w:val="24"/>
                <w:highlight w:val="none"/>
                <w:lang w:val="en-US" w:eastAsia="zh-CN"/>
              </w:rPr>
              <w:t>管理。</w:t>
            </w:r>
          </w:p>
          <w:p>
            <w:pPr>
              <w:pStyle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20.支持设备监控与管理，</w:t>
            </w:r>
            <w:r>
              <w:rPr>
                <w:rFonts w:hint="eastAsia" w:ascii="宋体" w:hAnsi="宋体" w:eastAsia="宋体" w:cs="宋体"/>
                <w:color w:val="auto"/>
                <w:sz w:val="24"/>
                <w:szCs w:val="24"/>
                <w:highlight w:val="none"/>
              </w:rPr>
              <w:t>支持查看物理主机磁盘使用情况</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平台通过采集网络设备的运行状态实时监控设备的健康状况，历史性能数据。</w:t>
            </w:r>
          </w:p>
          <w:p>
            <w:pPr>
              <w:pStyle w:val="2"/>
              <w:rPr>
                <w:rFonts w:hint="eastAsia" w:eastAsia="宋体"/>
                <w:lang w:val="en-US" w:eastAsia="zh-CN"/>
              </w:rPr>
            </w:pPr>
            <w:r>
              <w:rPr>
                <w:rFonts w:hint="eastAsia" w:ascii="宋体" w:hAnsi="宋体" w:cs="宋体"/>
                <w:b/>
                <w:bCs/>
                <w:color w:val="auto"/>
                <w:sz w:val="24"/>
                <w:szCs w:val="24"/>
                <w:highlight w:val="none"/>
                <w:u w:val="none"/>
                <w:lang w:bidi="ar"/>
              </w:rPr>
              <w:t>注：合同签订后三日内，采购人有权要求中标供应商携带样品进行参数及功能等测试和查验，如未满足投标文件响应要求则视为无法履约，采购人将上报至同级财政监管部门，追究其法律及经济责任。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07" w:type="pct"/>
            <w:shd w:val="clear" w:color="auto" w:fill="FFFFFF" w:themeFill="background1"/>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86" w:type="pct"/>
            <w:shd w:val="clear" w:color="auto" w:fill="FFFFFF" w:themeFill="background1"/>
            <w:vAlign w:val="center"/>
          </w:tcPr>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服务器</w:t>
            </w:r>
          </w:p>
        </w:tc>
        <w:tc>
          <w:tcPr>
            <w:tcW w:w="3805" w:type="pct"/>
            <w:shd w:val="clear" w:color="auto" w:fill="FFFFFF" w:themeFill="background1"/>
            <w:vAlign w:val="center"/>
          </w:tcPr>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1、规格：2U服务器,国产品牌，自主研发，非OEM。</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2、处理器：≥1颗12核24线程2.1GHZ，最大2颗处理器，支持处理器功耗270W</w:t>
            </w:r>
            <w:r>
              <w:rPr>
                <w:rFonts w:hint="eastAsia" w:ascii="宋体" w:hAnsi="宋体" w:cs="宋体"/>
                <w:b w:val="0"/>
                <w:bCs w:val="0"/>
                <w:color w:val="auto"/>
                <w:sz w:val="24"/>
                <w:szCs w:val="24"/>
                <w:highlight w:val="none"/>
                <w:lang w:val="en-US" w:eastAsia="zh-CN"/>
              </w:rPr>
              <w:t>。</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3、内存：配置≥32G DDR4内存，最大支持≥</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val="en-US" w:eastAsia="zh-CN"/>
              </w:rPr>
              <w:t>个内存插槽；</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4、本地存储：配置≥1块960G固态，≥1块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TB SATA硬盘。最大可支持最大29个2.5寸硬盘（含4个后置LFF）或12个3.5寸硬盘，支持SAS/SATA/NVMe接口，支持≥2个后置基于SATA总线的M.2 SSD硬盘或≥2个后置短RSSD存储模块</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5、标准接口 ：≥3个USB3.0接口，≥1个USB2.0接口，≥2个VGA接口 ，≥1个UART串口，≥1个管理口</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6、RAID支持：主板集成阵列，提供RAID 0/1/5/6/10/50/60。</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7、网络接口：配置双口</w:t>
            </w:r>
            <w:r>
              <w:rPr>
                <w:rFonts w:hint="eastAsia" w:ascii="宋体" w:hAnsi="宋体" w:cs="宋体"/>
                <w:color w:val="auto"/>
                <w:sz w:val="24"/>
                <w:szCs w:val="24"/>
                <w:highlight w:val="none"/>
                <w:lang w:val="en-US" w:eastAsia="zh-CN"/>
              </w:rPr>
              <w:t>千</w:t>
            </w:r>
            <w:r>
              <w:rPr>
                <w:rFonts w:hint="eastAsia" w:ascii="宋体" w:hAnsi="宋体" w:eastAsia="宋体" w:cs="宋体"/>
                <w:color w:val="auto"/>
                <w:sz w:val="24"/>
                <w:szCs w:val="24"/>
                <w:highlight w:val="none"/>
                <w:lang w:val="en-US" w:eastAsia="zh-CN"/>
              </w:rPr>
              <w:t>兆以太网卡</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8、I/O扩展槽以及扩展模块配置：最大支持≥5个标准PCIE插槽加1个OCP3.0卡；支持≥5个PCIe x8/x16后置插槽，其中≥1个x8 PCIe插槽，≥4个x16 PCIe插槽；支持≥1个x16 OCP扩展(不占用PCIe插槽)；支持≥4个GPU卡</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9、电源模块 ：≥</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00W热插拔高效铂金交流电源; 支持交直流电源混插。</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散热：≥3个热插拔N+1冗余8056风扇，支持免工具热插拔维护</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cs="宋体"/>
                <w:color w:val="auto"/>
                <w:sz w:val="24"/>
                <w:szCs w:val="24"/>
                <w:highlight w:val="none"/>
                <w:lang w:val="en-US" w:eastAsia="zh-CN"/>
              </w:rPr>
              <w:t>运维</w:t>
            </w:r>
            <w:r>
              <w:rPr>
                <w:rFonts w:hint="eastAsia" w:ascii="宋体" w:hAnsi="宋体" w:eastAsia="宋体" w:cs="宋体"/>
                <w:color w:val="auto"/>
                <w:sz w:val="24"/>
                <w:szCs w:val="24"/>
                <w:highlight w:val="none"/>
                <w:lang w:val="en-US" w:eastAsia="zh-CN"/>
              </w:rPr>
              <w:t>管理功能：集成≥1个独立的1000Mbps网络接口，专门用于支持IPMI2.0的远程管理；安全可信：支持TPM，TCM安全可信模块；</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11.其他要求：须满足附件：《通用服务器政府采购需求标准2023年版》必须纳入采购需求（加“*”）的指标。</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u w:val="none"/>
                <w:lang w:bidi="ar"/>
              </w:rPr>
              <w:t>注：合同签订后三日内，采购人有权要求中标供应商携带样品进行参数及功能等测试和查验，如未满足投标文件响应要求则视为无法履约，采购人将上报至同级财政监管部门，追究其法律及经济责任。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07" w:type="pct"/>
            <w:shd w:val="clear" w:color="auto" w:fill="FFFFFF" w:themeFill="background1"/>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786" w:type="pct"/>
            <w:shd w:val="clear" w:color="auto" w:fill="FFFFFF" w:themeFill="background1"/>
            <w:vAlign w:val="center"/>
          </w:tcPr>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水晶头</w:t>
            </w:r>
          </w:p>
        </w:tc>
        <w:tc>
          <w:tcPr>
            <w:tcW w:w="3805" w:type="pct"/>
            <w:shd w:val="clear" w:color="auto" w:fill="FFFFFF" w:themeFill="background1"/>
            <w:vAlign w:val="center"/>
          </w:tcPr>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水晶头(6 类，100 个/盒 ）50U镀金芯片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07" w:type="pct"/>
            <w:shd w:val="clear" w:color="auto" w:fill="FFFFFF" w:themeFill="background1"/>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786" w:type="pct"/>
            <w:shd w:val="clear" w:color="auto" w:fill="FFFFFF" w:themeFill="background1"/>
            <w:vAlign w:val="center"/>
          </w:tcPr>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万兆交换机</w:t>
            </w:r>
          </w:p>
        </w:tc>
        <w:tc>
          <w:tcPr>
            <w:tcW w:w="3805" w:type="pct"/>
            <w:shd w:val="clear" w:color="auto" w:fill="FFFFFF" w:themeFill="background1"/>
            <w:vAlign w:val="center"/>
          </w:tcPr>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1、交换容量：≥336Gbps</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2、包转发率：≥108/126Mpps</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3、管理端口：≥1个Console口</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4、固定端口：≥24*10/100/1000Base-T、以太网端口；≥4*1G/10G BASE-XSFP+光口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07" w:type="pct"/>
            <w:shd w:val="clear" w:color="auto" w:fill="FFFFFF" w:themeFill="background1"/>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8</w:t>
            </w:r>
          </w:p>
        </w:tc>
        <w:tc>
          <w:tcPr>
            <w:tcW w:w="786" w:type="pct"/>
            <w:shd w:val="clear" w:color="auto" w:fill="FFFFFF" w:themeFill="background1"/>
            <w:vAlign w:val="center"/>
          </w:tcPr>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交换机</w:t>
            </w:r>
          </w:p>
        </w:tc>
        <w:tc>
          <w:tcPr>
            <w:tcW w:w="3805" w:type="pct"/>
            <w:shd w:val="clear" w:color="auto" w:fill="FFFFFF" w:themeFill="background1"/>
            <w:vAlign w:val="center"/>
          </w:tcPr>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1、交换容量≥336Gbps，包转发率≥126Mpps。配置千兆电口≥24 个，非复用千兆光口≥4 个； </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2、支持虚拟化功能，最多可将 9 台物理设备虚拟化为一台逻辑设备统一管理，并且链路故障的收敛时间≤ 30ms； </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3、支持 MAC 地址自动学习和老化； </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4、支持 4K 802.1Q VLAN； </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5、支持 ITU-TG.8032 国际公有环网协议 ERPS,并且链路故障的收敛时间≤50ms； </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6、支持广播风暴抑制； </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8、支持 SNMPv1/v2C/v3 、 CLI(Telnet/Console) 、RMON(1,2,3,9)、SSH、Syslog、NTP/SNTP、Web 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07" w:type="pct"/>
            <w:shd w:val="clear" w:color="auto" w:fill="FFFFFF" w:themeFill="background1"/>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786" w:type="pct"/>
            <w:shd w:val="clear" w:color="auto" w:fill="FFFFFF" w:themeFill="background1"/>
            <w:vAlign w:val="center"/>
          </w:tcPr>
          <w:p>
            <w:pPr>
              <w:widowControl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电子教室</w:t>
            </w:r>
          </w:p>
        </w:tc>
        <w:tc>
          <w:tcPr>
            <w:tcW w:w="3805" w:type="pct"/>
            <w:shd w:val="clear" w:color="auto" w:fill="FFFFFF" w:themeFill="background1"/>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屏幕广播：将教师机屏幕和教师讲话实时广播给单一、部分或全体学生，可选择全屏或窗口方式。窗口模式下或教师机与学生机分辨率不同情况下，学生机可以以不同的窗口方式接收广播。</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屏幕笔：教师教学使用的辅助工具，突出显示项目、添加注释，添加批注等等。</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共享白板：教师可共享白板、桌面或图片与选定的学生共同完成相同的学习任务或绘画作品，提供学生也可以单独完成。</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网络影院：实现教师机播放的视频同步广播到学生机。</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视频直播：通过USB摄像头将教师的画面实时广播到学生机，达到更形象的教学效果，具有引导客户选择视频设备的提示画面，以便客户快速完成摄像头设备的设置。</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语音广播：将教师机麦克风的声音广播给学生，教学过程中，可以请任何一位已登录的学生发言，其他学生和教师收听该学生发言。</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语音对讲：教师可以选择任意一名已登录学生与其进行双向语音交谈，除教师和此学生外，其他学生不会受到干扰，可以动态切换对讲对象。</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学生演示：教师可选定一台学生机作为示范，由此学生代替教师进行示范教学。</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分组教学：教师分派组长执行指定的功能，组长代替教师进行小组教学，小组不需要再临时创建，可以直接使用既有分组信息，教师可以监控每个分组的教学过程，以了解分组教学的进度。</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分组讨论：教师可以创建多个小组进行讨论活动，并可任意选择分组加入讨论活动。同组师生支持多种方式进行交流，包括文字，表情，图片等。</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屏幕录制：教师机可以将本地的操作和讲解过程录</w:t>
            </w:r>
            <w:r>
              <w:rPr>
                <w:rFonts w:hint="eastAsia" w:ascii="宋体" w:hAnsi="宋体" w:eastAsia="宋体" w:cs="宋体"/>
                <w:b w:val="0"/>
                <w:bCs w:val="0"/>
                <w:color w:val="auto"/>
                <w:sz w:val="24"/>
                <w:szCs w:val="24"/>
                <w:highlight w:val="none"/>
              </w:rPr>
              <w:t xml:space="preserve">制为ASF录像文件，可以用 Windows 自带的 Media Player </w:t>
            </w:r>
            <w:r>
              <w:rPr>
                <w:rFonts w:hint="eastAsia" w:ascii="宋体" w:hAnsi="宋体" w:eastAsia="宋体" w:cs="宋体"/>
                <w:color w:val="auto"/>
                <w:sz w:val="24"/>
                <w:szCs w:val="24"/>
                <w:highlight w:val="none"/>
              </w:rPr>
              <w:t>直接播放。</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学生端屏幕录制、回放：学生端接收教师端广播的时候可以自动录制教师机广播教学的过程，课后可以重复观看学习。</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文件分发：允许教师将教师机不同盘符中的目录或文件一起发送至生机的某目录下。目录不存在自动新建此目录；盘符不存在或路径非法不允许分发；文件已存在选择自动覆盖或保留原始文件。</w:t>
            </w:r>
          </w:p>
          <w:p>
            <w:pPr>
              <w:keepNext w:val="0"/>
              <w:keepLines w:val="0"/>
              <w:pageBreakBefore w:val="0"/>
              <w:widowControl/>
              <w:kinsoku w:val="0"/>
              <w:wordWrap/>
              <w:overflowPunct/>
              <w:topLinePunct w:val="0"/>
              <w:autoSpaceDE w:val="0"/>
              <w:autoSpaceDN w:val="0"/>
              <w:bidi w:val="0"/>
              <w:adjustRightInd w:val="0"/>
              <w:snapToGrid w:val="0"/>
              <w:ind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7" w:hRule="atLeast"/>
          <w:jc w:val="center"/>
        </w:trPr>
        <w:tc>
          <w:tcPr>
            <w:tcW w:w="407" w:type="pct"/>
            <w:shd w:val="clear" w:color="auto" w:fill="FFFFFF" w:themeFill="background1"/>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786" w:type="pct"/>
            <w:shd w:val="clear" w:color="auto" w:fill="FFFFFF" w:themeFill="background1"/>
            <w:vAlign w:val="center"/>
          </w:tcPr>
          <w:p>
            <w:pPr>
              <w:widowControl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凳子</w:t>
            </w:r>
          </w:p>
        </w:tc>
        <w:tc>
          <w:tcPr>
            <w:tcW w:w="3805" w:type="pct"/>
            <w:shd w:val="clear" w:color="auto" w:fill="FFFFFF" w:themeFill="background1"/>
            <w:vAlign w:val="center"/>
          </w:tcPr>
          <w:p>
            <w:pPr>
              <w:widowControl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工程塑料或钢木结构（360*250*450）（允许偏离±5%）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07" w:type="pct"/>
            <w:shd w:val="clear" w:color="auto" w:fill="FFFFFF" w:themeFill="background1"/>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786" w:type="pct"/>
            <w:shd w:val="clear" w:color="auto" w:fill="FFFFFF" w:themeFill="background1"/>
            <w:vAlign w:val="center"/>
          </w:tcPr>
          <w:p>
            <w:pPr>
              <w:widowControl w:val="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台式计算机1</w:t>
            </w:r>
          </w:p>
        </w:tc>
        <w:tc>
          <w:tcPr>
            <w:tcW w:w="3805" w:type="pct"/>
            <w:shd w:val="clear" w:color="auto" w:fill="FFFFFF" w:themeFill="background1"/>
            <w:vAlign w:val="center"/>
          </w:tcPr>
          <w:p>
            <w:pPr>
              <w:widowControl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.CPU</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6核12线程，基础频率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3.0G, L3末级缓存</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18M,设计热功耗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65W；</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硬盘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SSD 512G</w:t>
            </w:r>
            <w:r>
              <w:rPr>
                <w:rFonts w:hint="eastAsia" w:ascii="宋体" w:hAnsi="宋体" w:eastAsia="宋体" w:cs="宋体"/>
                <w:color w:val="auto"/>
                <w:sz w:val="24"/>
                <w:szCs w:val="24"/>
                <w:highlight w:val="none"/>
                <w:lang w:val="en-US" w:eastAsia="zh-CN"/>
              </w:rPr>
              <w:t>M.2</w:t>
            </w:r>
            <w:r>
              <w:rPr>
                <w:rFonts w:hint="eastAsia" w:ascii="宋体" w:hAnsi="宋体" w:eastAsia="宋体" w:cs="宋体"/>
                <w:color w:val="auto"/>
                <w:sz w:val="24"/>
                <w:szCs w:val="24"/>
                <w:highlight w:val="none"/>
              </w:rPr>
              <w:t xml:space="preserve">   </w:t>
            </w:r>
          </w:p>
          <w:p>
            <w:pPr>
              <w:widowControl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.内存：</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GB DDR4 3200 DIMM，最大可</w:t>
            </w:r>
            <w:r>
              <w:rPr>
                <w:rFonts w:hint="eastAsia" w:ascii="宋体" w:hAnsi="宋体" w:eastAsia="宋体" w:cs="宋体"/>
                <w:color w:val="auto"/>
                <w:sz w:val="24"/>
                <w:szCs w:val="24"/>
                <w:highlight w:val="none"/>
                <w:lang w:val="en-US" w:eastAsia="zh-CN"/>
              </w:rPr>
              <w:t>支</w:t>
            </w:r>
            <w:r>
              <w:rPr>
                <w:rFonts w:hint="eastAsia" w:ascii="宋体" w:hAnsi="宋体" w:eastAsia="宋体" w:cs="宋体"/>
                <w:color w:val="auto"/>
                <w:sz w:val="24"/>
                <w:szCs w:val="24"/>
                <w:highlight w:val="none"/>
              </w:rPr>
              <w:t>持64GB</w:t>
            </w:r>
          </w:p>
          <w:p>
            <w:pPr>
              <w:widowControl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网卡 集成 10/100/1000M自适应以太网卡 </w:t>
            </w:r>
          </w:p>
          <w:p>
            <w:pPr>
              <w:widowControl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.I/O接口：</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1个耳机与麦克风组合接口；</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4个USB Type-A 3.2Gen1 5Gbps 端口</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前置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 个 USB Type-A 3.2Gen2 10Gbps 端口：</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2个USB 2.0, RJ45，音频输入、输出接口，1个串口，</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1个HDMI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1个VGA； </w:t>
            </w:r>
          </w:p>
          <w:p>
            <w:pPr>
              <w:widowControl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主板芯片组：至少提供1个PCIe 4.0 x16，1个 PCIe 3.0 x1, 1个 PCI，1个 PCIe Gen 4 M.2 2230 ，1个 M.2 2280 用于SSD</w:t>
            </w:r>
          </w:p>
          <w:p>
            <w:pPr>
              <w:widowControl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.显卡：</w:t>
            </w:r>
            <w:r>
              <w:rPr>
                <w:rFonts w:hint="eastAsia" w:ascii="宋体" w:hAnsi="宋体" w:eastAsia="宋体" w:cs="宋体"/>
                <w:color w:val="auto"/>
                <w:sz w:val="24"/>
                <w:szCs w:val="24"/>
                <w:highlight w:val="none"/>
                <w:lang w:eastAsia="zh-CN"/>
              </w:rPr>
              <w:t>集成显卡，显卡核心频率≥300MHz</w:t>
            </w:r>
          </w:p>
          <w:p>
            <w:pPr>
              <w:widowControl w:val="0"/>
              <w:jc w:val="left"/>
              <w:rPr>
                <w:rFonts w:hint="eastAsia" w:ascii="宋体" w:hAnsi="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.机箱、电源：</w:t>
            </w:r>
            <w:r>
              <w:rPr>
                <w:rFonts w:hint="eastAsia" w:ascii="宋体" w:hAnsi="宋体" w:eastAsia="宋体" w:cs="宋体"/>
                <w:color w:val="auto"/>
                <w:sz w:val="24"/>
                <w:szCs w:val="24"/>
                <w:highlight w:val="none"/>
                <w:lang w:eastAsia="zh-CN"/>
              </w:rPr>
              <w:t>15L及以上，电源功率</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00W及以上</w:t>
            </w:r>
          </w:p>
          <w:p>
            <w:pPr>
              <w:widowControl w:val="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同品牌</w:t>
            </w:r>
            <w:r>
              <w:rPr>
                <w:rFonts w:hint="eastAsia" w:ascii="宋体" w:hAnsi="宋体" w:eastAsia="宋体" w:cs="宋体"/>
                <w:color w:val="auto"/>
                <w:sz w:val="24"/>
                <w:szCs w:val="24"/>
                <w:highlight w:val="none"/>
              </w:rPr>
              <w:t>显示器：</w:t>
            </w:r>
            <w:r>
              <w:rPr>
                <w:rFonts w:hint="eastAsia" w:ascii="宋体" w:hAnsi="宋体" w:eastAsia="宋体" w:cs="宋体"/>
                <w:color w:val="auto"/>
                <w:sz w:val="24"/>
                <w:szCs w:val="24"/>
                <w:highlight w:val="none"/>
                <w:lang w:eastAsia="zh-CN"/>
              </w:rPr>
              <w:t>≥ 23.8 英寸，IPS屏幕，分辨率:≥1920*1080，刷新率≥75Hz,亮度：≥250nits，VGA+HDMI+DP三种及</w:t>
            </w:r>
            <w:r>
              <w:rPr>
                <w:rFonts w:hint="eastAsia" w:ascii="宋体" w:hAnsi="宋体" w:eastAsia="宋体" w:cs="宋体"/>
                <w:color w:val="auto"/>
                <w:sz w:val="24"/>
                <w:szCs w:val="24"/>
                <w:highlight w:val="none"/>
                <w:lang w:val="en-US" w:eastAsia="zh-CN"/>
              </w:rPr>
              <w:t>以上</w:t>
            </w:r>
            <w:r>
              <w:rPr>
                <w:rFonts w:hint="eastAsia" w:ascii="宋体" w:hAnsi="宋体" w:eastAsia="宋体" w:cs="宋体"/>
                <w:color w:val="auto"/>
                <w:sz w:val="24"/>
                <w:szCs w:val="24"/>
                <w:highlight w:val="none"/>
                <w:lang w:eastAsia="zh-CN"/>
              </w:rPr>
              <w:t>接口，原厂HDMI连接线，显示器内置芯片，未经批准与电脑断开连接，用户可通过预先设定的PIN密码禁用该显示器功能，显示器内置芯片，可以在独立的屏幕区域中，同时处理文档、电子表格和电子邮件等功能</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pPr>
              <w:widowControl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应用功能：主板集成硬件硬盘保护卡，具备硬盘还原及网络同传功能，支持Windows10及以上系统，支持系统自动还原、同时支持GPT分区和MBR分区),自动修改IP和计算机名、硬盘保护、网络同传（传输速度千兆环境下每分钟传输速度≥6GB）、增量拷贝、断点续传、远程唤醒、远程重启、远程锁定、远程关机、支持多硬盘、支持加密传输</w:t>
            </w:r>
            <w:r>
              <w:rPr>
                <w:rFonts w:hint="eastAsia" w:ascii="宋体" w:hAnsi="宋体" w:cs="宋体"/>
                <w:color w:val="auto"/>
                <w:sz w:val="24"/>
                <w:szCs w:val="24"/>
                <w:highlight w:val="none"/>
                <w:lang w:eastAsia="zh-CN"/>
              </w:rPr>
              <w:t>；</w:t>
            </w:r>
          </w:p>
          <w:p>
            <w:pPr>
              <w:widowControl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.原厂三年保修及上门服务</w:t>
            </w:r>
            <w:r>
              <w:rPr>
                <w:rFonts w:hint="eastAsia" w:ascii="宋体" w:hAnsi="宋体" w:eastAsia="宋体" w:cs="宋体"/>
                <w:color w:val="auto"/>
                <w:sz w:val="24"/>
                <w:szCs w:val="24"/>
                <w:highlight w:val="none"/>
                <w:lang w:eastAsia="zh-CN"/>
              </w:rPr>
              <w:t>；</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.其他要求：须满足附件：《台式计算机政府采购需求标准2023年版》必须纳入采购需求（加“*”）的指标。</w:t>
            </w:r>
          </w:p>
          <w:p>
            <w:pPr>
              <w:jc w:val="left"/>
              <w:rPr>
                <w:rFonts w:hint="eastAsia"/>
                <w:lang w:val="en-US" w:eastAsia="en-US"/>
              </w:rPr>
            </w:pPr>
            <w:r>
              <w:rPr>
                <w:rFonts w:hint="eastAsia" w:ascii="宋体" w:hAnsi="宋体" w:eastAsia="宋体" w:cs="宋体"/>
                <w:b/>
                <w:bCs/>
                <w:i w:val="0"/>
                <w:iCs w:val="0"/>
                <w:color w:val="auto"/>
                <w:kern w:val="0"/>
                <w:sz w:val="24"/>
                <w:szCs w:val="24"/>
                <w:highlight w:val="none"/>
                <w:u w:val="none"/>
                <w:lang w:val="en-US" w:eastAsia="zh-CN" w:bidi="ar"/>
              </w:rPr>
              <w:t>注：针对该产品，投标文件中须提供国家确定的认证机构出具的处于有效期之内的节能产品认证证书扫描件，不满足的视为无效投标。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jc w:val="center"/>
        </w:trPr>
        <w:tc>
          <w:tcPr>
            <w:tcW w:w="407" w:type="pct"/>
            <w:shd w:val="clear" w:color="auto" w:fill="FFFFFF" w:themeFill="background1"/>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p>
        </w:tc>
        <w:tc>
          <w:tcPr>
            <w:tcW w:w="786" w:type="pct"/>
            <w:shd w:val="clear" w:color="auto" w:fill="FFFFFF" w:themeFill="background1"/>
            <w:vAlign w:val="center"/>
          </w:tcPr>
          <w:p>
            <w:pPr>
              <w:widowControl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鼠标键盘</w:t>
            </w:r>
          </w:p>
        </w:tc>
        <w:tc>
          <w:tcPr>
            <w:tcW w:w="3805" w:type="pct"/>
            <w:shd w:val="clear" w:color="auto" w:fill="FFFFFF" w:themeFill="background1"/>
            <w:vAlign w:val="center"/>
          </w:tcPr>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USB 标准鼠标键盘套装。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07" w:type="pct"/>
            <w:shd w:val="clear" w:color="auto" w:fill="FFFFFF" w:themeFill="background1"/>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13</w:t>
            </w:r>
          </w:p>
        </w:tc>
        <w:tc>
          <w:tcPr>
            <w:tcW w:w="786" w:type="pct"/>
            <w:shd w:val="clear" w:color="auto" w:fill="FFFFFF" w:themeFill="background1"/>
            <w:vAlign w:val="center"/>
          </w:tcPr>
          <w:p>
            <w:pPr>
              <w:widowControl w:val="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音响功放话筒组</w:t>
            </w:r>
          </w:p>
        </w:tc>
        <w:tc>
          <w:tcPr>
            <w:tcW w:w="3805" w:type="pct"/>
            <w:shd w:val="clear" w:color="auto" w:fill="FFFFFF" w:themeFill="background1"/>
            <w:vAlign w:val="center"/>
          </w:tcPr>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功放：定阻功放，2通道,2路话筒，A/B线路切换左右平衡调节输入，混响功能，高低音调节功率2*100W</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音响：单元组成：高音3*1+低音6寸，</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功率：60W，阻抗8Ω最大功率60-100W</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频率范围：40HZ--20kHZ,</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灵敏度：91db±3db。含配套吊架</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话筒：</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换能方式: 电容式</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频率响应(Hz):40Hz-16KHz</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指向性: 心型指向 </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输出阻抗（Ω）: 200Ω</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灵敏度: -40dB±2dB</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供电电压:  DC3V/ AC220V</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有效适音距离: 50cm                                                                                      </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咪线长度、配置: 7米单芯、卡龙母+ 6.35单声道插嘴</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开关: 机械自锁</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电源: AC220V+DC9V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07" w:type="pct"/>
            <w:shd w:val="clear" w:color="auto" w:fill="FFFFFF" w:themeFill="background1"/>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14</w:t>
            </w:r>
          </w:p>
        </w:tc>
        <w:tc>
          <w:tcPr>
            <w:tcW w:w="786" w:type="pct"/>
            <w:shd w:val="clear" w:color="auto" w:fill="FFFFFF" w:themeFill="background1"/>
            <w:vAlign w:val="center"/>
          </w:tcPr>
          <w:p>
            <w:pPr>
              <w:widowControl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空调</w:t>
            </w:r>
          </w:p>
        </w:tc>
        <w:tc>
          <w:tcPr>
            <w:tcW w:w="3805" w:type="pct"/>
            <w:shd w:val="clear" w:color="auto" w:fill="FFFFFF" w:themeFill="background1"/>
            <w:vAlign w:val="center"/>
          </w:tcPr>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柜机，5 匹，冷暖，二级及以上能耗。含支架及安装。</w:t>
            </w:r>
          </w:p>
          <w:p>
            <w:pPr>
              <w:widowControl w:val="0"/>
              <w:jc w:val="left"/>
              <w:rPr>
                <w:rFonts w:hint="eastAsia" w:ascii="宋体" w:hAnsi="宋体" w:eastAsia="宋体" w:cs="宋体"/>
                <w:color w:val="auto"/>
                <w:sz w:val="24"/>
                <w:szCs w:val="24"/>
                <w:highlight w:val="none"/>
                <w:lang w:val="en-US"/>
              </w:rPr>
            </w:pPr>
            <w:r>
              <w:rPr>
                <w:rFonts w:hint="eastAsia" w:ascii="宋体" w:hAnsi="宋体" w:eastAsia="宋体" w:cs="宋体"/>
                <w:b/>
                <w:bCs/>
                <w:i w:val="0"/>
                <w:iCs w:val="0"/>
                <w:color w:val="auto"/>
                <w:kern w:val="0"/>
                <w:sz w:val="24"/>
                <w:szCs w:val="24"/>
                <w:highlight w:val="none"/>
                <w:u w:val="none"/>
                <w:lang w:val="en-US" w:eastAsia="zh-CN" w:bidi="ar"/>
              </w:rPr>
              <w:t>注：针对该产品，投标文件中须提供国家确定的认证机构出具的处于有效期之内的节能产品认证证书扫描件，不满足的视为无效投标。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07" w:type="pct"/>
            <w:shd w:val="clear" w:color="auto" w:fill="FFFFFF" w:themeFill="background1"/>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15</w:t>
            </w:r>
          </w:p>
        </w:tc>
        <w:tc>
          <w:tcPr>
            <w:tcW w:w="786" w:type="pct"/>
            <w:shd w:val="clear" w:color="auto" w:fill="FFFFFF" w:themeFill="background1"/>
            <w:vAlign w:val="center"/>
          </w:tcPr>
          <w:p>
            <w:pPr>
              <w:widowControl w:val="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台式计算机2</w:t>
            </w:r>
          </w:p>
        </w:tc>
        <w:tc>
          <w:tcPr>
            <w:tcW w:w="3805" w:type="pct"/>
            <w:shd w:val="clear" w:color="auto" w:fill="FFFFFF" w:themeFill="background1"/>
            <w:vAlign w:val="center"/>
          </w:tcPr>
          <w:p>
            <w:pPr>
              <w:widowContro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.CPU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6核12线程，基础频率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3.0G, L3末级缓存</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18M,设计热功耗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65W；</w:t>
            </w:r>
          </w:p>
          <w:p>
            <w:pPr>
              <w:widowContro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硬盘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SSD 512G</w:t>
            </w:r>
            <w:r>
              <w:rPr>
                <w:rFonts w:hint="eastAsia" w:ascii="宋体" w:hAnsi="宋体" w:eastAsia="宋体" w:cs="宋体"/>
                <w:color w:val="auto"/>
                <w:sz w:val="24"/>
                <w:szCs w:val="24"/>
                <w:highlight w:val="none"/>
                <w:lang w:val="en-US" w:eastAsia="zh-CN"/>
              </w:rPr>
              <w:t>M.2</w:t>
            </w:r>
            <w:r>
              <w:rPr>
                <w:rFonts w:hint="eastAsia" w:ascii="宋体" w:hAnsi="宋体" w:eastAsia="宋体" w:cs="宋体"/>
                <w:color w:val="auto"/>
                <w:sz w:val="24"/>
                <w:szCs w:val="24"/>
                <w:highlight w:val="none"/>
              </w:rPr>
              <w:t xml:space="preserve"> </w:t>
            </w:r>
          </w:p>
          <w:p>
            <w:pPr>
              <w:widowContro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.内存：</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GB DDR4 3200 DIMM，最大可持64GB</w:t>
            </w:r>
          </w:p>
          <w:p>
            <w:pPr>
              <w:widowContro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网卡 集成 10/100/1000M自适应以太网卡 </w:t>
            </w:r>
          </w:p>
          <w:p>
            <w:pPr>
              <w:widowContro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.I/O接口：</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1个耳机与麦克风组合接口；</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4个USB Type-A 3.2Gen1 5Gbps端口</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前置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2个USB Type-A 3.2Gen2 10Gbps 端口</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2个USB2.0, RJ45，音频输入、输出接口，1个串口，1个HDMI , 1个VGA； </w:t>
            </w:r>
          </w:p>
          <w:p>
            <w:pPr>
              <w:widowContro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主板芯片组：至少提供</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1个PCIe4.0x16，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1个PCIe3.0x1,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1个PCI，</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1个PCIe Gen 4 M.2 2230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1个M.2 2280 用于SSD</w:t>
            </w:r>
            <w:r>
              <w:rPr>
                <w:rFonts w:hint="eastAsia" w:ascii="宋体" w:hAnsi="宋体" w:cs="宋体"/>
                <w:color w:val="auto"/>
                <w:sz w:val="24"/>
                <w:szCs w:val="24"/>
                <w:highlight w:val="none"/>
                <w:lang w:eastAsia="zh-CN"/>
              </w:rPr>
              <w:t>；</w:t>
            </w:r>
          </w:p>
          <w:p>
            <w:pPr>
              <w:widowContro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.显卡：</w:t>
            </w:r>
            <w:r>
              <w:rPr>
                <w:rFonts w:hint="eastAsia" w:ascii="宋体" w:hAnsi="宋体" w:eastAsia="宋体" w:cs="宋体"/>
                <w:color w:val="auto"/>
                <w:sz w:val="24"/>
                <w:szCs w:val="24"/>
                <w:highlight w:val="none"/>
                <w:lang w:eastAsia="zh-CN"/>
              </w:rPr>
              <w:t>显卡显示芯片核心频率≥1320MHz,显存DDR6 显存容量≥12GB,显示位宽≥192bit；具备HDMIDP接口</w:t>
            </w:r>
          </w:p>
          <w:p>
            <w:pPr>
              <w:pStyle w:val="2"/>
              <w:rPr>
                <w:rFonts w:hint="eastAsia"/>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.机箱、电源：</w:t>
            </w:r>
            <w:r>
              <w:rPr>
                <w:rFonts w:hint="eastAsia" w:ascii="宋体" w:hAnsi="宋体" w:eastAsia="宋体" w:cs="宋体"/>
                <w:color w:val="auto"/>
                <w:sz w:val="24"/>
                <w:szCs w:val="24"/>
                <w:highlight w:val="none"/>
                <w:lang w:eastAsia="zh-CN"/>
              </w:rPr>
              <w:t>15L及以上，电源功率</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00W及以上；</w:t>
            </w:r>
          </w:p>
          <w:p>
            <w:pPr>
              <w:widowControl w:val="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同品牌</w:t>
            </w:r>
            <w:r>
              <w:rPr>
                <w:rFonts w:hint="eastAsia" w:ascii="宋体" w:hAnsi="宋体" w:eastAsia="宋体" w:cs="宋体"/>
                <w:color w:val="auto"/>
                <w:sz w:val="24"/>
                <w:szCs w:val="24"/>
                <w:highlight w:val="none"/>
              </w:rPr>
              <w:t>显示器：</w:t>
            </w:r>
            <w:r>
              <w:rPr>
                <w:rFonts w:hint="eastAsia" w:ascii="宋体" w:hAnsi="宋体" w:eastAsia="宋体" w:cs="宋体"/>
                <w:color w:val="auto"/>
                <w:sz w:val="24"/>
                <w:szCs w:val="24"/>
                <w:highlight w:val="none"/>
                <w:lang w:eastAsia="zh-CN"/>
              </w:rPr>
              <w:t>≥ 23.8 英寸，IPS屏幕，分辨率:≥1920*1080，刷新率≥75Hz,亮度：≥250nits提供VGA+HDMI+DP三种接口及原厂HDMI连接线，显示器内置芯片，未经批准与电脑断开连接，用户可通过预先设定的PIN密码禁用该显示器功能，显示器内置芯片，可以在独立的屏幕区域中，同时处理文档、电子表格和电子邮件等功能</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pPr>
              <w:widowContro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应用功能：主板集成硬件硬盘保护卡，具备硬盘还原及网络同传功能，支持Windows10及以上系统，支持系统自动还原、同时支持GPT分区和MBR分区),自动修改IP和计算机名、硬盘保护、网络同传（传输速度千兆环境下每分钟传输速度≥6GB）、增量拷贝、断点续传、远程唤醒、远程重启、远程锁定、远程关机、支持多硬盘、支持加密传输</w:t>
            </w:r>
          </w:p>
          <w:p>
            <w:pPr>
              <w:widowControl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.原厂三年保修及上门服务</w:t>
            </w:r>
            <w:r>
              <w:rPr>
                <w:rFonts w:hint="eastAsia" w:ascii="宋体" w:hAnsi="宋体" w:eastAsia="宋体" w:cs="宋体"/>
                <w:color w:val="auto"/>
                <w:sz w:val="24"/>
                <w:szCs w:val="24"/>
                <w:highlight w:val="none"/>
                <w:lang w:eastAsia="zh-CN"/>
              </w:rPr>
              <w:t>；</w:t>
            </w:r>
          </w:p>
          <w:p>
            <w:pPr>
              <w:widowControl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其他要求：须满足附件：《台式计算机政府采购需求标准2023年版》必须纳入采购需求（加“*”）的指标。</w:t>
            </w:r>
          </w:p>
          <w:p>
            <w:pPr>
              <w:widowControl w:val="0"/>
              <w:jc w:val="left"/>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注：针对该产品，投标文件中须提供国家确定的认证机构出具的处于有效期之内的节能产品认证证书扫描件，不满足的视为无效投标。</w:t>
            </w:r>
          </w:p>
          <w:p>
            <w:pPr>
              <w:widowControl w:val="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u w:val="none"/>
                <w:lang w:bidi="ar"/>
              </w:rPr>
              <w:t>注：合同签订后三日内，采购人有权要求中标供应商携带样品进行参数及功能等测试和查验，如未满足投标文件响应要求则视为无法履约，采购人将上报至同级财政监管部门，追究其法律及经济责任。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425" w:hRule="atLeast"/>
          <w:jc w:val="center"/>
        </w:trPr>
        <w:tc>
          <w:tcPr>
            <w:tcW w:w="407" w:type="pct"/>
            <w:shd w:val="clear" w:color="auto" w:fill="FFFFFF" w:themeFill="background1"/>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16</w:t>
            </w:r>
          </w:p>
        </w:tc>
        <w:tc>
          <w:tcPr>
            <w:tcW w:w="786" w:type="pct"/>
            <w:shd w:val="clear" w:color="auto" w:fill="FFFFFF" w:themeFill="background1"/>
            <w:vAlign w:val="center"/>
          </w:tcPr>
          <w:p>
            <w:pPr>
              <w:widowControl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电脑桌</w:t>
            </w:r>
          </w:p>
        </w:tc>
        <w:tc>
          <w:tcPr>
            <w:tcW w:w="3805" w:type="pct"/>
            <w:shd w:val="clear" w:color="auto" w:fill="FFFFFF" w:themeFill="background1"/>
            <w:vAlign w:val="center"/>
          </w:tcPr>
          <w:p>
            <w:pPr>
              <w:widowControl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尺寸≥ 长1400mm*宽 600mm*高 750mm（允许偏离±5%） 可根据实际场地调整定制，桌面采用≥2.5mm 厚压缩颗粒板外贴防火板，带穿线孔。 主材结构为≥1mm 钢架结构制作，带有一体式散热式机箱带锁以及隐蔽式理线槽，整体采用架空设计方便打扫卫生。工艺釆用激光切割、模具冲压、折弯、组焊接成型，喷涂、装配而成。焊接部分采用高标准熔接焊,确保表面平整光滑，焊接点牢固、无虚焊。整体表面经酸洗、水洗、磷化、水洗、钝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652" w:hRule="atLeast"/>
          <w:jc w:val="center"/>
        </w:trPr>
        <w:tc>
          <w:tcPr>
            <w:tcW w:w="407" w:type="pct"/>
            <w:shd w:val="clear" w:color="auto" w:fill="FFFFFF" w:themeFill="background1"/>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17</w:t>
            </w:r>
          </w:p>
        </w:tc>
        <w:tc>
          <w:tcPr>
            <w:tcW w:w="786" w:type="pct"/>
            <w:shd w:val="clear" w:color="auto" w:fill="FFFFFF" w:themeFill="background1"/>
            <w:vAlign w:val="center"/>
          </w:tcPr>
          <w:p>
            <w:pPr>
              <w:widowControl w:val="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教师电脑桌椅</w:t>
            </w:r>
          </w:p>
        </w:tc>
        <w:tc>
          <w:tcPr>
            <w:tcW w:w="3805" w:type="pct"/>
            <w:shd w:val="clear" w:color="auto" w:fill="FFFFFF" w:themeFill="background1"/>
            <w:vAlign w:val="center"/>
          </w:tcPr>
          <w:p>
            <w:pPr>
              <w:widowControl w:val="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教师主控桌（≥1200*600*750mm）（允许偏离±5%）、中纤板材质，整体为≥1mm 钢架结构制作，折弯成型，带穿线功能，保证线不外漏，外面布局散热孔。工艺釆用激光切割、模具冲压、折弯、组焊接成型，喷涂、装配而成。焊接部分采用高标准熔接焊,确保表面平整光滑，焊接点牢固、无虚焊。整体表面经酸洗、水洗、磷化、水洗、钝化等。配套可升降五轮转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07" w:type="pct"/>
            <w:shd w:val="clear" w:color="auto" w:fill="FFFFFF" w:themeFill="background1"/>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18</w:t>
            </w:r>
          </w:p>
        </w:tc>
        <w:tc>
          <w:tcPr>
            <w:tcW w:w="786" w:type="pct"/>
            <w:shd w:val="clear" w:color="auto" w:fill="FFFFFF" w:themeFill="background1"/>
            <w:vAlign w:val="center"/>
          </w:tcPr>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NAS 网络存储器</w:t>
            </w:r>
          </w:p>
        </w:tc>
        <w:tc>
          <w:tcPr>
            <w:tcW w:w="3805" w:type="pct"/>
            <w:shd w:val="clear" w:color="auto" w:fill="FFFFFF" w:themeFill="background1"/>
            <w:vAlign w:val="center"/>
          </w:tcPr>
          <w:p>
            <w:pPr>
              <w:widowControl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主频/HDMI 接口、支持来电自启动、支持定时开关机、支持数据保护、最大支持容量 20TB*2、不支持热插拔、硬盘接口 SATA III、输入电压 220V、万兆扩展卡、支持 USB、支持文件备份包装清单网线、电源适配器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07" w:type="pct"/>
            <w:shd w:val="clear" w:color="auto" w:fill="FFFFFF" w:themeFill="background1"/>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19</w:t>
            </w:r>
          </w:p>
        </w:tc>
        <w:tc>
          <w:tcPr>
            <w:tcW w:w="786" w:type="pct"/>
            <w:shd w:val="clear" w:color="auto" w:fill="FFFFFF" w:themeFill="background1"/>
            <w:vAlign w:val="center"/>
          </w:tcPr>
          <w:p>
            <w:pPr>
              <w:widowControl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路由器</w:t>
            </w:r>
          </w:p>
        </w:tc>
        <w:tc>
          <w:tcPr>
            <w:tcW w:w="3805" w:type="pct"/>
            <w:shd w:val="clear" w:color="auto" w:fill="FFFFFF" w:themeFill="background1"/>
            <w:vAlign w:val="center"/>
          </w:tcPr>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1、综合网关控制器，双核网络处理器主频达≥1GHz，内存≥DDRIII 128M；</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2、端口：≥2千兆电WAN+3千兆电LAN（支持LAN转WAN）；</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3、模式：支持硬件拨码开关，路由及纯AC模式一键切换；</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4、支持无线AC管理功能，最大可管理AP≥300个；</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5、支持≥16个VLAN，支持IPSec/L2TP VPN；</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6、支持网关：PPP、CHAP、PAP、MS-CHAP、PPPoE、DHCP 客户端、DHCP服务器、NAPT、NTP，DDNS，支持上网行为管理：组策略管理（支持基于IP/MAC/时间段的组策略配置），HTTP下载文件类型过滤，URL过滤(黑白名单)，MAC地址过滤，QQ访问控制，金融软件控制，支持防火墙/网络安全（出入：源IP/目的IP/协议/端口/时间段），支持QoS，支持带宽负载均衡，支持静态路由50条/策略路由100条；</w:t>
            </w:r>
          </w:p>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7、支持基于Web的用户管理接口(远程管理/本地管理)HTTPS远程管理，命令行CLI，SNMP V1/V2C/V3。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07" w:type="pct"/>
            <w:shd w:val="clear" w:color="auto" w:fill="FFFFFF" w:themeFill="background1"/>
            <w:vAlign w:val="center"/>
          </w:tcPr>
          <w:p>
            <w:pPr>
              <w:widowControl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20</w:t>
            </w:r>
          </w:p>
        </w:tc>
        <w:tc>
          <w:tcPr>
            <w:tcW w:w="786" w:type="pct"/>
            <w:shd w:val="clear" w:color="auto" w:fill="FFFFFF" w:themeFill="background1"/>
            <w:vAlign w:val="center"/>
          </w:tcPr>
          <w:p>
            <w:pPr>
              <w:widowControl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机房管理固态U 盘</w:t>
            </w:r>
          </w:p>
        </w:tc>
        <w:tc>
          <w:tcPr>
            <w:tcW w:w="3805" w:type="pct"/>
            <w:shd w:val="clear" w:color="auto" w:fill="FFFFFF" w:themeFill="background1"/>
            <w:vAlign w:val="center"/>
          </w:tcPr>
          <w:p>
            <w:pPr>
              <w:widowControl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≥2TB U 盘，USB3.2 GEN 1 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07" w:type="pct"/>
            <w:shd w:val="clear" w:color="auto" w:fill="FFFFFF" w:themeFill="background1"/>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786" w:type="pct"/>
            <w:shd w:val="clear" w:color="auto" w:fill="FFFFFF" w:themeFill="background1"/>
            <w:vAlign w:val="center"/>
          </w:tcPr>
          <w:p>
            <w:pPr>
              <w:widowControl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投影系统</w:t>
            </w:r>
          </w:p>
        </w:tc>
        <w:tc>
          <w:tcPr>
            <w:tcW w:w="3805" w:type="pct"/>
            <w:shd w:val="clear" w:color="auto" w:fill="FFFFFF" w:themeFill="background1"/>
            <w:vAlign w:val="center"/>
          </w:tcPr>
          <w:p>
            <w:pPr>
              <w:widowControl w:val="0"/>
              <w:numPr>
                <w:ilvl w:val="-1"/>
                <w:numId w:val="0"/>
              </w:numPr>
              <w:spacing w:line="240" w:lineRule="auto"/>
              <w:ind w:leftChars="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分辨率≥</w:t>
            </w:r>
            <w:r>
              <w:rPr>
                <w:rFonts w:hint="eastAsia" w:ascii="宋体" w:hAnsi="宋体" w:cs="宋体"/>
                <w:color w:val="auto"/>
                <w:sz w:val="24"/>
                <w:szCs w:val="24"/>
                <w:highlight w:val="none"/>
                <w:lang w:val="en-US" w:eastAsia="zh-CN"/>
              </w:rPr>
              <w:t>1280×800</w:t>
            </w:r>
            <w:r>
              <w:rPr>
                <w:rFonts w:hint="eastAsia" w:ascii="宋体" w:hAnsi="宋体" w:eastAsia="宋体" w:cs="宋体"/>
                <w:color w:val="auto"/>
                <w:sz w:val="24"/>
                <w:szCs w:val="24"/>
                <w:highlight w:val="none"/>
                <w:lang w:val="zh-CN"/>
              </w:rPr>
              <w:t>；</w:t>
            </w:r>
          </w:p>
          <w:p>
            <w:pPr>
              <w:widowControl w:val="0"/>
              <w:numPr>
                <w:ilvl w:val="-1"/>
                <w:numId w:val="0"/>
              </w:numPr>
              <w:spacing w:line="240" w:lineRule="auto"/>
              <w:ind w:leftChars="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色彩</w:t>
            </w:r>
            <w:r>
              <w:rPr>
                <w:rFonts w:hint="eastAsia" w:ascii="宋体" w:hAnsi="宋体" w:eastAsia="宋体" w:cs="宋体"/>
                <w:color w:val="auto"/>
                <w:sz w:val="24"/>
                <w:szCs w:val="24"/>
                <w:highlight w:val="none"/>
                <w:lang w:val="zh-CN"/>
              </w:rPr>
              <w:t>亮度≥</w:t>
            </w:r>
            <w:r>
              <w:rPr>
                <w:rFonts w:hint="eastAsia" w:ascii="宋体" w:hAnsi="宋体" w:cs="宋体"/>
                <w:color w:val="auto"/>
                <w:sz w:val="24"/>
                <w:szCs w:val="24"/>
                <w:highlight w:val="none"/>
                <w:lang w:val="en-US" w:eastAsia="zh-CN"/>
              </w:rPr>
              <w:t>4100</w:t>
            </w:r>
            <w:r>
              <w:rPr>
                <w:rFonts w:hint="eastAsia" w:ascii="宋体" w:hAnsi="宋体" w:eastAsia="宋体" w:cs="宋体"/>
                <w:color w:val="auto"/>
                <w:sz w:val="24"/>
                <w:szCs w:val="24"/>
                <w:highlight w:val="none"/>
                <w:lang w:val="zh-CN"/>
              </w:rPr>
              <w:t>流明(ISO)；</w:t>
            </w:r>
          </w:p>
          <w:p>
            <w:pPr>
              <w:widowControl w:val="0"/>
              <w:numPr>
                <w:ilvl w:val="-1"/>
                <w:numId w:val="0"/>
              </w:numPr>
              <w:spacing w:line="240" w:lineRule="auto"/>
              <w:ind w:leftChars="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投影系统：RGB光阀式液晶投影系统；</w:t>
            </w:r>
          </w:p>
          <w:p>
            <w:pPr>
              <w:widowControl w:val="0"/>
              <w:spacing w:line="24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4、投影镜头:手动聚焦、光学变焦,变焦比1-1.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倍；</w:t>
            </w:r>
          </w:p>
          <w:p>
            <w:pPr>
              <w:widowControl w:val="0"/>
              <w:spacing w:line="24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5、灯泡≤2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0W，</w:t>
            </w:r>
            <w:r>
              <w:rPr>
                <w:rFonts w:hint="eastAsia" w:ascii="宋体" w:hAnsi="宋体" w:eastAsia="宋体" w:cs="宋体"/>
                <w:color w:val="auto"/>
                <w:sz w:val="24"/>
                <w:szCs w:val="24"/>
                <w:highlight w:val="none"/>
                <w:lang w:val="en-US" w:eastAsia="zh-CN"/>
              </w:rPr>
              <w:t>UHE，</w:t>
            </w:r>
            <w:r>
              <w:rPr>
                <w:rFonts w:hint="eastAsia" w:ascii="宋体" w:hAnsi="宋体" w:eastAsia="宋体" w:cs="宋体"/>
                <w:color w:val="auto"/>
                <w:sz w:val="24"/>
                <w:szCs w:val="24"/>
                <w:highlight w:val="none"/>
                <w:lang w:val="zh-CN"/>
              </w:rPr>
              <w:t>灯泡寿命≥</w:t>
            </w:r>
            <w:r>
              <w:rPr>
                <w:rFonts w:hint="eastAsia" w:ascii="宋体" w:hAnsi="宋体" w:eastAsia="宋体" w:cs="宋体"/>
                <w:color w:val="auto"/>
                <w:sz w:val="24"/>
                <w:szCs w:val="24"/>
                <w:highlight w:val="none"/>
                <w:lang w:val="en-US" w:eastAsia="zh-CN"/>
              </w:rPr>
              <w:t>6000</w:t>
            </w:r>
            <w:r>
              <w:rPr>
                <w:rFonts w:hint="eastAsia" w:ascii="宋体" w:hAnsi="宋体" w:eastAsia="宋体" w:cs="宋体"/>
                <w:color w:val="auto"/>
                <w:sz w:val="24"/>
                <w:szCs w:val="24"/>
                <w:highlight w:val="none"/>
                <w:lang w:val="zh-CN"/>
              </w:rPr>
              <w:t>小时（标准亮度模式）；</w:t>
            </w:r>
          </w:p>
          <w:p>
            <w:pPr>
              <w:widowControl w:val="0"/>
              <w:spacing w:line="24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6、整机功耗≤29</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W（标准亮度模式），整机功耗≤20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W（ECO模式）；</w:t>
            </w:r>
          </w:p>
          <w:p>
            <w:pPr>
              <w:widowControl w:val="0"/>
              <w:spacing w:line="24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7、对比度≥1</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000:1；</w:t>
            </w:r>
          </w:p>
          <w:p>
            <w:pPr>
              <w:widowControl w:val="0"/>
              <w:spacing w:line="24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8、梯形校正：垂直±30度（自动），水平±30度；</w:t>
            </w:r>
          </w:p>
          <w:p>
            <w:pPr>
              <w:widowControl w:val="0"/>
              <w:spacing w:line="24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9、≥2路D-Sub 15-pin</w:t>
            </w:r>
            <w:r>
              <w:rPr>
                <w:rFonts w:hint="eastAsia" w:ascii="宋体" w:hAnsi="宋体" w:eastAsia="宋体" w:cs="宋体"/>
                <w:color w:val="auto"/>
                <w:kern w:val="0"/>
                <w:sz w:val="24"/>
                <w:szCs w:val="24"/>
                <w:highlight w:val="none"/>
              </w:rPr>
              <w:t>输入端口</w:t>
            </w:r>
            <w:r>
              <w:rPr>
                <w:rFonts w:hint="eastAsia" w:ascii="宋体" w:hAnsi="宋体" w:eastAsia="宋体" w:cs="宋体"/>
                <w:color w:val="auto"/>
                <w:sz w:val="24"/>
                <w:szCs w:val="24"/>
                <w:highlight w:val="none"/>
                <w:lang w:val="zh-CN"/>
              </w:rPr>
              <w:t>，≥1路D-Sub 15-pin</w:t>
            </w:r>
            <w:r>
              <w:rPr>
                <w:rFonts w:hint="eastAsia" w:ascii="宋体" w:hAnsi="宋体" w:eastAsia="宋体" w:cs="宋体"/>
                <w:color w:val="auto"/>
                <w:kern w:val="0"/>
                <w:sz w:val="24"/>
                <w:szCs w:val="24"/>
                <w:highlight w:val="none"/>
              </w:rPr>
              <w:t>输出端口</w:t>
            </w:r>
            <w:r>
              <w:rPr>
                <w:rFonts w:hint="eastAsia" w:ascii="宋体" w:hAnsi="宋体" w:eastAsia="宋体" w:cs="宋体"/>
                <w:color w:val="auto"/>
                <w:sz w:val="24"/>
                <w:szCs w:val="24"/>
                <w:highlight w:val="none"/>
                <w:lang w:val="zh-CN"/>
              </w:rPr>
              <w:t>；</w:t>
            </w:r>
          </w:p>
          <w:p>
            <w:pPr>
              <w:widowControl w:val="0"/>
              <w:spacing w:line="24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10、</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lang w:val="zh-CN"/>
              </w:rPr>
              <w:t>HDMI高清输入接口、RS-232接口、USB A型接口及B型接口；</w:t>
            </w:r>
          </w:p>
          <w:p>
            <w:pPr>
              <w:widowControl w:val="0"/>
              <w:spacing w:line="24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lang w:val="zh-CN"/>
              </w:rPr>
              <w:t>无线投影功能、多PC投影功能（可支持50个使用者进行连接）；</w:t>
            </w:r>
          </w:p>
          <w:p>
            <w:pPr>
              <w:widowControl w:val="0"/>
              <w:spacing w:line="24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12、色彩再现：1677万色；</w:t>
            </w:r>
          </w:p>
          <w:p>
            <w:pPr>
              <w:widowControl w:val="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13、扬声器输出功率≥5W，带麦克风输入接口；</w:t>
            </w:r>
          </w:p>
          <w:p>
            <w:pPr>
              <w:widowControl w:val="0"/>
              <w:spacing w:line="24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直接开关机（关机后，风扇立即停转）；</w:t>
            </w:r>
          </w:p>
          <w:p>
            <w:pPr>
              <w:widowControl w:val="0"/>
              <w:spacing w:line="24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关机扬声器功能：投影机关机后扬声器仍能可以正常使用；</w:t>
            </w:r>
          </w:p>
          <w:p>
            <w:pPr>
              <w:widowControl w:val="0"/>
              <w:spacing w:line="240" w:lineRule="auto"/>
              <w:jc w:val="both"/>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kern w:val="0"/>
                <w:sz w:val="24"/>
                <w:szCs w:val="24"/>
                <w:highlight w:val="none"/>
              </w:rPr>
              <w:t>USB三合一投影功能</w:t>
            </w:r>
            <w:r>
              <w:rPr>
                <w:rFonts w:hint="eastAsia" w:ascii="宋体" w:hAnsi="宋体" w:eastAsia="宋体" w:cs="宋体"/>
                <w:color w:val="auto"/>
                <w:kern w:val="0"/>
                <w:sz w:val="24"/>
                <w:szCs w:val="24"/>
                <w:highlight w:val="none"/>
                <w:lang w:eastAsia="zh-CN"/>
              </w:rPr>
              <w:t>；</w:t>
            </w:r>
          </w:p>
          <w:p>
            <w:pPr>
              <w:widowControl w:val="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17、节能环保产品</w:t>
            </w:r>
          </w:p>
          <w:p>
            <w:pPr>
              <w:widowControl w:val="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18.含投影吊架及120寸幕布相应线材。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shd w:val="clear" w:color="auto" w:fill="FFFFFF" w:themeFill="background1"/>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786" w:type="pct"/>
            <w:shd w:val="clear" w:color="auto" w:fill="FFFFFF" w:themeFill="background1"/>
            <w:vAlign w:val="center"/>
          </w:tcPr>
          <w:p>
            <w:pPr>
              <w:widowControl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网线</w:t>
            </w:r>
          </w:p>
        </w:tc>
        <w:tc>
          <w:tcPr>
            <w:tcW w:w="3805" w:type="pct"/>
            <w:shd w:val="clear" w:color="auto" w:fill="FFFFFF" w:themeFill="background1"/>
            <w:vAlign w:val="center"/>
          </w:tcPr>
          <w:p>
            <w:pPr>
              <w:pStyle w:val="77"/>
              <w:keepNext w:val="0"/>
              <w:keepLines w:val="0"/>
              <w:pageBreakBefore w:val="0"/>
              <w:widowControl/>
              <w:kinsoku w:val="0"/>
              <w:wordWrap/>
              <w:overflowPunct/>
              <w:topLinePunct w:val="0"/>
              <w:autoSpaceDE w:val="0"/>
              <w:autoSpaceDN w:val="0"/>
              <w:bidi w:val="0"/>
              <w:adjustRightInd w:val="0"/>
              <w:snapToGrid w:val="0"/>
              <w:spacing w:before="98" w:line="240" w:lineRule="auto"/>
              <w:ind w:left="0" w:right="0"/>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六类非屏蔽双绞线；千兆无氧铜305米/箱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shd w:val="clear" w:color="auto" w:fill="FFFFFF" w:themeFill="background1"/>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786" w:type="pct"/>
            <w:shd w:val="clear" w:color="auto" w:fill="FFFFFF" w:themeFill="background1"/>
            <w:vAlign w:val="center"/>
          </w:tcPr>
          <w:p>
            <w:pPr>
              <w:widowControl w:val="0"/>
              <w:jc w:val="left"/>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z w:val="24"/>
                <w:szCs w:val="24"/>
                <w:highlight w:val="none"/>
                <w:lang w:val="en-US" w:eastAsia="zh-CN"/>
              </w:rPr>
              <w:t>寻线仪</w:t>
            </w:r>
          </w:p>
        </w:tc>
        <w:tc>
          <w:tcPr>
            <w:tcW w:w="3805" w:type="pct"/>
            <w:shd w:val="clear" w:color="auto" w:fill="FFFFFF" w:themeFill="background1"/>
            <w:vAlign w:val="center"/>
          </w:tcPr>
          <w:p>
            <w:pPr>
              <w:widowControl w:val="0"/>
              <w:spacing w:line="240" w:lineRule="auto"/>
              <w:jc w:val="left"/>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z w:val="24"/>
                <w:szCs w:val="24"/>
                <w:highlight w:val="none"/>
                <w:lang w:val="en-US" w:eastAsia="zh-CN"/>
              </w:rPr>
              <w:t>测线、巡线多功能网线检测；接口RJ45/RJ11；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407" w:type="pct"/>
            <w:shd w:val="clear" w:color="auto" w:fill="FFFFFF" w:themeFill="background1"/>
            <w:vAlign w:val="center"/>
          </w:tcPr>
          <w:p>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786" w:type="pct"/>
            <w:shd w:val="clear" w:color="auto" w:fill="FFFFFF" w:themeFill="background1"/>
            <w:vAlign w:val="center"/>
          </w:tcPr>
          <w:p>
            <w:pPr>
              <w:widowControl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铝扣板</w:t>
            </w:r>
          </w:p>
        </w:tc>
        <w:tc>
          <w:tcPr>
            <w:tcW w:w="3805" w:type="pct"/>
            <w:shd w:val="clear" w:color="auto" w:fill="FFFFFF" w:themeFill="background1"/>
            <w:vAlign w:val="center"/>
          </w:tcPr>
          <w:p>
            <w:pPr>
              <w:widowControl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表面工艺纳米涂层抗油污滚涂，板面600*600MM、厚度</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0.6MM（含配套LED灯,功率</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60W）含安装及配件。</w:t>
            </w:r>
          </w:p>
        </w:tc>
      </w:tr>
    </w:tbl>
    <w:p>
      <w:pPr>
        <w:rPr>
          <w:highlight w:val="none"/>
        </w:rPr>
      </w:pPr>
    </w:p>
    <w:p>
      <w:pPr>
        <w:pStyle w:val="2"/>
        <w:rPr>
          <w:rFonts w:ascii="宋体" w:hAnsi="宋体" w:cs="宋体"/>
          <w:b/>
          <w:szCs w:val="28"/>
          <w:highlight w:val="none"/>
        </w:rPr>
      </w:pPr>
      <w:r>
        <w:rPr>
          <w:rFonts w:hint="eastAsia" w:ascii="宋体" w:hAnsi="宋体" w:cs="宋体"/>
          <w:b/>
          <w:szCs w:val="28"/>
          <w:highlight w:val="none"/>
        </w:rPr>
        <w:t>注：</w:t>
      </w:r>
    </w:p>
    <w:p>
      <w:pPr>
        <w:spacing w:line="360" w:lineRule="auto"/>
        <w:jc w:val="left"/>
        <w:rPr>
          <w:b/>
          <w:bCs/>
          <w:highlight w:val="none"/>
        </w:rPr>
      </w:pPr>
      <w:r>
        <w:rPr>
          <w:rFonts w:hint="eastAsia" w:ascii="宋体" w:hAnsi="宋体" w:cs="宋体"/>
          <w:b/>
          <w:szCs w:val="28"/>
          <w:highlight w:val="none"/>
        </w:rPr>
        <w:t>1.</w:t>
      </w:r>
      <w:r>
        <w:rPr>
          <w:rFonts w:hint="eastAsia"/>
          <w:b/>
          <w:bCs/>
          <w:szCs w:val="22"/>
          <w:highlight w:val="none"/>
        </w:rPr>
        <w:t>本项目采购的产品属于政府强制采购节能产品的，</w:t>
      </w:r>
      <w:r>
        <w:rPr>
          <w:rFonts w:hint="eastAsia"/>
          <w:b/>
          <w:bCs/>
          <w:szCs w:val="22"/>
          <w:highlight w:val="none"/>
          <w:lang w:eastAsia="zh-CN"/>
        </w:rPr>
        <w:t>投标文件</w:t>
      </w:r>
      <w:r>
        <w:rPr>
          <w:rFonts w:hint="eastAsia"/>
          <w:b/>
          <w:bCs/>
          <w:szCs w:val="22"/>
          <w:highlight w:val="none"/>
        </w:rPr>
        <w:t>中须提供所投产品由国家确定的认证机构出具的、处于有效</w:t>
      </w:r>
      <w:r>
        <w:rPr>
          <w:rFonts w:hint="eastAsia"/>
          <w:b/>
          <w:bCs/>
          <w:highlight w:val="none"/>
        </w:rPr>
        <w:t>期之内的节能产品认证证书</w:t>
      </w:r>
      <w:r>
        <w:rPr>
          <w:rFonts w:hint="eastAsia"/>
          <w:b/>
          <w:bCs/>
          <w:highlight w:val="none"/>
          <w:lang w:eastAsia="zh-CN"/>
        </w:rPr>
        <w:t>扫描件</w:t>
      </w:r>
      <w:r>
        <w:rPr>
          <w:rFonts w:hint="eastAsia"/>
          <w:b/>
          <w:bCs/>
          <w:highlight w:val="none"/>
        </w:rPr>
        <w:t>，否则视为</w:t>
      </w:r>
      <w:r>
        <w:rPr>
          <w:rFonts w:hint="eastAsia"/>
          <w:b/>
          <w:bCs/>
          <w:highlight w:val="none"/>
          <w:lang w:eastAsia="zh-CN"/>
        </w:rPr>
        <w:t>无效投标</w:t>
      </w:r>
      <w:r>
        <w:rPr>
          <w:rFonts w:hint="eastAsia"/>
          <w:b/>
          <w:bCs/>
          <w:highlight w:val="none"/>
        </w:rPr>
        <w:t>。（说明：国家确定的认证机构名单见《市场监管总局关于发布参与实施政府采购节能产品、环境标志产品认证机构名录的公告》2019年第16号）</w:t>
      </w:r>
    </w:p>
    <w:p>
      <w:pPr>
        <w:pStyle w:val="2"/>
        <w:rPr>
          <w:rFonts w:ascii="宋体" w:hAnsi="宋体" w:cs="宋体"/>
          <w:b/>
          <w:szCs w:val="28"/>
          <w:highlight w:val="none"/>
        </w:rPr>
      </w:pPr>
      <w:r>
        <w:rPr>
          <w:rFonts w:hint="eastAsia" w:ascii="宋体" w:hAnsi="宋体" w:cs="宋体"/>
          <w:b/>
          <w:szCs w:val="28"/>
          <w:highlight w:val="none"/>
        </w:rPr>
        <w:t>2.供应商完成本项目所需的一切费用均须包含在报价中，采购人不再另行支付。</w:t>
      </w:r>
    </w:p>
    <w:p>
      <w:pPr>
        <w:pStyle w:val="2"/>
        <w:rPr>
          <w:rFonts w:ascii="宋体" w:hAnsi="宋体" w:cs="宋体"/>
          <w:b/>
          <w:szCs w:val="28"/>
          <w:highlight w:val="none"/>
        </w:rPr>
      </w:pPr>
      <w:r>
        <w:rPr>
          <w:rFonts w:hint="eastAsia" w:ascii="宋体" w:hAnsi="宋体" w:cs="宋体"/>
          <w:b/>
          <w:szCs w:val="28"/>
          <w:highlight w:val="none"/>
          <w:lang w:val="en-US" w:eastAsia="zh-CN"/>
        </w:rPr>
        <w:t>3.</w:t>
      </w:r>
      <w:r>
        <w:rPr>
          <w:rFonts w:hint="eastAsia" w:ascii="宋体" w:hAnsi="宋体" w:cs="宋体"/>
          <w:b/>
          <w:szCs w:val="28"/>
          <w:highlight w:val="none"/>
        </w:rPr>
        <w:t>以上所有技术要求，供应商必须完全满足或优于，否则视为</w:t>
      </w:r>
      <w:r>
        <w:rPr>
          <w:rFonts w:hint="eastAsia" w:ascii="宋体" w:hAnsi="宋体" w:cs="宋体"/>
          <w:b/>
          <w:szCs w:val="28"/>
          <w:highlight w:val="none"/>
          <w:lang w:eastAsia="zh-CN"/>
        </w:rPr>
        <w:t>无效投标</w:t>
      </w:r>
      <w:r>
        <w:rPr>
          <w:rFonts w:hint="eastAsia" w:ascii="宋体" w:hAnsi="宋体" w:cs="宋体"/>
          <w:b/>
          <w:szCs w:val="28"/>
          <w:highlight w:val="none"/>
        </w:rPr>
        <w:t>。</w:t>
      </w:r>
    </w:p>
    <w:p>
      <w:pPr>
        <w:jc w:val="left"/>
        <w:rPr>
          <w:highlight w:val="none"/>
        </w:rPr>
        <w:sectPr>
          <w:headerReference r:id="rId16" w:type="default"/>
          <w:footerReference r:id="rId17" w:type="default"/>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highlight w:val="none"/>
        </w:rPr>
        <w:br w:type="page"/>
      </w:r>
    </w:p>
    <w:p>
      <w:pPr>
        <w:pStyle w:val="4"/>
        <w:rPr>
          <w:highlight w:val="none"/>
        </w:rPr>
      </w:pPr>
      <w:bookmarkStart w:id="101" w:name="_Toc1726"/>
      <w:bookmarkStart w:id="102" w:name="_Toc132"/>
      <w:r>
        <w:rPr>
          <w:rFonts w:hint="eastAsia"/>
          <w:highlight w:val="none"/>
        </w:rPr>
        <w:t>三、商务要求</w:t>
      </w:r>
      <w:bookmarkEnd w:id="101"/>
      <w:bookmarkEnd w:id="102"/>
    </w:p>
    <w:p>
      <w:pPr>
        <w:pStyle w:val="5"/>
        <w:rPr>
          <w:b/>
          <w:bCs/>
          <w:highlight w:val="none"/>
        </w:rPr>
      </w:pPr>
      <w:bookmarkStart w:id="103" w:name="_Toc14170"/>
      <w:bookmarkStart w:id="104" w:name="_Toc25439"/>
      <w:bookmarkStart w:id="105" w:name="_Toc20119"/>
      <w:bookmarkStart w:id="106" w:name="_Toc12072"/>
      <w:r>
        <w:rPr>
          <w:rFonts w:hint="eastAsia"/>
          <w:b/>
          <w:bCs/>
          <w:highlight w:val="none"/>
        </w:rPr>
        <w:t>1、交付的时间和地点</w:t>
      </w:r>
      <w:bookmarkEnd w:id="103"/>
      <w:bookmarkEnd w:id="104"/>
      <w:bookmarkEnd w:id="105"/>
      <w:bookmarkEnd w:id="106"/>
    </w:p>
    <w:p>
      <w:pPr>
        <w:rPr>
          <w:b/>
          <w:bCs/>
          <w:szCs w:val="22"/>
          <w:highlight w:val="none"/>
        </w:rPr>
      </w:pPr>
      <w:r>
        <w:rPr>
          <w:rFonts w:hint="eastAsia"/>
          <w:b/>
          <w:bCs/>
          <w:szCs w:val="22"/>
          <w:highlight w:val="none"/>
        </w:rPr>
        <w:t>1.1交付的时间</w:t>
      </w:r>
    </w:p>
    <w:p>
      <w:pPr>
        <w:ind w:firstLine="420" w:firstLineChars="200"/>
        <w:rPr>
          <w:highlight w:val="none"/>
        </w:rPr>
      </w:pPr>
      <w:r>
        <w:rPr>
          <w:highlight w:val="none"/>
        </w:rPr>
        <w:t>合同签订后</w:t>
      </w:r>
      <w:r>
        <w:rPr>
          <w:rFonts w:hint="eastAsia"/>
          <w:highlight w:val="none"/>
          <w:u w:val="none"/>
          <w:lang w:val="en-US" w:eastAsia="zh-CN"/>
        </w:rPr>
        <w:t>60</w:t>
      </w:r>
      <w:r>
        <w:rPr>
          <w:highlight w:val="none"/>
          <w:u w:val="none"/>
        </w:rPr>
        <w:t>日</w:t>
      </w:r>
      <w:r>
        <w:rPr>
          <w:highlight w:val="none"/>
        </w:rPr>
        <w:t>内。</w:t>
      </w:r>
      <w:r>
        <w:rPr>
          <w:rFonts w:hint="eastAsia"/>
          <w:highlight w:val="none"/>
          <w:lang w:eastAsia="zh-CN"/>
        </w:rPr>
        <w:t>中标供应商</w:t>
      </w:r>
      <w:r>
        <w:rPr>
          <w:highlight w:val="none"/>
        </w:rPr>
        <w:t>应保证在要求时间内完成全部货物的供货、安装、调试</w:t>
      </w:r>
      <w:r>
        <w:rPr>
          <w:rFonts w:hint="eastAsia"/>
          <w:highlight w:val="none"/>
        </w:rPr>
        <w:t>、</w:t>
      </w:r>
      <w:r>
        <w:rPr>
          <w:highlight w:val="none"/>
        </w:rPr>
        <w:t>培训</w:t>
      </w:r>
      <w:r>
        <w:rPr>
          <w:rFonts w:hint="eastAsia"/>
          <w:highlight w:val="none"/>
        </w:rPr>
        <w:t>和验收</w:t>
      </w:r>
      <w:r>
        <w:rPr>
          <w:highlight w:val="none"/>
        </w:rPr>
        <w:t>工作</w:t>
      </w:r>
      <w:r>
        <w:rPr>
          <w:rFonts w:hint="eastAsia"/>
          <w:highlight w:val="none"/>
        </w:rPr>
        <w:t>，</w:t>
      </w:r>
      <w:r>
        <w:rPr>
          <w:highlight w:val="none"/>
        </w:rPr>
        <w:t>符合国家标准、行业规范和合同等相关文件的要求。</w:t>
      </w:r>
    </w:p>
    <w:p>
      <w:pPr>
        <w:rPr>
          <w:b/>
          <w:bCs/>
          <w:szCs w:val="22"/>
          <w:highlight w:val="none"/>
        </w:rPr>
      </w:pPr>
      <w:r>
        <w:rPr>
          <w:rFonts w:hint="eastAsia"/>
          <w:b/>
          <w:bCs/>
          <w:szCs w:val="22"/>
          <w:highlight w:val="none"/>
        </w:rPr>
        <w:t>1.2交货期限延误处理</w:t>
      </w:r>
    </w:p>
    <w:p>
      <w:pPr>
        <w:ind w:firstLine="480"/>
        <w:rPr>
          <w:szCs w:val="22"/>
          <w:highlight w:val="none"/>
        </w:rPr>
      </w:pPr>
      <w:r>
        <w:rPr>
          <w:rFonts w:hint="eastAsia"/>
          <w:szCs w:val="22"/>
          <w:highlight w:val="none"/>
          <w:lang w:eastAsia="zh-CN"/>
        </w:rPr>
        <w:t>中标供应商</w:t>
      </w:r>
      <w:r>
        <w:rPr>
          <w:rFonts w:hint="eastAsia"/>
          <w:szCs w:val="22"/>
          <w:highlight w:val="none"/>
        </w:rPr>
        <w:t>应按采购需求保证供货，如未按规定的供货期交付，每推迟一天扣合同总额的0.1%作为违约金；逾期超过30天，可视为该供应商不具备履约能力，采购方有权取消其供货资格。若有断货等特殊情况时，供应商应提前</w:t>
      </w:r>
      <w:r>
        <w:rPr>
          <w:rFonts w:hint="eastAsia"/>
          <w:szCs w:val="22"/>
          <w:highlight w:val="none"/>
          <w:lang w:val="en-US" w:eastAsia="zh-CN"/>
        </w:rPr>
        <w:t>1</w:t>
      </w:r>
      <w:r>
        <w:rPr>
          <w:rFonts w:hint="eastAsia"/>
          <w:szCs w:val="22"/>
          <w:highlight w:val="none"/>
        </w:rPr>
        <w:t>0天通知采购人，并出示加盖公章的停货书面说明，并提出切实可行的解决方案。断货期间，采购方有权向其他供应商购买产品（所购买产品费用由原供货方支付，计入本项目金额，结算时扣除），直到原供货方能继续供货为止。</w:t>
      </w:r>
    </w:p>
    <w:p>
      <w:pPr>
        <w:rPr>
          <w:b/>
          <w:bCs/>
          <w:szCs w:val="22"/>
          <w:highlight w:val="none"/>
        </w:rPr>
      </w:pPr>
      <w:r>
        <w:rPr>
          <w:rFonts w:hint="eastAsia"/>
          <w:b/>
          <w:bCs/>
          <w:szCs w:val="22"/>
          <w:highlight w:val="none"/>
        </w:rPr>
        <w:t>1.3交货、安装地点</w:t>
      </w:r>
    </w:p>
    <w:p>
      <w:pPr>
        <w:spacing w:line="360" w:lineRule="auto"/>
        <w:ind w:firstLine="420" w:firstLineChars="200"/>
        <w:jc w:val="left"/>
        <w:rPr>
          <w:rFonts w:hint="eastAsia" w:ascii="Times New Roman" w:hAnsi="Times New Roman" w:eastAsia="宋体" w:cs="Times New Roman"/>
          <w:szCs w:val="22"/>
          <w:highlight w:val="none"/>
        </w:rPr>
      </w:pPr>
      <w:r>
        <w:rPr>
          <w:rFonts w:hint="eastAsia" w:ascii="宋体" w:hAnsi="宋体" w:cs="宋体"/>
          <w:szCs w:val="28"/>
          <w:highlight w:val="none"/>
        </w:rPr>
        <w:t>江西旅游商贸职业学院内采购人</w:t>
      </w:r>
      <w:r>
        <w:rPr>
          <w:rFonts w:hint="eastAsia" w:ascii="Times New Roman" w:hAnsi="Times New Roman" w:eastAsia="宋体" w:cs="Times New Roman"/>
          <w:szCs w:val="22"/>
          <w:highlight w:val="none"/>
        </w:rPr>
        <w:t>指定</w:t>
      </w:r>
      <w:r>
        <w:rPr>
          <w:rFonts w:hint="eastAsia" w:ascii="Times New Roman" w:hAnsi="Times New Roman" w:eastAsia="宋体" w:cs="Times New Roman"/>
          <w:szCs w:val="22"/>
          <w:highlight w:val="none"/>
          <w:lang w:val="en-US" w:eastAsia="zh-CN"/>
        </w:rPr>
        <w:t>地点</w:t>
      </w:r>
      <w:r>
        <w:rPr>
          <w:rFonts w:hint="eastAsia" w:ascii="Times New Roman" w:hAnsi="Times New Roman" w:eastAsia="宋体" w:cs="Times New Roman"/>
          <w:szCs w:val="22"/>
          <w:highlight w:val="none"/>
        </w:rPr>
        <w:t>。</w:t>
      </w:r>
    </w:p>
    <w:p>
      <w:pPr>
        <w:pStyle w:val="5"/>
        <w:numPr>
          <w:ilvl w:val="0"/>
          <w:numId w:val="7"/>
        </w:numPr>
        <w:rPr>
          <w:rFonts w:ascii="宋体" w:hAnsi="宋体" w:eastAsia="宋体" w:cs="宋体"/>
          <w:b/>
          <w:bCs/>
          <w:caps w:val="0"/>
          <w:kern w:val="2"/>
          <w:szCs w:val="28"/>
          <w:highlight w:val="none"/>
        </w:rPr>
      </w:pPr>
      <w:bookmarkStart w:id="107" w:name="_Toc16060"/>
      <w:bookmarkStart w:id="108" w:name="_Toc8175"/>
      <w:bookmarkStart w:id="109" w:name="_Toc26932"/>
      <w:bookmarkStart w:id="110" w:name="_Toc20216"/>
      <w:r>
        <w:rPr>
          <w:rFonts w:hint="eastAsia" w:ascii="宋体" w:hAnsi="宋体" w:eastAsia="宋体" w:cs="宋体"/>
          <w:b/>
          <w:bCs/>
          <w:caps w:val="0"/>
          <w:kern w:val="2"/>
          <w:szCs w:val="28"/>
          <w:highlight w:val="none"/>
        </w:rPr>
        <w:t>付款条件</w:t>
      </w:r>
      <w:bookmarkEnd w:id="107"/>
      <w:bookmarkEnd w:id="108"/>
      <w:bookmarkEnd w:id="109"/>
      <w:bookmarkEnd w:id="110"/>
      <w:r>
        <w:rPr>
          <w:rFonts w:hint="eastAsia" w:ascii="宋体" w:hAnsi="宋体" w:eastAsia="宋体" w:cs="宋体"/>
          <w:b/>
          <w:bCs/>
          <w:caps w:val="0"/>
          <w:kern w:val="2"/>
          <w:szCs w:val="28"/>
          <w:highlight w:val="none"/>
          <w:lang w:val="en-US" w:eastAsia="zh-CN"/>
        </w:rPr>
        <w:tab/>
      </w:r>
    </w:p>
    <w:p>
      <w:pPr>
        <w:rPr>
          <w:b/>
          <w:bCs/>
          <w:szCs w:val="22"/>
          <w:highlight w:val="none"/>
        </w:rPr>
      </w:pPr>
      <w:bookmarkStart w:id="111" w:name="_Toc10112"/>
      <w:bookmarkStart w:id="112" w:name="_Toc8279"/>
      <w:r>
        <w:rPr>
          <w:rFonts w:hint="eastAsia"/>
          <w:b/>
          <w:bCs/>
          <w:szCs w:val="22"/>
          <w:highlight w:val="none"/>
        </w:rPr>
        <w:t>2.1履约保证金</w:t>
      </w:r>
    </w:p>
    <w:p>
      <w:pPr>
        <w:ind w:firstLine="420" w:firstLineChars="200"/>
        <w:rPr>
          <w:rFonts w:ascii="宋体" w:hAnsi="宋体" w:cs="宋体"/>
          <w:szCs w:val="28"/>
        </w:rPr>
      </w:pPr>
      <w:r>
        <w:rPr>
          <w:rFonts w:hint="eastAsia" w:ascii="宋体" w:hAnsi="宋体" w:cs="宋体"/>
          <w:szCs w:val="28"/>
        </w:rPr>
        <w:t>本项目的履约保证金为</w:t>
      </w:r>
      <w:r>
        <w:rPr>
          <w:rFonts w:hint="eastAsia" w:ascii="宋体" w:hAnsi="宋体" w:cs="宋体"/>
          <w:szCs w:val="28"/>
          <w:lang w:val="en-US" w:eastAsia="zh-CN"/>
        </w:rPr>
        <w:t>合同</w:t>
      </w:r>
      <w:r>
        <w:rPr>
          <w:rFonts w:hint="eastAsia" w:ascii="宋体" w:hAnsi="宋体" w:cs="宋体"/>
          <w:szCs w:val="28"/>
        </w:rPr>
        <w:t>总金额的5%，由</w:t>
      </w:r>
      <w:r>
        <w:rPr>
          <w:rFonts w:hint="eastAsia" w:ascii="宋体" w:hAnsi="宋体" w:cs="宋体"/>
          <w:szCs w:val="28"/>
          <w:lang w:val="en-US" w:eastAsia="zh-CN"/>
        </w:rPr>
        <w:t>中标</w:t>
      </w:r>
      <w:r>
        <w:rPr>
          <w:rFonts w:hint="eastAsia" w:ascii="宋体" w:hAnsi="宋体" w:cs="宋体"/>
          <w:szCs w:val="28"/>
        </w:rPr>
        <w:t>供应商在合同签订时以非现金形式（包括支票、汇票、本票、网上银行支付或者金融机构、担保机构出具的保函、保险公司出具的保证保险等）缴纳履约保证金。验收合格后，由采购人一次性无息退还履约保证金。</w:t>
      </w:r>
    </w:p>
    <w:p>
      <w:pPr>
        <w:rPr>
          <w:b/>
          <w:bCs/>
          <w:szCs w:val="22"/>
          <w:highlight w:val="none"/>
        </w:rPr>
      </w:pPr>
      <w:r>
        <w:rPr>
          <w:rFonts w:hint="eastAsia"/>
          <w:b/>
          <w:bCs/>
          <w:szCs w:val="22"/>
          <w:highlight w:val="none"/>
        </w:rPr>
        <w:t>2.2付款要求</w:t>
      </w:r>
    </w:p>
    <w:p>
      <w:pPr>
        <w:ind w:firstLine="420" w:firstLineChars="200"/>
        <w:rPr>
          <w:szCs w:val="22"/>
          <w:highlight w:val="none"/>
        </w:rPr>
      </w:pPr>
      <w:r>
        <w:rPr>
          <w:rFonts w:hint="eastAsia" w:ascii="宋体" w:hAnsi="宋体" w:eastAsia="宋体" w:cs="宋体"/>
          <w:szCs w:val="28"/>
          <w:highlight w:val="none"/>
        </w:rPr>
        <w:t>合同项下所有货物安装调试完成后正常运行，并经验收合格后</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中标</w:t>
      </w:r>
      <w:r>
        <w:rPr>
          <w:rFonts w:hint="eastAsia" w:ascii="宋体" w:hAnsi="宋体" w:eastAsia="宋体" w:cs="宋体"/>
          <w:szCs w:val="28"/>
          <w:highlight w:val="none"/>
        </w:rPr>
        <w:t>供应商开具全额发票，</w:t>
      </w:r>
      <w:r>
        <w:rPr>
          <w:rFonts w:hint="eastAsia" w:ascii="宋体" w:hAnsi="宋体" w:eastAsia="宋体" w:cs="宋体"/>
          <w:szCs w:val="28"/>
          <w:highlight w:val="none"/>
          <w:lang w:val="en-US" w:eastAsia="zh-CN"/>
        </w:rPr>
        <w:t>采购人向中标供应商</w:t>
      </w:r>
      <w:r>
        <w:rPr>
          <w:rFonts w:hint="eastAsia" w:ascii="宋体" w:hAnsi="宋体" w:eastAsia="宋体" w:cs="宋体"/>
          <w:szCs w:val="28"/>
          <w:highlight w:val="none"/>
        </w:rPr>
        <w:t>支付合</w:t>
      </w:r>
      <w:r>
        <w:rPr>
          <w:rFonts w:hint="eastAsia" w:ascii="宋体" w:hAnsi="宋体" w:cs="宋体"/>
          <w:szCs w:val="28"/>
          <w:highlight w:val="none"/>
        </w:rPr>
        <w:t>同总价的100%。</w:t>
      </w:r>
    </w:p>
    <w:p>
      <w:pPr>
        <w:pStyle w:val="5"/>
        <w:rPr>
          <w:b/>
          <w:bCs/>
          <w:highlight w:val="none"/>
        </w:rPr>
      </w:pPr>
      <w:bookmarkStart w:id="113" w:name="_Toc6271"/>
      <w:bookmarkStart w:id="114" w:name="_Toc9512"/>
      <w:r>
        <w:rPr>
          <w:rFonts w:hint="eastAsia" w:ascii="宋体" w:hAnsi="宋体" w:eastAsia="宋体" w:cs="宋体"/>
          <w:b/>
          <w:bCs/>
          <w:caps w:val="0"/>
          <w:kern w:val="2"/>
          <w:szCs w:val="28"/>
          <w:highlight w:val="none"/>
        </w:rPr>
        <w:t>3、</w:t>
      </w:r>
      <w:r>
        <w:rPr>
          <w:rFonts w:hint="eastAsia"/>
          <w:b/>
          <w:bCs/>
          <w:highlight w:val="none"/>
        </w:rPr>
        <w:t>包装和运输</w:t>
      </w:r>
      <w:bookmarkEnd w:id="111"/>
      <w:bookmarkEnd w:id="112"/>
      <w:bookmarkEnd w:id="113"/>
      <w:bookmarkEnd w:id="114"/>
    </w:p>
    <w:p>
      <w:pPr>
        <w:spacing w:line="360" w:lineRule="auto"/>
        <w:jc w:val="left"/>
        <w:rPr>
          <w:rFonts w:ascii="宋体" w:hAnsi="宋体" w:cs="宋体"/>
          <w:szCs w:val="28"/>
          <w:highlight w:val="none"/>
        </w:rPr>
      </w:pPr>
      <w:r>
        <w:rPr>
          <w:rFonts w:hint="eastAsia" w:ascii="宋体" w:hAnsi="宋体" w:cs="宋体"/>
          <w:szCs w:val="28"/>
          <w:highlight w:val="none"/>
        </w:rPr>
        <w:t>3.1货物的拆箱、安装等工作由</w:t>
      </w:r>
      <w:r>
        <w:rPr>
          <w:rFonts w:hint="eastAsia" w:ascii="宋体" w:hAnsi="宋体" w:cs="宋体"/>
          <w:szCs w:val="28"/>
          <w:highlight w:val="none"/>
          <w:lang w:eastAsia="zh-CN"/>
        </w:rPr>
        <w:t>中标供应商</w:t>
      </w:r>
      <w:r>
        <w:rPr>
          <w:rFonts w:hint="eastAsia" w:ascii="宋体" w:hAnsi="宋体" w:cs="宋体"/>
          <w:szCs w:val="28"/>
          <w:highlight w:val="none"/>
        </w:rPr>
        <w:t>负责，但必须在采购人或用户指定人员的参与下进行。</w:t>
      </w:r>
      <w:r>
        <w:rPr>
          <w:rFonts w:hint="eastAsia" w:ascii="宋体" w:hAnsi="宋体" w:cs="宋体"/>
          <w:szCs w:val="28"/>
          <w:highlight w:val="none"/>
          <w:lang w:eastAsia="zh-CN"/>
        </w:rPr>
        <w:t>中标供应商</w:t>
      </w:r>
      <w:r>
        <w:rPr>
          <w:rFonts w:hint="eastAsia" w:ascii="宋体" w:hAnsi="宋体" w:cs="宋体"/>
          <w:szCs w:val="28"/>
          <w:highlight w:val="none"/>
        </w:rPr>
        <w:t>拆箱、安装前必须先经采购人或用户同意方可进行。</w:t>
      </w:r>
    </w:p>
    <w:p>
      <w:pPr>
        <w:spacing w:line="360" w:lineRule="auto"/>
        <w:jc w:val="left"/>
        <w:rPr>
          <w:rFonts w:ascii="宋体" w:hAnsi="宋体" w:cs="宋体"/>
          <w:szCs w:val="28"/>
          <w:highlight w:val="none"/>
        </w:rPr>
      </w:pPr>
      <w:r>
        <w:rPr>
          <w:rFonts w:hint="eastAsia" w:ascii="宋体" w:hAnsi="宋体" w:cs="宋体"/>
          <w:szCs w:val="28"/>
          <w:highlight w:val="none"/>
        </w:rPr>
        <w:t>3.2所有货物、材料、备品备件等均须由</w:t>
      </w:r>
      <w:r>
        <w:rPr>
          <w:rFonts w:hint="eastAsia" w:ascii="宋体" w:hAnsi="宋体" w:cs="宋体"/>
          <w:szCs w:val="28"/>
          <w:highlight w:val="none"/>
          <w:lang w:eastAsia="zh-CN"/>
        </w:rPr>
        <w:t>中标供应商</w:t>
      </w:r>
      <w:r>
        <w:rPr>
          <w:rFonts w:hint="eastAsia" w:ascii="宋体" w:hAnsi="宋体" w:cs="宋体"/>
          <w:szCs w:val="28"/>
          <w:highlight w:val="none"/>
        </w:rPr>
        <w:t>送货到指定地点并负责安装，必须出示产品合格证和原厂随货清单。</w:t>
      </w:r>
      <w:r>
        <w:rPr>
          <w:rFonts w:hint="eastAsia" w:ascii="宋体" w:hAnsi="宋体" w:cs="宋体"/>
          <w:szCs w:val="28"/>
          <w:highlight w:val="none"/>
          <w:lang w:eastAsia="zh-CN"/>
        </w:rPr>
        <w:t>中标供应商</w:t>
      </w:r>
      <w:r>
        <w:rPr>
          <w:rFonts w:hint="eastAsia" w:ascii="宋体" w:hAnsi="宋体" w:cs="宋体"/>
          <w:szCs w:val="28"/>
          <w:highlight w:val="none"/>
        </w:rPr>
        <w:t>应派熟练的工程师现场进行安装，若发生任一项指标不符合采购文件要求的，</w:t>
      </w:r>
      <w:r>
        <w:rPr>
          <w:rFonts w:hint="eastAsia" w:ascii="宋体" w:hAnsi="宋体" w:cs="宋体"/>
          <w:szCs w:val="28"/>
          <w:highlight w:val="none"/>
          <w:lang w:eastAsia="zh-CN"/>
        </w:rPr>
        <w:t>中标供应商</w:t>
      </w:r>
      <w:r>
        <w:rPr>
          <w:rFonts w:hint="eastAsia" w:ascii="宋体" w:hAnsi="宋体" w:cs="宋体"/>
          <w:szCs w:val="28"/>
          <w:highlight w:val="none"/>
        </w:rPr>
        <w:t>应在</w:t>
      </w:r>
      <w:r>
        <w:rPr>
          <w:rFonts w:hint="eastAsia" w:ascii="宋体" w:hAnsi="宋体" w:cs="宋体"/>
          <w:szCs w:val="28"/>
          <w:highlight w:val="none"/>
          <w:u w:val="single"/>
        </w:rPr>
        <w:t>7</w:t>
      </w:r>
      <w:r>
        <w:rPr>
          <w:rFonts w:hint="eastAsia" w:ascii="宋体" w:hAnsi="宋体" w:cs="宋体"/>
          <w:szCs w:val="28"/>
          <w:highlight w:val="none"/>
        </w:rPr>
        <w:t>天内更换其不合格产品，使之达到采购文件要求，所有费用由</w:t>
      </w:r>
      <w:r>
        <w:rPr>
          <w:rFonts w:hint="eastAsia" w:ascii="宋体" w:hAnsi="宋体" w:cs="宋体"/>
          <w:szCs w:val="28"/>
          <w:highlight w:val="none"/>
          <w:lang w:eastAsia="zh-CN"/>
        </w:rPr>
        <w:t>中标供应商</w:t>
      </w:r>
      <w:r>
        <w:rPr>
          <w:rFonts w:hint="eastAsia" w:ascii="宋体" w:hAnsi="宋体" w:cs="宋体"/>
          <w:szCs w:val="28"/>
          <w:highlight w:val="none"/>
        </w:rPr>
        <w:t>负担。</w:t>
      </w:r>
    </w:p>
    <w:p>
      <w:pPr>
        <w:pStyle w:val="5"/>
        <w:rPr>
          <w:b/>
          <w:bCs/>
          <w:highlight w:val="none"/>
        </w:rPr>
      </w:pPr>
      <w:bookmarkStart w:id="115" w:name="_Toc27140"/>
      <w:bookmarkStart w:id="116" w:name="_Toc8295"/>
      <w:bookmarkStart w:id="117" w:name="_Toc25499"/>
      <w:bookmarkStart w:id="118" w:name="_Toc31857"/>
      <w:r>
        <w:rPr>
          <w:rFonts w:hint="eastAsia"/>
          <w:b/>
          <w:bCs/>
          <w:highlight w:val="none"/>
        </w:rPr>
        <w:t>4、售后服务</w:t>
      </w:r>
      <w:bookmarkEnd w:id="115"/>
      <w:bookmarkEnd w:id="116"/>
      <w:r>
        <w:rPr>
          <w:rFonts w:hint="eastAsia"/>
          <w:b/>
          <w:bCs/>
          <w:highlight w:val="none"/>
        </w:rPr>
        <w:t>和培训要求</w:t>
      </w:r>
      <w:bookmarkEnd w:id="117"/>
      <w:bookmarkEnd w:id="118"/>
    </w:p>
    <w:p>
      <w:pPr>
        <w:spacing w:line="360" w:lineRule="auto"/>
        <w:jc w:val="left"/>
        <w:rPr>
          <w:rFonts w:hint="eastAsia" w:ascii="宋体" w:hAnsi="宋体" w:eastAsia="宋体" w:cs="宋体"/>
          <w:b/>
          <w:bCs/>
          <w:szCs w:val="28"/>
          <w:highlight w:val="none"/>
          <w:lang w:eastAsia="zh-CN"/>
        </w:rPr>
      </w:pPr>
      <w:r>
        <w:rPr>
          <w:rFonts w:hint="eastAsia" w:ascii="宋体" w:hAnsi="宋体" w:cs="宋体"/>
          <w:b/>
          <w:bCs/>
          <w:szCs w:val="28"/>
          <w:highlight w:val="none"/>
        </w:rPr>
        <w:t>4.1</w:t>
      </w:r>
      <w:r>
        <w:rPr>
          <w:rFonts w:hint="eastAsia" w:ascii="宋体" w:hAnsi="宋体" w:cs="宋体"/>
          <w:b/>
          <w:bCs/>
          <w:szCs w:val="28"/>
          <w:highlight w:val="none"/>
          <w:lang w:eastAsia="zh-CN"/>
        </w:rPr>
        <w:t>售后服务期</w:t>
      </w:r>
    </w:p>
    <w:p>
      <w:pPr>
        <w:spacing w:line="360" w:lineRule="auto"/>
        <w:ind w:firstLine="420" w:firstLineChars="200"/>
        <w:jc w:val="left"/>
        <w:rPr>
          <w:highlight w:val="none"/>
        </w:rPr>
      </w:pPr>
      <w:r>
        <w:rPr>
          <w:rFonts w:hint="eastAsia"/>
          <w:highlight w:val="none"/>
        </w:rPr>
        <w:t>在项目验收通过后，</w:t>
      </w:r>
      <w:r>
        <w:rPr>
          <w:rFonts w:hint="eastAsia"/>
          <w:highlight w:val="none"/>
          <w:lang w:eastAsia="zh-CN"/>
        </w:rPr>
        <w:t>中标供应商</w:t>
      </w:r>
      <w:r>
        <w:rPr>
          <w:rFonts w:hint="eastAsia"/>
          <w:highlight w:val="none"/>
        </w:rPr>
        <w:t>必须提供</w:t>
      </w:r>
      <w:r>
        <w:rPr>
          <w:rFonts w:hint="eastAsia" w:ascii="宋体" w:hAnsi="宋体" w:cs="宋体"/>
          <w:szCs w:val="28"/>
          <w:highlight w:val="none"/>
          <w:lang w:val="en-US" w:eastAsia="zh-CN"/>
        </w:rPr>
        <w:t>不少于12个月</w:t>
      </w:r>
      <w:r>
        <w:rPr>
          <w:rFonts w:hint="eastAsia" w:ascii="宋体" w:hAnsi="宋体" w:cs="宋体"/>
          <w:szCs w:val="28"/>
          <w:highlight w:val="none"/>
          <w:lang w:eastAsia="zh-CN"/>
        </w:rPr>
        <w:t>的售后服务期</w:t>
      </w:r>
      <w:r>
        <w:rPr>
          <w:rFonts w:hint="eastAsia" w:ascii="宋体" w:hAnsi="宋体" w:cs="宋体"/>
          <w:szCs w:val="28"/>
        </w:rPr>
        <w:t>(国家法规另有规定和制造企业优于</w:t>
      </w:r>
      <w:r>
        <w:rPr>
          <w:rFonts w:hint="eastAsia" w:ascii="宋体" w:hAnsi="宋体" w:cs="宋体"/>
          <w:szCs w:val="28"/>
          <w:lang w:val="en-US" w:eastAsia="zh-CN"/>
        </w:rPr>
        <w:t>以及技术要求中另有约定</w:t>
      </w:r>
      <w:r>
        <w:rPr>
          <w:rFonts w:hint="eastAsia" w:ascii="宋体" w:hAnsi="宋体" w:cs="宋体"/>
          <w:szCs w:val="28"/>
        </w:rPr>
        <w:t>的除外)</w:t>
      </w:r>
      <w:r>
        <w:rPr>
          <w:rFonts w:hint="eastAsia" w:ascii="宋体" w:hAnsi="宋体" w:cs="宋体"/>
          <w:szCs w:val="28"/>
          <w:highlight w:val="none"/>
          <w:lang w:eastAsia="zh-CN"/>
        </w:rPr>
        <w:t>，在质保期内，中标供应商</w:t>
      </w:r>
      <w:r>
        <w:rPr>
          <w:rFonts w:hint="eastAsia" w:ascii="宋体" w:hAnsi="宋体" w:cs="宋体"/>
          <w:szCs w:val="28"/>
          <w:highlight w:val="none"/>
          <w:lang w:val="en-US" w:eastAsia="zh-CN"/>
        </w:rPr>
        <w:t>须提供</w:t>
      </w:r>
      <w:r>
        <w:rPr>
          <w:rFonts w:hint="eastAsia" w:ascii="宋体" w:hAnsi="宋体" w:cs="宋体"/>
          <w:szCs w:val="28"/>
          <w:highlight w:val="none"/>
          <w:lang w:eastAsia="zh-CN"/>
        </w:rPr>
        <w:t>保修及上门服务，所需</w:t>
      </w:r>
      <w:r>
        <w:rPr>
          <w:rFonts w:hint="eastAsia" w:ascii="宋体" w:hAnsi="宋体" w:cs="宋体"/>
          <w:szCs w:val="28"/>
          <w:highlight w:val="none"/>
        </w:rPr>
        <w:t>费用包含在供应商报价中。</w:t>
      </w:r>
    </w:p>
    <w:p>
      <w:pPr>
        <w:spacing w:line="360" w:lineRule="auto"/>
        <w:jc w:val="left"/>
        <w:rPr>
          <w:rFonts w:ascii="宋体" w:hAnsi="宋体" w:cs="宋体"/>
          <w:b/>
          <w:bCs/>
          <w:szCs w:val="28"/>
          <w:highlight w:val="none"/>
        </w:rPr>
      </w:pPr>
      <w:r>
        <w:rPr>
          <w:rFonts w:hint="eastAsia" w:ascii="宋体" w:hAnsi="宋体" w:cs="宋体"/>
          <w:b/>
          <w:bCs/>
          <w:szCs w:val="28"/>
          <w:highlight w:val="none"/>
        </w:rPr>
        <w:t>4.2售后服务要求</w:t>
      </w:r>
    </w:p>
    <w:p>
      <w:pPr>
        <w:spacing w:line="360" w:lineRule="auto"/>
        <w:ind w:firstLine="420" w:firstLineChars="200"/>
        <w:jc w:val="left"/>
        <w:rPr>
          <w:rFonts w:hint="eastAsia" w:ascii="宋体" w:hAnsi="宋体" w:cs="宋体"/>
          <w:szCs w:val="28"/>
          <w:highlight w:val="none"/>
          <w:lang w:val="en-US" w:eastAsia="zh-CN"/>
        </w:rPr>
      </w:pPr>
      <w:bookmarkStart w:id="119" w:name="_Toc16322"/>
      <w:bookmarkStart w:id="120" w:name="_Toc7349"/>
      <w:bookmarkStart w:id="121" w:name="_Toc9410"/>
      <w:r>
        <w:rPr>
          <w:rFonts w:hint="eastAsia" w:ascii="宋体" w:hAnsi="宋体" w:cs="宋体"/>
          <w:szCs w:val="28"/>
          <w:highlight w:val="none"/>
          <w:lang w:val="en-US" w:eastAsia="zh-CN"/>
        </w:rPr>
        <w:t>（1）所有货物必须为符合国家行业有关质量标准的全新合格产品。</w:t>
      </w:r>
    </w:p>
    <w:p>
      <w:pPr>
        <w:spacing w:line="360" w:lineRule="auto"/>
        <w:ind w:firstLine="420" w:firstLineChars="200"/>
        <w:jc w:val="left"/>
        <w:rPr>
          <w:rFonts w:hint="eastAsia" w:ascii="宋体" w:hAnsi="宋体" w:cs="宋体"/>
          <w:szCs w:val="28"/>
          <w:highlight w:val="none"/>
          <w:lang w:val="en-US" w:eastAsia="zh-CN"/>
        </w:rPr>
      </w:pPr>
      <w:r>
        <w:rPr>
          <w:rFonts w:hint="eastAsia" w:ascii="宋体" w:hAnsi="宋体" w:cs="宋体"/>
          <w:szCs w:val="28"/>
          <w:highlight w:val="none"/>
          <w:lang w:val="en-US" w:eastAsia="zh-CN"/>
        </w:rPr>
        <w:t>（2）中标供应商需提供24小时电话服务，在接到采购人的服务通知后，实时回应；需到现场解决的，维修人员应在6小时内到达现场，并对故障进行及时检修、排除，24小时内解决故障。未能在规定时间内排除故障的，必须在24小时内提供同档次的备用产品，直至解决故障。以上所需费用包含在供应商报价中</w:t>
      </w:r>
    </w:p>
    <w:p>
      <w:pPr>
        <w:spacing w:line="360" w:lineRule="auto"/>
        <w:ind w:firstLine="420" w:firstLineChars="200"/>
        <w:jc w:val="left"/>
        <w:rPr>
          <w:rFonts w:hint="eastAsia" w:ascii="宋体" w:hAnsi="宋体" w:cs="宋体"/>
          <w:szCs w:val="28"/>
          <w:highlight w:val="none"/>
          <w:lang w:val="en-US" w:eastAsia="zh-CN"/>
        </w:rPr>
      </w:pPr>
      <w:r>
        <w:rPr>
          <w:rFonts w:hint="eastAsia" w:ascii="宋体" w:hAnsi="宋体" w:cs="宋体"/>
          <w:szCs w:val="28"/>
          <w:highlight w:val="none"/>
          <w:lang w:val="en-US" w:eastAsia="zh-CN"/>
        </w:rPr>
        <w:t>（3）售后服务期满后，设备需维修的，中标供应商应本着微利服务原则，按最低价格收取维修费。</w:t>
      </w:r>
    </w:p>
    <w:p>
      <w:pPr>
        <w:spacing w:line="360" w:lineRule="auto"/>
        <w:ind w:firstLine="420" w:firstLineChars="200"/>
        <w:jc w:val="left"/>
        <w:rPr>
          <w:rFonts w:hint="eastAsia" w:ascii="宋体" w:hAnsi="宋体" w:cs="宋体"/>
          <w:szCs w:val="28"/>
          <w:highlight w:val="none"/>
          <w:lang w:val="en-US" w:eastAsia="zh-CN"/>
        </w:rPr>
      </w:pPr>
      <w:r>
        <w:rPr>
          <w:rFonts w:hint="eastAsia" w:ascii="宋体" w:hAnsi="宋体" w:cs="宋体"/>
          <w:szCs w:val="28"/>
          <w:highlight w:val="none"/>
          <w:lang w:val="en-US" w:eastAsia="zh-CN"/>
        </w:rPr>
        <w:t>（4）中标供应商必须对其所提供的设备及采用的相关技术进行现场演示培训，提供全套说明书并包括中文操作说明和注意事项，以满足使用单位在日常使用、操作等方面的需求。以上所需费用包含在供应商报价中。</w:t>
      </w:r>
    </w:p>
    <w:p>
      <w:pPr>
        <w:spacing w:line="360" w:lineRule="auto"/>
        <w:ind w:firstLine="420" w:firstLineChars="200"/>
        <w:jc w:val="left"/>
        <w:rPr>
          <w:rFonts w:hint="eastAsia" w:ascii="宋体" w:hAnsi="宋体" w:cs="宋体"/>
          <w:szCs w:val="28"/>
          <w:highlight w:val="none"/>
          <w:lang w:val="en-US" w:eastAsia="zh-CN"/>
        </w:rPr>
      </w:pPr>
      <w:r>
        <w:rPr>
          <w:rFonts w:hint="eastAsia" w:ascii="宋体" w:hAnsi="宋体" w:cs="宋体"/>
          <w:szCs w:val="28"/>
          <w:highlight w:val="none"/>
          <w:lang w:val="en-US" w:eastAsia="zh-CN"/>
        </w:rPr>
        <w:t>（5）采购品目中，若涉及有计算机软件品目，则中标供应商需在质保期内提供升级服务（如有升级版本对外发布），但不涉及定制开发，所需费用包含在供应商报价中。</w:t>
      </w:r>
    </w:p>
    <w:p>
      <w:pPr>
        <w:spacing w:line="360" w:lineRule="auto"/>
        <w:ind w:firstLine="420" w:firstLineChars="200"/>
        <w:jc w:val="left"/>
        <w:rPr>
          <w:rFonts w:hint="eastAsia" w:ascii="宋体" w:hAnsi="宋体" w:cs="宋体"/>
          <w:szCs w:val="28"/>
          <w:highlight w:val="none"/>
          <w:lang w:val="en-US" w:eastAsia="zh-CN"/>
        </w:rPr>
      </w:pPr>
      <w:r>
        <w:rPr>
          <w:rFonts w:hint="eastAsia" w:ascii="宋体" w:hAnsi="宋体" w:cs="宋体"/>
          <w:szCs w:val="28"/>
          <w:highlight w:val="none"/>
          <w:lang w:val="en-US" w:eastAsia="zh-CN"/>
        </w:rPr>
        <w:t>（6）中标供应商的其它售后服务承诺属于本合同的一部分，如果有不同约定的，以服务水平和层级更高的为准。</w:t>
      </w:r>
    </w:p>
    <w:p>
      <w:pPr>
        <w:pStyle w:val="5"/>
        <w:rPr>
          <w:b/>
          <w:bCs/>
          <w:highlight w:val="none"/>
        </w:rPr>
      </w:pPr>
      <w:bookmarkStart w:id="122" w:name="_Toc23757"/>
      <w:r>
        <w:rPr>
          <w:rFonts w:hint="eastAsia"/>
          <w:b/>
          <w:bCs/>
          <w:highlight w:val="none"/>
        </w:rPr>
        <w:t>5、保险</w:t>
      </w:r>
      <w:bookmarkEnd w:id="119"/>
      <w:bookmarkEnd w:id="120"/>
      <w:bookmarkEnd w:id="121"/>
      <w:bookmarkEnd w:id="122"/>
    </w:p>
    <w:p>
      <w:pPr>
        <w:spacing w:line="360" w:lineRule="auto"/>
        <w:ind w:firstLine="420" w:firstLineChars="200"/>
        <w:jc w:val="left"/>
        <w:rPr>
          <w:rFonts w:ascii="宋体" w:hAnsi="宋体" w:cs="宋体"/>
          <w:b/>
          <w:bCs/>
          <w:szCs w:val="28"/>
          <w:highlight w:val="none"/>
        </w:rPr>
      </w:pPr>
      <w:r>
        <w:rPr>
          <w:rFonts w:hint="eastAsia" w:ascii="宋体" w:hAnsi="宋体" w:cs="宋体"/>
          <w:szCs w:val="28"/>
          <w:highlight w:val="none"/>
        </w:rPr>
        <w:t>包含财产保险（货物运输保险等）、人身保险、责任保险（公众责任保险、雇主责任保险等）、信用保险等。均应包含在投标总价中。</w:t>
      </w:r>
    </w:p>
    <w:p>
      <w:pPr>
        <w:pStyle w:val="5"/>
        <w:rPr>
          <w:b/>
          <w:bCs/>
        </w:rPr>
      </w:pPr>
      <w:bookmarkStart w:id="123" w:name="_Toc4912"/>
      <w:bookmarkStart w:id="124" w:name="_Toc28303"/>
      <w:bookmarkStart w:id="125" w:name="_Toc1000"/>
      <w:bookmarkStart w:id="126" w:name="_Toc6800"/>
      <w:bookmarkStart w:id="127" w:name="_Toc30339"/>
      <w:r>
        <w:rPr>
          <w:rFonts w:hint="eastAsia"/>
          <w:b/>
          <w:bCs/>
        </w:rPr>
        <w:t>6、其他要求</w:t>
      </w:r>
      <w:bookmarkEnd w:id="123"/>
      <w:bookmarkEnd w:id="124"/>
      <w:bookmarkEnd w:id="125"/>
      <w:bookmarkEnd w:id="126"/>
      <w:bookmarkEnd w:id="127"/>
    </w:p>
    <w:p>
      <w:pPr>
        <w:spacing w:line="360" w:lineRule="auto"/>
        <w:jc w:val="left"/>
        <w:rPr>
          <w:rFonts w:ascii="宋体" w:hAnsi="宋体" w:cs="宋体"/>
          <w:b/>
          <w:bCs/>
          <w:szCs w:val="28"/>
        </w:rPr>
      </w:pPr>
      <w:r>
        <w:rPr>
          <w:rFonts w:hint="eastAsia" w:ascii="宋体" w:hAnsi="宋体" w:cs="宋体"/>
          <w:b/>
          <w:bCs/>
          <w:szCs w:val="28"/>
        </w:rPr>
        <w:t>6.1报价要求</w:t>
      </w:r>
    </w:p>
    <w:p>
      <w:pPr>
        <w:spacing w:line="360" w:lineRule="auto"/>
        <w:ind w:firstLine="420" w:firstLineChars="200"/>
        <w:jc w:val="left"/>
        <w:rPr>
          <w:rFonts w:ascii="宋体" w:hAnsi="宋体" w:cs="宋体"/>
          <w:szCs w:val="28"/>
        </w:rPr>
      </w:pPr>
      <w:r>
        <w:rPr>
          <w:rFonts w:hint="eastAsia" w:ascii="宋体" w:hAnsi="宋体" w:cs="宋体"/>
          <w:szCs w:val="28"/>
        </w:rPr>
        <w:t>本项目为交钥匙工程：所有货物、材料、运输、转运、装卸、辅材、安装、施工、调试、安全文明生产、机械设备及耗材费、检测、验收、上线运行、培训、技术支持、保险、人员工资福利、国家法定假日加班费、劳保用品费、办公设备及办公费、管理费、利润、税金、售后服务、质保期内维修材料、缺陷期间维护及为完成该项目不可预见的费用等一切费用均包含在投标报价总价中。</w:t>
      </w:r>
      <w:r>
        <w:rPr>
          <w:rFonts w:hint="eastAsia" w:ascii="宋体" w:hAnsi="宋体" w:cs="宋体"/>
          <w:szCs w:val="28"/>
          <w:lang w:eastAsia="zh-CN"/>
        </w:rPr>
        <w:t>中标供应商</w:t>
      </w:r>
      <w:r>
        <w:rPr>
          <w:rFonts w:hint="eastAsia" w:ascii="宋体" w:hAnsi="宋体" w:cs="宋体"/>
          <w:szCs w:val="28"/>
        </w:rPr>
        <w:t>应充分考虑本项目合同实施期间可能发生的一切费用，并承担由此而带来的风险。凡</w:t>
      </w:r>
      <w:r>
        <w:rPr>
          <w:rFonts w:hint="eastAsia" w:ascii="宋体" w:hAnsi="宋体" w:cs="宋体"/>
          <w:szCs w:val="28"/>
          <w:lang w:eastAsia="zh-CN"/>
        </w:rPr>
        <w:t>中标供应商</w:t>
      </w:r>
      <w:r>
        <w:rPr>
          <w:rFonts w:hint="eastAsia" w:ascii="宋体" w:hAnsi="宋体" w:cs="宋体"/>
          <w:szCs w:val="28"/>
        </w:rPr>
        <w:t>在报价中未列明但又是建成该项目所必备的项目或遗漏项目，采购人将一律视为已包括在其报价中。</w:t>
      </w:r>
    </w:p>
    <w:p>
      <w:pPr>
        <w:spacing w:line="360" w:lineRule="auto"/>
        <w:jc w:val="left"/>
        <w:rPr>
          <w:rFonts w:ascii="宋体" w:hAnsi="宋体" w:cs="宋体"/>
          <w:b/>
          <w:bCs/>
          <w:szCs w:val="28"/>
        </w:rPr>
      </w:pPr>
      <w:r>
        <w:rPr>
          <w:rFonts w:hint="eastAsia" w:ascii="宋体" w:hAnsi="宋体" w:cs="宋体"/>
          <w:b/>
          <w:bCs/>
          <w:szCs w:val="28"/>
        </w:rPr>
        <w:t>6.2安装及货物验收要求</w:t>
      </w:r>
    </w:p>
    <w:p>
      <w:pPr>
        <w:spacing w:line="360" w:lineRule="auto"/>
        <w:jc w:val="left"/>
      </w:pPr>
      <w:r>
        <w:rPr>
          <w:rFonts w:hint="eastAsia" w:asciiTheme="minorEastAsia" w:hAnsiTheme="minorEastAsia" w:eastAsiaTheme="minorEastAsia" w:cstheme="minorEastAsia"/>
          <w:szCs w:val="28"/>
        </w:rPr>
        <w:t>6.2.1</w:t>
      </w:r>
      <w:r>
        <w:rPr>
          <w:rFonts w:hint="eastAsia" w:asciiTheme="minorEastAsia" w:hAnsiTheme="minorEastAsia" w:eastAsiaTheme="minorEastAsia" w:cstheme="minorEastAsia"/>
          <w:szCs w:val="28"/>
          <w:lang w:eastAsia="zh-CN"/>
        </w:rPr>
        <w:t>中标供应商</w:t>
      </w:r>
      <w:r>
        <w:rPr>
          <w:rFonts w:hint="eastAsia" w:asciiTheme="minorEastAsia" w:hAnsiTheme="minorEastAsia" w:eastAsiaTheme="minorEastAsia" w:cstheme="minorEastAsia"/>
          <w:szCs w:val="28"/>
        </w:rPr>
        <w:t>需将各类中标设备先期集中在自有仓库里，然后一次性</w:t>
      </w:r>
      <w:r>
        <w:rPr>
          <w:rFonts w:hint="eastAsia"/>
        </w:rPr>
        <w:t>送至使用单位。货物送达采购人指定地点，采购人需指派专人在现场负责接货、安装等协调工作。</w:t>
      </w:r>
      <w:r>
        <w:rPr>
          <w:rFonts w:hint="eastAsia" w:asciiTheme="minorEastAsia" w:hAnsiTheme="minorEastAsia" w:eastAsiaTheme="minorEastAsia" w:cstheme="minorEastAsia"/>
          <w:szCs w:val="22"/>
        </w:rPr>
        <w:t>货物达到指定地点后</w:t>
      </w:r>
      <w:r>
        <w:rPr>
          <w:rFonts w:hint="eastAsia"/>
        </w:rPr>
        <w:t>，由</w:t>
      </w:r>
      <w:r>
        <w:rPr>
          <w:rFonts w:hint="eastAsia"/>
          <w:lang w:eastAsia="zh-CN"/>
        </w:rPr>
        <w:t>中标供应商</w:t>
      </w:r>
      <w:r>
        <w:rPr>
          <w:rFonts w:hint="eastAsia"/>
        </w:rPr>
        <w:t>提出到货验收申请，</w:t>
      </w:r>
      <w:r>
        <w:rPr>
          <w:rFonts w:hint="eastAsia" w:asciiTheme="minorEastAsia" w:hAnsiTheme="minorEastAsia" w:eastAsiaTheme="minorEastAsia" w:cstheme="minorEastAsia"/>
          <w:szCs w:val="22"/>
        </w:rPr>
        <w:t>采购人同意后，按照职责权限，组织相关部门及人员形成验收小组，验收小组</w:t>
      </w:r>
      <w:r>
        <w:rPr>
          <w:rFonts w:hint="eastAsia"/>
        </w:rPr>
        <w:t>根据谈判文件、响应文件、合同</w:t>
      </w:r>
      <w:r>
        <w:rPr>
          <w:rFonts w:hint="eastAsia" w:asciiTheme="minorEastAsia" w:hAnsiTheme="minorEastAsia" w:eastAsiaTheme="minorEastAsia" w:cstheme="minorEastAsia"/>
          <w:szCs w:val="22"/>
        </w:rPr>
        <w:t>等项目文件约定内容</w:t>
      </w:r>
      <w:r>
        <w:rPr>
          <w:rFonts w:hint="eastAsia"/>
        </w:rPr>
        <w:t>进行货物的包装的检查、开箱检查，对合同货物的品名、型号规格、数量、附件及备件（如产品说明书、产品合格证书）等是否齐全进行核查，核查无误后进行到货验收。合同货物安装调试完毕后，由</w:t>
      </w:r>
      <w:r>
        <w:rPr>
          <w:rFonts w:hint="eastAsia"/>
          <w:lang w:eastAsia="zh-CN"/>
        </w:rPr>
        <w:t>中标供应商</w:t>
      </w:r>
      <w:r>
        <w:rPr>
          <w:rFonts w:hint="eastAsia"/>
        </w:rPr>
        <w:t>提出交付验收申请，</w:t>
      </w:r>
      <w:r>
        <w:rPr>
          <w:rFonts w:hint="eastAsia" w:asciiTheme="minorEastAsia" w:hAnsiTheme="minorEastAsia" w:eastAsiaTheme="minorEastAsia" w:cstheme="minorEastAsia"/>
          <w:szCs w:val="22"/>
        </w:rPr>
        <w:t>采购人同意后，按照职责权限，组织相关部门及人员形成验收小组，验收小组</w:t>
      </w:r>
      <w:r>
        <w:rPr>
          <w:rFonts w:hint="eastAsia"/>
        </w:rPr>
        <w:t>根据谈判文件、响应文件、合同</w:t>
      </w:r>
      <w:r>
        <w:rPr>
          <w:rFonts w:hint="eastAsia" w:asciiTheme="minorEastAsia" w:hAnsiTheme="minorEastAsia" w:eastAsiaTheme="minorEastAsia" w:cstheme="minorEastAsia"/>
          <w:szCs w:val="22"/>
        </w:rPr>
        <w:t>等项目文件约定内容</w:t>
      </w:r>
      <w:r>
        <w:rPr>
          <w:rFonts w:hint="eastAsia"/>
        </w:rPr>
        <w:t>进行交付验收。</w:t>
      </w:r>
    </w:p>
    <w:p>
      <w:pPr>
        <w:pStyle w:val="2"/>
      </w:pPr>
      <w:r>
        <w:rPr>
          <w:rFonts w:hint="eastAsia" w:asciiTheme="minorEastAsia" w:hAnsiTheme="minorEastAsia" w:eastAsiaTheme="minorEastAsia" w:cstheme="minorEastAsia"/>
          <w:szCs w:val="28"/>
        </w:rPr>
        <w:t>6.2.2</w:t>
      </w:r>
      <w:r>
        <w:rPr>
          <w:rFonts w:hint="eastAsia"/>
        </w:rPr>
        <w:t>交付验收标准：依次序对照适用标准为：</w:t>
      </w:r>
    </w:p>
    <w:p>
      <w:pPr>
        <w:pStyle w:val="2"/>
      </w:pPr>
      <w:r>
        <w:rPr>
          <w:rFonts w:hint="eastAsia" w:asciiTheme="minorEastAsia" w:hAnsiTheme="minorEastAsia" w:eastAsiaTheme="minorEastAsia" w:cstheme="minorEastAsia"/>
          <w:szCs w:val="28"/>
        </w:rPr>
        <w:t>（1）</w:t>
      </w:r>
      <w:r>
        <w:rPr>
          <w:rFonts w:hint="eastAsia"/>
        </w:rPr>
        <w:t>符合中华人民共和国国家安全质量标准、环保标准或行业标准；</w:t>
      </w:r>
    </w:p>
    <w:p>
      <w:pPr>
        <w:pStyle w:val="2"/>
      </w:pPr>
      <w:r>
        <w:rPr>
          <w:rFonts w:hint="eastAsia" w:asciiTheme="minorEastAsia" w:hAnsiTheme="minorEastAsia" w:eastAsiaTheme="minorEastAsia" w:cstheme="minorEastAsia"/>
          <w:szCs w:val="28"/>
        </w:rPr>
        <w:t>（2）</w:t>
      </w:r>
      <w:r>
        <w:rPr>
          <w:rFonts w:hint="eastAsia"/>
        </w:rPr>
        <w:t>符合谈判文件和响应承诺中采购人认可的合理最佳配置、参数及各项要求；</w:t>
      </w:r>
    </w:p>
    <w:p>
      <w:pPr>
        <w:pStyle w:val="2"/>
      </w:pPr>
      <w:r>
        <w:rPr>
          <w:rFonts w:hint="eastAsia" w:asciiTheme="minorEastAsia" w:hAnsiTheme="minorEastAsia" w:eastAsiaTheme="minorEastAsia" w:cstheme="minorEastAsia"/>
          <w:szCs w:val="28"/>
        </w:rPr>
        <w:t>（3）</w:t>
      </w:r>
      <w:r>
        <w:rPr>
          <w:rFonts w:hint="eastAsia"/>
        </w:rPr>
        <w:t>货物来源符合官方标准。上述标准必须是有关官方机构发布的最新版本的标准；</w:t>
      </w:r>
    </w:p>
    <w:p>
      <w:pPr>
        <w:pStyle w:val="2"/>
      </w:pPr>
      <w:r>
        <w:rPr>
          <w:rFonts w:hint="eastAsia" w:asciiTheme="minorEastAsia" w:hAnsiTheme="minorEastAsia" w:eastAsiaTheme="minorEastAsia" w:cstheme="minorEastAsia"/>
          <w:szCs w:val="28"/>
        </w:rPr>
        <w:t>（4）</w:t>
      </w:r>
      <w:r>
        <w:rPr>
          <w:rFonts w:hint="eastAsia"/>
        </w:rPr>
        <w:t>如谈判文件的技术要求或谈判文件中承诺的技术要求，高于国家或行业标准，以高的标准进行验收。</w:t>
      </w:r>
    </w:p>
    <w:p>
      <w:pPr>
        <w:pStyle w:val="2"/>
        <w:rPr>
          <w:rFonts w:asciiTheme="minorEastAsia" w:hAnsiTheme="minorEastAsia" w:eastAsiaTheme="minorEastAsia" w:cstheme="minorEastAsia"/>
          <w:szCs w:val="22"/>
        </w:rPr>
      </w:pPr>
      <w:r>
        <w:rPr>
          <w:rFonts w:hint="eastAsia" w:asciiTheme="minorEastAsia" w:hAnsiTheme="minorEastAsia" w:eastAsiaTheme="minorEastAsia" w:cstheme="minorEastAsia"/>
          <w:szCs w:val="28"/>
        </w:rPr>
        <w:t>6.2.3</w:t>
      </w:r>
      <w:r>
        <w:rPr>
          <w:rFonts w:hint="eastAsia"/>
        </w:rPr>
        <w:t>视项目实施情况，采购人有权选择是否邀请第三方人员或检测机构，对货物进行验收或检测。检测费用、验收小组评审费及其他相关费用由</w:t>
      </w:r>
      <w:r>
        <w:rPr>
          <w:rFonts w:hint="eastAsia"/>
          <w:lang w:eastAsia="zh-CN"/>
        </w:rPr>
        <w:t>中标供应商</w:t>
      </w:r>
      <w:r>
        <w:rPr>
          <w:rFonts w:hint="eastAsia"/>
        </w:rPr>
        <w:t>独立承担。如货物未能通过检测验收，</w:t>
      </w:r>
      <w:r>
        <w:rPr>
          <w:rFonts w:hint="eastAsia"/>
          <w:lang w:eastAsia="zh-CN"/>
        </w:rPr>
        <w:t>中标供应商</w:t>
      </w:r>
      <w:r>
        <w:rPr>
          <w:rFonts w:hint="eastAsia"/>
        </w:rPr>
        <w:t>应按照采购人的要求更换相应货物直至达标，并承担由此产生的一切费用和损失。</w:t>
      </w:r>
      <w:r>
        <w:rPr>
          <w:rFonts w:hint="eastAsia" w:asciiTheme="minorEastAsia" w:hAnsiTheme="minorEastAsia" w:eastAsiaTheme="minorEastAsia" w:cstheme="minorEastAsia"/>
          <w:szCs w:val="22"/>
        </w:rPr>
        <w:t>如验收达不到规定要求，采购人有权要求更换货物或拒绝付款，</w:t>
      </w:r>
      <w:r>
        <w:rPr>
          <w:rFonts w:hint="eastAsia" w:asciiTheme="minorEastAsia" w:hAnsiTheme="minorEastAsia" w:eastAsiaTheme="minorEastAsia" w:cstheme="minorEastAsia"/>
          <w:szCs w:val="22"/>
          <w:lang w:eastAsia="zh-CN"/>
        </w:rPr>
        <w:t>中标供应商</w:t>
      </w:r>
      <w:r>
        <w:rPr>
          <w:rFonts w:hint="eastAsia" w:asciiTheme="minorEastAsia" w:hAnsiTheme="minorEastAsia" w:eastAsiaTheme="minorEastAsia" w:cstheme="minorEastAsia"/>
          <w:szCs w:val="22"/>
        </w:rPr>
        <w:t>若违约，采购人将依法追究相应法律责任。</w:t>
      </w:r>
    </w:p>
    <w:p>
      <w:pPr>
        <w:rPr>
          <w:rFonts w:ascii="宋体" w:hAnsi="宋体" w:cs="宋体"/>
          <w:szCs w:val="28"/>
        </w:rPr>
      </w:pPr>
      <w:r>
        <w:rPr>
          <w:rFonts w:hint="eastAsia" w:ascii="宋体" w:hAnsi="宋体" w:cs="宋体"/>
          <w:szCs w:val="28"/>
        </w:rPr>
        <w:t>6.2.4技术服务：在进行最终验收之前，</w:t>
      </w:r>
      <w:r>
        <w:rPr>
          <w:rFonts w:hint="eastAsia" w:ascii="宋体" w:hAnsi="宋体" w:cs="宋体"/>
          <w:szCs w:val="28"/>
          <w:lang w:eastAsia="zh-CN"/>
        </w:rPr>
        <w:t>中标供应商</w:t>
      </w:r>
      <w:r>
        <w:rPr>
          <w:rFonts w:hint="eastAsia" w:ascii="宋体" w:hAnsi="宋体" w:cs="宋体"/>
          <w:szCs w:val="28"/>
        </w:rPr>
        <w:t>必须将所有相关技术资料（包含并不仅限于：所提供产品的使用说明书、合格证、服务手册等）交采购人留存备案。</w:t>
      </w:r>
    </w:p>
    <w:p>
      <w:pPr>
        <w:spacing w:line="360" w:lineRule="auto"/>
        <w:jc w:val="left"/>
        <w:rPr>
          <w:rFonts w:ascii="宋体" w:hAnsi="宋体" w:cs="宋体"/>
          <w:b/>
          <w:bCs/>
          <w:szCs w:val="28"/>
        </w:rPr>
      </w:pPr>
      <w:r>
        <w:rPr>
          <w:rFonts w:hint="eastAsia" w:ascii="宋体" w:hAnsi="宋体" w:cs="宋体"/>
          <w:b/>
          <w:bCs/>
          <w:szCs w:val="28"/>
        </w:rPr>
        <w:t>6.3其他要求</w:t>
      </w:r>
    </w:p>
    <w:p>
      <w:pPr>
        <w:ind w:firstLine="420" w:firstLineChars="200"/>
        <w:rPr>
          <w:rFonts w:ascii="宋体" w:hAnsi="宋体" w:cs="宋体"/>
          <w:szCs w:val="28"/>
        </w:rPr>
      </w:pPr>
      <w:r>
        <w:rPr>
          <w:rFonts w:hint="eastAsia" w:ascii="宋体" w:hAnsi="宋体" w:cs="宋体"/>
          <w:szCs w:val="28"/>
          <w:lang w:eastAsia="zh-CN"/>
        </w:rPr>
        <w:t>中标供应商</w:t>
      </w:r>
      <w:r>
        <w:rPr>
          <w:rFonts w:hint="eastAsia" w:ascii="宋体" w:hAnsi="宋体" w:cs="宋体"/>
          <w:szCs w:val="28"/>
        </w:rPr>
        <w:t>应保证采购人在使用该产品或其任何一部分时不受第三方提出侵犯其专利权、商标权和设计权的起诉。如果任何第三方提出侵权指控或赔偿要求，</w:t>
      </w:r>
      <w:r>
        <w:rPr>
          <w:rFonts w:hint="eastAsia" w:ascii="宋体" w:hAnsi="宋体" w:cs="宋体"/>
          <w:szCs w:val="28"/>
          <w:lang w:eastAsia="zh-CN"/>
        </w:rPr>
        <w:t>中标供应商</w:t>
      </w:r>
      <w:r>
        <w:rPr>
          <w:rFonts w:hint="eastAsia" w:ascii="宋体" w:hAnsi="宋体" w:cs="宋体"/>
          <w:szCs w:val="28"/>
        </w:rPr>
        <w:t>必须与第三方交涉，并承担发生和可能发生的一切损失、费用和法律责任。</w:t>
      </w:r>
    </w:p>
    <w:p>
      <w:pPr>
        <w:pStyle w:val="2"/>
        <w:rPr>
          <w:rFonts w:hint="eastAsia" w:ascii="宋体" w:hAnsi="宋体" w:cs="宋体"/>
          <w:b/>
          <w:szCs w:val="28"/>
          <w:highlight w:val="none"/>
        </w:rPr>
      </w:pPr>
    </w:p>
    <w:p>
      <w:pPr>
        <w:pStyle w:val="2"/>
        <w:rPr>
          <w:rFonts w:ascii="宋体" w:hAnsi="宋体" w:cs="宋体"/>
          <w:b/>
          <w:szCs w:val="28"/>
          <w:highlight w:val="none"/>
        </w:rPr>
      </w:pPr>
      <w:r>
        <w:rPr>
          <w:rFonts w:hint="eastAsia" w:ascii="宋体" w:hAnsi="宋体" w:cs="宋体"/>
          <w:b/>
          <w:szCs w:val="28"/>
          <w:highlight w:val="none"/>
        </w:rPr>
        <w:t>注：以上所有商务要求，供应商必须完全满足或优于，否则视为</w:t>
      </w:r>
      <w:r>
        <w:rPr>
          <w:rFonts w:hint="eastAsia" w:ascii="宋体" w:hAnsi="宋体" w:cs="宋体"/>
          <w:b/>
          <w:szCs w:val="28"/>
          <w:highlight w:val="none"/>
          <w:lang w:eastAsia="zh-CN"/>
        </w:rPr>
        <w:t>无效投标</w:t>
      </w:r>
      <w:r>
        <w:rPr>
          <w:rFonts w:hint="eastAsia" w:ascii="宋体" w:hAnsi="宋体" w:cs="宋体"/>
          <w:b/>
          <w:szCs w:val="28"/>
          <w:highlight w:val="none"/>
        </w:rPr>
        <w:t>。</w:t>
      </w:r>
    </w:p>
    <w:p>
      <w:pPr>
        <w:rPr>
          <w:rFonts w:hint="eastAsia" w:cs="仿宋" w:asciiTheme="minorEastAsia" w:hAnsiTheme="minorEastAsia" w:eastAsiaTheme="minorEastAsia"/>
          <w:b/>
          <w:color w:val="auto"/>
          <w:sz w:val="30"/>
          <w:szCs w:val="30"/>
          <w:highlight w:val="none"/>
        </w:rPr>
      </w:pPr>
      <w:r>
        <w:rPr>
          <w:rFonts w:hint="eastAsia" w:cs="仿宋" w:asciiTheme="minorEastAsia" w:hAnsiTheme="minorEastAsia" w:eastAsiaTheme="minorEastAsia"/>
          <w:b/>
          <w:color w:val="auto"/>
          <w:sz w:val="30"/>
          <w:szCs w:val="30"/>
          <w:highlight w:val="none"/>
        </w:rPr>
        <w:br w:type="page"/>
      </w:r>
    </w:p>
    <w:p>
      <w:pPr>
        <w:pStyle w:val="3"/>
        <w:jc w:val="center"/>
        <w:rPr>
          <w:rFonts w:cs="仿宋" w:asciiTheme="minorEastAsia" w:hAnsiTheme="minorEastAsia" w:eastAsiaTheme="minorEastAsia"/>
          <w:b/>
          <w:color w:val="auto"/>
          <w:sz w:val="24"/>
          <w:szCs w:val="24"/>
          <w:highlight w:val="none"/>
        </w:rPr>
      </w:pPr>
      <w:bookmarkStart w:id="128" w:name="_Toc14297"/>
      <w:r>
        <w:rPr>
          <w:rFonts w:hint="eastAsia" w:cs="仿宋" w:asciiTheme="minorEastAsia" w:hAnsiTheme="minorEastAsia" w:eastAsiaTheme="minorEastAsia"/>
          <w:b/>
          <w:color w:val="auto"/>
          <w:sz w:val="30"/>
          <w:szCs w:val="30"/>
          <w:highlight w:val="none"/>
        </w:rPr>
        <w:t>第六章  评标标准</w:t>
      </w:r>
      <w:bookmarkEnd w:id="128"/>
    </w:p>
    <w:p>
      <w:pPr>
        <w:pStyle w:val="3"/>
        <w:rPr>
          <w:rFonts w:hAnsi="宋体" w:cs="宋体"/>
          <w:b/>
          <w:color w:val="auto"/>
          <w:sz w:val="32"/>
          <w:szCs w:val="32"/>
          <w:highlight w:val="none"/>
        </w:rPr>
      </w:pPr>
    </w:p>
    <w:p>
      <w:pPr>
        <w:rPr>
          <w:rFonts w:ascii="宋体" w:hAnsi="宋体" w:cs="宋体"/>
          <w:color w:val="auto"/>
          <w:highlight w:val="none"/>
        </w:rPr>
      </w:pPr>
    </w:p>
    <w:p>
      <w:pPr>
        <w:spacing w:line="400" w:lineRule="exact"/>
        <w:rPr>
          <w:rFonts w:ascii="宋体" w:hAnsi="宋体" w:cs="宋体"/>
          <w:b/>
          <w:color w:val="auto"/>
          <w:sz w:val="28"/>
          <w:szCs w:val="28"/>
          <w:highlight w:val="none"/>
        </w:rPr>
      </w:pPr>
      <w:r>
        <w:rPr>
          <w:rFonts w:hint="eastAsia" w:ascii="宋体" w:hAnsi="宋体" w:cs="宋体"/>
          <w:b/>
          <w:color w:val="auto"/>
          <w:sz w:val="28"/>
          <w:szCs w:val="28"/>
          <w:highlight w:val="none"/>
        </w:rPr>
        <w:t>一、符合性审查</w:t>
      </w:r>
    </w:p>
    <w:p>
      <w:pPr>
        <w:spacing w:line="400" w:lineRule="exact"/>
        <w:ind w:left="564" w:leftChars="114" w:hanging="325" w:hangingChars="135"/>
        <w:rPr>
          <w:rFonts w:ascii="宋体" w:hAnsi="宋体" w:cs="宋体"/>
          <w:b/>
          <w:color w:val="auto"/>
          <w:sz w:val="24"/>
          <w:szCs w:val="24"/>
          <w:highlight w:val="none"/>
        </w:rPr>
      </w:pPr>
      <w:r>
        <w:rPr>
          <w:rFonts w:hint="eastAsia" w:ascii="宋体" w:hAnsi="宋体" w:cs="宋体"/>
          <w:b/>
          <w:color w:val="auto"/>
          <w:sz w:val="24"/>
          <w:szCs w:val="24"/>
          <w:highlight w:val="none"/>
        </w:rPr>
        <w:t>不符合下列情况之一的，其投标将作无效投标处理：</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1) 通过电子化政府采购系统提交的投标文件须正常打开；</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2) 须提交开标一览表、分项报价表、开标一览明细表，开标一览明细表中应列出分项报价；</w:t>
      </w:r>
    </w:p>
    <w:p>
      <w:pPr>
        <w:spacing w:line="400" w:lineRule="exact"/>
        <w:ind w:left="360" w:hanging="360" w:hangingChars="150"/>
        <w:rPr>
          <w:rFonts w:ascii="宋体" w:hAnsi="宋体" w:cs="宋体"/>
          <w:color w:val="auto"/>
          <w:sz w:val="24"/>
          <w:szCs w:val="24"/>
          <w:highlight w:val="none"/>
        </w:rPr>
      </w:pPr>
      <w:r>
        <w:rPr>
          <w:rFonts w:hint="eastAsia" w:ascii="宋体" w:hAnsi="宋体" w:cs="宋体"/>
          <w:color w:val="auto"/>
          <w:sz w:val="24"/>
          <w:szCs w:val="24"/>
          <w:highlight w:val="none"/>
        </w:rPr>
        <w:t>3) 须提交唯一固定报价；</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4) 投标报价不得超过政府采购项目预算；</w:t>
      </w:r>
    </w:p>
    <w:p>
      <w:pPr>
        <w:shd w:val="clear" w:fill="FFFFFF" w:themeFill="background1"/>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5) 投标有效期应满足招标文件要求；</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6) 应按招标文件“第四章格式7”的规定提供资格证明文件；</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7) 应按招标文件要求签字、签章，签字（签章）人应有法定代表人的有效委托；</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8) 响应内容不得与事实不符或虚假投标；</w:t>
      </w:r>
    </w:p>
    <w:p>
      <w:pPr>
        <w:spacing w:line="400" w:lineRule="exact"/>
        <w:ind w:left="360" w:hanging="360" w:hangingChars="150"/>
        <w:rPr>
          <w:rFonts w:ascii="宋体" w:hAnsi="宋体" w:cs="宋体"/>
          <w:b/>
          <w:color w:val="auto"/>
          <w:sz w:val="24"/>
          <w:szCs w:val="24"/>
          <w:highlight w:val="none"/>
        </w:rPr>
      </w:pPr>
      <w:r>
        <w:rPr>
          <w:rFonts w:hint="eastAsia" w:ascii="宋体" w:hAnsi="宋体" w:cs="宋体"/>
          <w:color w:val="auto"/>
          <w:sz w:val="24"/>
          <w:szCs w:val="24"/>
          <w:highlight w:val="none"/>
        </w:rPr>
        <w:t>9) 没有招标文件规定的其它无效投标情形。</w:t>
      </w:r>
    </w:p>
    <w:p>
      <w:pPr>
        <w:spacing w:line="360" w:lineRule="exact"/>
        <w:rPr>
          <w:rFonts w:ascii="宋体" w:hAnsi="宋体" w:cs="宋体"/>
          <w:b/>
          <w:color w:val="auto"/>
          <w:sz w:val="32"/>
          <w:szCs w:val="32"/>
          <w:highlight w:val="none"/>
        </w:rPr>
      </w:pPr>
    </w:p>
    <w:p>
      <w:pPr>
        <w:rPr>
          <w:rFonts w:ascii="宋体" w:hAnsi="宋体" w:cs="宋体"/>
          <w:color w:val="auto"/>
          <w:highlight w:val="none"/>
        </w:rPr>
      </w:pPr>
    </w:p>
    <w:p>
      <w:pPr>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废标情形</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在招标采购中，出现下列情形之一的，应予废标：</w:t>
      </w:r>
    </w:p>
    <w:p>
      <w:pPr>
        <w:spacing w:line="44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1）符合专业条件的供应商或者对招标文件作实质响应的供应商不足三家的；</w:t>
      </w:r>
    </w:p>
    <w:p>
      <w:pPr>
        <w:spacing w:line="44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2）出现影响采购公正的违法、违规行为的；</w:t>
      </w:r>
    </w:p>
    <w:p>
      <w:pPr>
        <w:spacing w:line="44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3）投标人的报价均超过了采购预算，采购人不能支付的；</w:t>
      </w:r>
    </w:p>
    <w:p>
      <w:pPr>
        <w:spacing w:line="440" w:lineRule="exact"/>
        <w:ind w:firstLine="240" w:firstLineChars="100"/>
        <w:rPr>
          <w:rFonts w:cs="仿宋" w:asciiTheme="minorEastAsia" w:hAnsiTheme="minorEastAsia" w:eastAsiaTheme="minorEastAsia"/>
          <w:b/>
          <w:color w:val="auto"/>
          <w:sz w:val="24"/>
          <w:szCs w:val="24"/>
          <w:highlight w:val="none"/>
        </w:rPr>
      </w:pPr>
      <w:r>
        <w:rPr>
          <w:rFonts w:hint="eastAsia" w:ascii="宋体" w:hAnsi="宋体" w:cs="宋体"/>
          <w:color w:val="auto"/>
          <w:sz w:val="24"/>
          <w:szCs w:val="24"/>
          <w:highlight w:val="none"/>
        </w:rPr>
        <w:t>4）因重大变故，采购任务取消。</w:t>
      </w:r>
    </w:p>
    <w:p>
      <w:pPr>
        <w:spacing w:line="400" w:lineRule="exact"/>
        <w:rPr>
          <w:rFonts w:cs="仿宋" w:asciiTheme="minorEastAsia" w:hAnsiTheme="minorEastAsia" w:eastAsiaTheme="minorEastAsia"/>
          <w:b/>
          <w:color w:val="auto"/>
          <w:sz w:val="24"/>
          <w:szCs w:val="24"/>
          <w:highlight w:val="none"/>
        </w:rPr>
      </w:pPr>
    </w:p>
    <w:p>
      <w:pPr>
        <w:pStyle w:val="4"/>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b/>
          <w:color w:val="auto"/>
          <w:sz w:val="24"/>
          <w:szCs w:val="24"/>
          <w:highlight w:val="none"/>
        </w:rPr>
      </w:pPr>
    </w:p>
    <w:p>
      <w:pPr>
        <w:pStyle w:val="4"/>
        <w:rPr>
          <w:rFonts w:cs="仿宋" w:asciiTheme="minorEastAsia" w:hAnsiTheme="minorEastAsia" w:eastAsiaTheme="minorEastAsia"/>
          <w:color w:val="auto"/>
          <w:sz w:val="24"/>
          <w:szCs w:val="24"/>
          <w:highlight w:val="none"/>
        </w:rPr>
      </w:pPr>
    </w:p>
    <w:p>
      <w:pPr>
        <w:rPr>
          <w:rFonts w:cs="仿宋" w:asciiTheme="minorEastAsia" w:hAnsiTheme="minorEastAsia" w:eastAsiaTheme="minorEastAsia"/>
          <w:b/>
          <w:color w:val="auto"/>
          <w:sz w:val="24"/>
          <w:szCs w:val="24"/>
          <w:highlight w:val="none"/>
        </w:rPr>
      </w:pPr>
    </w:p>
    <w:p>
      <w:pPr>
        <w:pStyle w:val="4"/>
        <w:rPr>
          <w:rFonts w:cs="仿宋" w:asciiTheme="minorEastAsia" w:hAnsiTheme="minorEastAsia" w:eastAsiaTheme="minorEastAsia"/>
          <w:color w:val="auto"/>
          <w:sz w:val="24"/>
          <w:szCs w:val="24"/>
          <w:highlight w:val="none"/>
        </w:rPr>
      </w:pPr>
    </w:p>
    <w:p>
      <w:pPr>
        <w:rPr>
          <w:color w:val="auto"/>
          <w:highlight w:val="none"/>
        </w:rPr>
      </w:pPr>
    </w:p>
    <w:p>
      <w:pPr>
        <w:rPr>
          <w:rFonts w:cs="仿宋" w:asciiTheme="minorEastAsia" w:hAnsiTheme="minorEastAsia" w:eastAsiaTheme="minorEastAsia"/>
          <w:b/>
          <w:color w:val="auto"/>
          <w:sz w:val="24"/>
          <w:szCs w:val="24"/>
          <w:highlight w:val="none"/>
        </w:rPr>
      </w:pPr>
    </w:p>
    <w:p>
      <w:pPr>
        <w:pStyle w:val="6"/>
        <w:numPr>
          <w:ilvl w:val="0"/>
          <w:numId w:val="8"/>
        </w:numPr>
        <w:outlineLvl w:val="3"/>
        <w:rPr>
          <w:sz w:val="24"/>
          <w:szCs w:val="24"/>
        </w:rPr>
      </w:pPr>
      <w:r>
        <w:rPr>
          <w:rFonts w:hint="eastAsia"/>
          <w:sz w:val="24"/>
          <w:szCs w:val="24"/>
        </w:rPr>
        <w:t>评分标准</w:t>
      </w:r>
    </w:p>
    <w:p>
      <w:pPr>
        <w:shd w:val="clear" w:color="auto" w:fill="FFFFFF"/>
        <w:spacing w:before="100" w:beforeAutospacing="1" w:after="100" w:afterAutospacing="1" w:line="360" w:lineRule="auto"/>
        <w:ind w:firstLine="360" w:firstLineChars="150"/>
        <w:rPr>
          <w:rFonts w:ascii="宋体" w:hAnsi="宋体"/>
          <w:sz w:val="24"/>
          <w:szCs w:val="24"/>
        </w:rPr>
      </w:pPr>
      <w:r>
        <w:rPr>
          <w:rFonts w:hint="eastAsia" w:ascii="宋体" w:hAnsi="宋体"/>
          <w:sz w:val="24"/>
          <w:szCs w:val="24"/>
        </w:rPr>
        <w:t>评标委员会应当按照招标文件中规定的评标方法和标准，对符合性审查合格的投标文件进行商务和技术评估，综合比较与评价。</w:t>
      </w:r>
    </w:p>
    <w:bookmarkEnd w:id="5"/>
    <w:bookmarkEnd w:id="61"/>
    <w:bookmarkEnd w:id="62"/>
    <w:tbl>
      <w:tblPr>
        <w:tblStyle w:val="4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147"/>
        <w:gridCol w:w="4"/>
        <w:gridCol w:w="7063"/>
        <w:gridCol w:w="2"/>
        <w:gridCol w:w="1064"/>
        <w:gridCol w:w="4"/>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1" w:type="pct"/>
          <w:trHeight w:val="541" w:hRule="atLeast"/>
          <w:jc w:val="center"/>
        </w:trPr>
        <w:tc>
          <w:tcPr>
            <w:tcW w:w="4998" w:type="pct"/>
            <w:gridSpan w:val="6"/>
            <w:shd w:val="clear" w:color="auto" w:fill="FFFFFF" w:themeFill="background1"/>
            <w:vAlign w:val="center"/>
          </w:tcPr>
          <w:p>
            <w:pPr>
              <w:widowControl w:val="0"/>
              <w:spacing w:after="0" w:line="440" w:lineRule="exact"/>
              <w:jc w:val="center"/>
              <w:rPr>
                <w:rFonts w:hint="eastAsia" w:ascii="宋体" w:hAnsi="宋体" w:eastAsia="宋体" w:cs="宋体"/>
                <w:color w:val="auto"/>
                <w:kern w:val="2"/>
                <w:sz w:val="24"/>
                <w:szCs w:val="24"/>
                <w:highlight w:val="none"/>
              </w:rPr>
            </w:pPr>
            <w:r>
              <w:rPr>
                <w:rFonts w:hint="eastAsia" w:ascii="宋体" w:hAnsi="宋体" w:eastAsia="宋体" w:cs="宋体"/>
                <w:b/>
                <w:bCs/>
                <w:color w:val="auto"/>
                <w:spacing w:val="1"/>
                <w:sz w:val="24"/>
                <w:szCs w:val="24"/>
                <w:highlight w:val="none"/>
              </w:rPr>
              <w:t>价格部分（</w:t>
            </w:r>
            <w:r>
              <w:rPr>
                <w:rFonts w:hint="eastAsia" w:ascii="宋体" w:hAnsi="宋体" w:cs="宋体"/>
                <w:b/>
                <w:bCs/>
                <w:color w:val="auto"/>
                <w:spacing w:val="1"/>
                <w:sz w:val="24"/>
                <w:szCs w:val="24"/>
                <w:highlight w:val="none"/>
                <w:lang w:val="en-US" w:eastAsia="zh-CN"/>
              </w:rPr>
              <w:t>15</w:t>
            </w:r>
            <w:r>
              <w:rPr>
                <w:rFonts w:hint="eastAsia" w:ascii="宋体" w:hAnsi="宋体" w:eastAsia="宋体" w:cs="宋体"/>
                <w:b/>
                <w:bCs/>
                <w:color w:val="auto"/>
                <w:spacing w:val="1"/>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1" w:type="pct"/>
          <w:trHeight w:val="541" w:hRule="atLeast"/>
          <w:jc w:val="center"/>
        </w:trPr>
        <w:tc>
          <w:tcPr>
            <w:tcW w:w="4422" w:type="pct"/>
            <w:gridSpan w:val="3"/>
            <w:shd w:val="clear" w:color="auto" w:fill="FFFFFF" w:themeFill="background1"/>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576" w:type="pct"/>
            <w:gridSpan w:val="3"/>
            <w:shd w:val="clear" w:color="auto" w:fill="FFFFFF" w:themeFill="background1"/>
            <w:vAlign w:val="center"/>
          </w:tcPr>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1" w:type="pct"/>
          <w:trHeight w:val="2302" w:hRule="atLeast"/>
          <w:jc w:val="center"/>
        </w:trPr>
        <w:tc>
          <w:tcPr>
            <w:tcW w:w="4422" w:type="pct"/>
            <w:gridSpan w:val="3"/>
            <w:shd w:val="clear" w:color="auto" w:fill="FFFFFF" w:themeFill="background1"/>
            <w:vAlign w:val="center"/>
          </w:tcPr>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价格分采用低价优先法计算，即满足招标文件要求且投标价格最低的投标报价为评标基准价，其价格分为满分。其他投标人的价格分统一按照下列公式计算： </w:t>
            </w:r>
          </w:p>
          <w:p>
            <w:pPr>
              <w:keepNext w:val="0"/>
              <w:keepLines w:val="0"/>
              <w:widowControl/>
              <w:suppressLineNumbers w:val="0"/>
              <w:jc w:val="left"/>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投标报价得分=(评标基准价／投标报价)×</w:t>
            </w:r>
            <w:r>
              <w:rPr>
                <w:rFonts w:hint="eastAsia" w:ascii="宋体" w:hAnsi="宋体" w:cs="宋体"/>
                <w:color w:val="auto"/>
                <w:kern w:val="0"/>
                <w:sz w:val="24"/>
                <w:szCs w:val="24"/>
                <w:highlight w:val="none"/>
                <w:lang w:val="en-US" w:eastAsia="zh-CN" w:bidi="ar"/>
              </w:rPr>
              <w:t>15</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注：（1）对小型和微型企业的报价给予10%的扣除，用扣除后的价格参与评审。（适用于非专门面向中小企业）</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（2）监狱企业、残疾人福利性单位视同小型、微型企业，享受评审中价格扣除等政府促进中小企业发展的政府采购政策。</w:t>
            </w:r>
          </w:p>
        </w:tc>
        <w:tc>
          <w:tcPr>
            <w:tcW w:w="576" w:type="pct"/>
            <w:gridSpan w:val="3"/>
            <w:shd w:val="clear" w:color="auto" w:fill="FFFFFF" w:themeFill="background1"/>
            <w:vAlign w:val="center"/>
          </w:tcPr>
          <w:p>
            <w:pPr>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1" w:type="pct"/>
          <w:trHeight w:val="774" w:hRule="atLeast"/>
          <w:jc w:val="center"/>
        </w:trPr>
        <w:tc>
          <w:tcPr>
            <w:tcW w:w="4998" w:type="pct"/>
            <w:gridSpan w:val="6"/>
            <w:shd w:val="clear" w:color="auto" w:fill="FFFFFF" w:themeFill="background1"/>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技术部分（</w:t>
            </w:r>
            <w:r>
              <w:rPr>
                <w:rFonts w:hint="eastAsia" w:ascii="宋体" w:hAnsi="宋体" w:cs="宋体"/>
                <w:b/>
                <w:bCs/>
                <w:color w:val="auto"/>
                <w:kern w:val="0"/>
                <w:sz w:val="24"/>
                <w:szCs w:val="24"/>
                <w:highlight w:val="none"/>
                <w:lang w:val="en-US" w:eastAsia="zh-CN" w:bidi="ar"/>
              </w:rPr>
              <w:t>28</w:t>
            </w:r>
            <w:r>
              <w:rPr>
                <w:rFonts w:hint="eastAsia" w:ascii="宋体" w:hAnsi="宋体" w:eastAsia="宋体" w:cs="宋体"/>
                <w:b/>
                <w:bCs/>
                <w:color w:val="auto"/>
                <w:kern w:val="0"/>
                <w:sz w:val="24"/>
                <w:szCs w:val="24"/>
                <w:highlight w:val="no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2"/>
          <w:wAfter w:w="3" w:type="pct"/>
          <w:trHeight w:val="528" w:hRule="atLeast"/>
          <w:jc w:val="center"/>
        </w:trPr>
        <w:tc>
          <w:tcPr>
            <w:tcW w:w="4422" w:type="pct"/>
            <w:gridSpan w:val="3"/>
            <w:shd w:val="clear" w:color="auto" w:fill="FFFFFF" w:themeFill="background1"/>
            <w:vAlign w:val="center"/>
          </w:tcPr>
          <w:p>
            <w:pPr>
              <w:jc w:val="center"/>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rPr>
              <w:t>评审内容</w:t>
            </w:r>
          </w:p>
        </w:tc>
        <w:tc>
          <w:tcPr>
            <w:tcW w:w="574" w:type="pct"/>
            <w:gridSpan w:val="2"/>
            <w:shd w:val="clear" w:color="auto" w:fill="FFFFFF" w:themeFill="background1"/>
            <w:vAlign w:val="center"/>
          </w:tcPr>
          <w:p>
            <w:pPr>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2"/>
          <w:wAfter w:w="3" w:type="pct"/>
          <w:trHeight w:val="1052" w:hRule="atLeast"/>
          <w:jc w:val="center"/>
        </w:trPr>
        <w:tc>
          <w:tcPr>
            <w:tcW w:w="618" w:type="pct"/>
            <w:shd w:val="clear" w:color="auto" w:fill="FFFFFF" w:themeFill="background1"/>
            <w:vAlign w:val="center"/>
          </w:tcPr>
          <w:p>
            <w:pPr>
              <w:keepNext w:val="0"/>
              <w:keepLines w:val="0"/>
              <w:widowControl/>
              <w:suppressLineNumbers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技术符合性审查</w:t>
            </w:r>
          </w:p>
        </w:tc>
        <w:tc>
          <w:tcPr>
            <w:tcW w:w="3803" w:type="pct"/>
            <w:gridSpan w:val="2"/>
            <w:shd w:val="clear" w:color="auto" w:fill="FFFFFF" w:themeFill="background1"/>
            <w:vAlign w:val="center"/>
          </w:tcPr>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投标文件对招标文件中“技术要求”中的全部条款须完全响应，否则视为无效投标。</w:t>
            </w:r>
          </w:p>
          <w:p>
            <w:pPr>
              <w:keepNext w:val="0"/>
              <w:keepLines w:val="0"/>
              <w:widowControl/>
              <w:suppressLineNumbers w:val="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
              </w:rPr>
              <w:t>评审依据：投标文件中提供“采购要求响应/偏离表”或“技术需求完全响应承诺函”，文件另有约定的从其约定。</w:t>
            </w:r>
          </w:p>
        </w:tc>
        <w:tc>
          <w:tcPr>
            <w:tcW w:w="574" w:type="pct"/>
            <w:gridSpan w:val="2"/>
            <w:shd w:val="clear" w:color="auto" w:fill="FFFFFF" w:themeFill="background1"/>
            <w:vAlign w:val="center"/>
          </w:tcPr>
          <w:p>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gridAfter w:val="2"/>
          <w:wAfter w:w="3" w:type="pct"/>
          <w:trHeight w:val="457" w:hRule="atLeast"/>
          <w:jc w:val="center"/>
        </w:trPr>
        <w:tc>
          <w:tcPr>
            <w:tcW w:w="618" w:type="pct"/>
            <w:shd w:val="clear" w:color="auto" w:fill="FFFFFF" w:themeFill="background1"/>
            <w:vAlign w:val="center"/>
          </w:tcPr>
          <w:p>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rPr>
              <w:t>台式</w:t>
            </w:r>
            <w:r>
              <w:rPr>
                <w:rFonts w:hint="eastAsia" w:ascii="宋体" w:hAnsi="宋体" w:eastAsia="宋体" w:cs="宋体"/>
                <w:b/>
                <w:bCs/>
                <w:color w:val="auto"/>
                <w:kern w:val="2"/>
                <w:sz w:val="24"/>
                <w:szCs w:val="24"/>
                <w:highlight w:val="none"/>
              </w:rPr>
              <w:t>计算机</w:t>
            </w:r>
            <w:r>
              <w:rPr>
                <w:rFonts w:hint="eastAsia" w:ascii="宋体" w:hAnsi="宋体" w:cs="宋体"/>
                <w:b/>
                <w:bCs/>
                <w:color w:val="auto"/>
                <w:kern w:val="2"/>
                <w:sz w:val="24"/>
                <w:szCs w:val="24"/>
                <w:highlight w:val="none"/>
                <w:lang w:val="en-US" w:eastAsia="zh-CN"/>
              </w:rPr>
              <w:t>2</w:t>
            </w:r>
          </w:p>
        </w:tc>
        <w:tc>
          <w:tcPr>
            <w:tcW w:w="3803" w:type="pct"/>
            <w:gridSpan w:val="2"/>
            <w:shd w:val="clear" w:color="auto" w:fill="FFFFFF" w:themeFill="background1"/>
            <w:vAlign w:val="center"/>
          </w:tcPr>
          <w:p>
            <w:pPr>
              <w:widowControl/>
              <w:spacing w:before="0" w:beforeAutospacing="0" w:after="0" w:line="240" w:lineRule="auto"/>
              <w:contextualSpacing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内存：</w:t>
            </w:r>
            <w:r>
              <w:rPr>
                <w:rFonts w:hint="eastAsia" w:ascii="宋体" w:hAnsi="宋体" w:eastAsia="宋体" w:cs="宋体"/>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GB</w:t>
            </w:r>
            <w:r>
              <w:rPr>
                <w:rFonts w:hint="eastAsia" w:ascii="宋体" w:hAnsi="宋体" w:cs="宋体"/>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得</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分</w:t>
            </w:r>
          </w:p>
          <w:p>
            <w:pPr>
              <w:widowControl/>
              <w:spacing w:before="0" w:beforeAutospacing="0" w:after="0" w:line="240" w:lineRule="auto"/>
              <w:contextualSpacing w:val="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评审依据：</w:t>
            </w:r>
            <w:r>
              <w:rPr>
                <w:rFonts w:hint="eastAsia" w:ascii="宋体" w:hAnsi="宋体" w:eastAsia="宋体" w:cs="宋体"/>
                <w:b/>
                <w:bCs w:val="0"/>
                <w:color w:val="auto"/>
                <w:sz w:val="24"/>
                <w:szCs w:val="24"/>
                <w:highlight w:val="none"/>
                <w:lang w:val="en-US" w:eastAsia="zh-CN"/>
              </w:rPr>
              <w:t>投标文件中</w:t>
            </w:r>
            <w:r>
              <w:rPr>
                <w:rFonts w:hint="eastAsia" w:ascii="宋体" w:hAnsi="宋体" w:eastAsia="宋体" w:cs="宋体"/>
                <w:b/>
                <w:bCs w:val="0"/>
                <w:color w:val="auto"/>
                <w:sz w:val="24"/>
                <w:szCs w:val="24"/>
                <w:highlight w:val="none"/>
              </w:rPr>
              <w:t>提供</w:t>
            </w:r>
            <w:r>
              <w:rPr>
                <w:rFonts w:hint="eastAsia" w:ascii="宋体" w:hAnsi="宋体" w:eastAsia="宋体" w:cs="宋体"/>
                <w:b/>
                <w:bCs w:val="0"/>
                <w:color w:val="auto"/>
                <w:sz w:val="24"/>
                <w:szCs w:val="24"/>
                <w:highlight w:val="none"/>
                <w:lang w:val="en-US" w:eastAsia="zh-CN"/>
              </w:rPr>
              <w:t>符合上述要求的加盖制造商公章的技术参数确认函佐证，未提供或者提供不符合的不得分。</w:t>
            </w:r>
          </w:p>
          <w:p>
            <w:pPr>
              <w:widowControl/>
              <w:numPr>
                <w:ilvl w:val="-1"/>
                <w:numId w:val="0"/>
              </w:numPr>
              <w:spacing w:before="0" w:beforeAutospacing="0" w:after="0" w:line="240" w:lineRule="auto"/>
              <w:contextualSpacing w:val="0"/>
              <w:jc w:val="left"/>
              <w:rPr>
                <w:rFonts w:hint="eastAsia"/>
                <w:lang w:val="en-US" w:eastAsia="zh-CN"/>
              </w:rPr>
            </w:pP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整体噪音：产品工作在空闲状态下，产品的声功率级≤3.5Bel</w:t>
            </w:r>
            <w:r>
              <w:rPr>
                <w:rFonts w:hint="eastAsia" w:ascii="宋体" w:hAnsi="宋体" w:cs="宋体"/>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得</w:t>
            </w: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val="en-US" w:eastAsia="zh-CN"/>
              </w:rPr>
              <w:t>分</w:t>
            </w:r>
          </w:p>
          <w:p>
            <w:pPr>
              <w:keepNext w:val="0"/>
              <w:keepLines w:val="0"/>
              <w:widowControl/>
              <w:suppressLineNumbers w:val="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评审依据：投标文件中提供符合上述要求的由第三方检测机构出具的具有CMA标识的检测报告扫描件佐证，未提供或者提供不符合的不得分。</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3.所投办公电脑、台式计算机电源功率≥500W,工作效率：典型负载情况下，其典型效率不低于90%</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得 </w:t>
            </w: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 xml:space="preserve"> 分。</w:t>
            </w:r>
          </w:p>
          <w:p>
            <w:pPr>
              <w:widowControl/>
              <w:spacing w:before="0" w:beforeAutospacing="0" w:after="0" w:line="240" w:lineRule="auto"/>
              <w:contextualSpacing w:val="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评审依据：投标文件中提供符合上述要求的由第三方检测机构出具的具有CMA标识的检测报告扫描件，未提供或者提供不符合的不得分。</w:t>
            </w:r>
          </w:p>
        </w:tc>
        <w:tc>
          <w:tcPr>
            <w:tcW w:w="574" w:type="pct"/>
            <w:gridSpan w:val="2"/>
            <w:shd w:val="clear" w:color="auto" w:fill="FFFFFF" w:themeFill="background1"/>
            <w:vAlign w:val="center"/>
          </w:tcPr>
          <w:p>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2"/>
          <w:wAfter w:w="3" w:type="pct"/>
          <w:trHeight w:val="354" w:hRule="atLeast"/>
          <w:jc w:val="center"/>
        </w:trPr>
        <w:tc>
          <w:tcPr>
            <w:tcW w:w="618" w:type="pct"/>
            <w:shd w:val="clear" w:color="auto" w:fill="FFFFFF" w:themeFill="background1"/>
            <w:vAlign w:val="center"/>
          </w:tcPr>
          <w:p>
            <w:pPr>
              <w:keepNext w:val="0"/>
              <w:keepLines w:val="0"/>
              <w:widowControl/>
              <w:suppressLineNumbers w:val="0"/>
              <w:jc w:val="center"/>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sz w:val="24"/>
                <w:szCs w:val="24"/>
                <w:highlight w:val="none"/>
                <w:lang w:val="en-US" w:eastAsia="zh-CN"/>
              </w:rPr>
              <w:t>智慧云软件系统</w:t>
            </w:r>
          </w:p>
        </w:tc>
        <w:tc>
          <w:tcPr>
            <w:tcW w:w="3803" w:type="pct"/>
            <w:gridSpan w:val="2"/>
            <w:shd w:val="clear" w:color="auto" w:fill="FFFFFF" w:themeFill="background1"/>
            <w:vAlign w:val="center"/>
          </w:tcPr>
          <w:p>
            <w:pP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在满足</w:t>
            </w:r>
            <w:r>
              <w:rPr>
                <w:rFonts w:hint="eastAsia" w:ascii="宋体" w:hAnsi="宋体" w:eastAsia="宋体" w:cs="宋体"/>
                <w:color w:val="auto"/>
                <w:sz w:val="24"/>
                <w:szCs w:val="24"/>
                <w:highlight w:val="none"/>
              </w:rPr>
              <w:t>对单个桌面模板进行多版本管理，</w:t>
            </w:r>
            <w:r>
              <w:rPr>
                <w:rFonts w:hint="eastAsia" w:ascii="宋体" w:hAnsi="宋体" w:cs="宋体"/>
                <w:color w:val="auto"/>
                <w:sz w:val="24"/>
                <w:szCs w:val="24"/>
                <w:highlight w:val="none"/>
                <w:lang w:val="en-US" w:eastAsia="zh-CN"/>
              </w:rPr>
              <w:t>支持手动管理的基本要求的基础上，支持对</w:t>
            </w:r>
            <w:r>
              <w:rPr>
                <w:rFonts w:hint="eastAsia" w:ascii="宋体" w:hAnsi="宋体" w:eastAsia="宋体" w:cs="宋体"/>
                <w:color w:val="auto"/>
                <w:sz w:val="24"/>
                <w:szCs w:val="24"/>
                <w:highlight w:val="none"/>
              </w:rPr>
              <w:t>版本的自动合并。自动合并后可查看各个版本的修改记录进行追溯</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得</w:t>
            </w:r>
            <w:r>
              <w:rPr>
                <w:rFonts w:hint="default" w:ascii="宋体" w:hAnsi="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分</w:t>
            </w:r>
          </w:p>
          <w:p>
            <w:pP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在满足</w:t>
            </w:r>
            <w:r>
              <w:rPr>
                <w:rFonts w:hint="eastAsia" w:ascii="宋体" w:hAnsi="宋体" w:eastAsia="宋体" w:cs="宋体"/>
                <w:color w:val="auto"/>
                <w:sz w:val="24"/>
                <w:szCs w:val="24"/>
                <w:highlight w:val="none"/>
              </w:rPr>
              <w:t>支持在模板管理界面查看物理主机磁盘使用情况</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lang w:val="en-US" w:eastAsia="zh-CN"/>
              </w:rPr>
              <w:t>基本要求的基础上</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并具备</w:t>
            </w:r>
            <w:r>
              <w:rPr>
                <w:rFonts w:hint="eastAsia" w:ascii="宋体" w:hAnsi="宋体" w:eastAsia="宋体" w:cs="宋体"/>
                <w:color w:val="auto"/>
                <w:sz w:val="24"/>
                <w:szCs w:val="24"/>
                <w:highlight w:val="none"/>
              </w:rPr>
              <w:t>磁盘创建</w:t>
            </w:r>
            <w:r>
              <w:rPr>
                <w:rFonts w:hint="eastAsia" w:ascii="宋体" w:hAnsi="宋体" w:cs="宋体"/>
                <w:color w:val="auto"/>
                <w:sz w:val="24"/>
                <w:szCs w:val="24"/>
                <w:highlight w:val="none"/>
                <w:lang w:val="en-US" w:eastAsia="zh-CN"/>
              </w:rPr>
              <w:t>时</w:t>
            </w:r>
            <w:r>
              <w:rPr>
                <w:rFonts w:hint="eastAsia" w:ascii="宋体" w:hAnsi="宋体" w:eastAsia="宋体" w:cs="宋体"/>
                <w:color w:val="auto"/>
                <w:sz w:val="24"/>
                <w:szCs w:val="24"/>
                <w:highlight w:val="none"/>
              </w:rPr>
              <w:t>所需容量不足而导致模板创建失败等容错机制</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得2分</w:t>
            </w:r>
          </w:p>
          <w:p>
            <w:pPr>
              <w:pStyle w:val="2"/>
              <w:rPr>
                <w:rFonts w:hint="eastAsia"/>
              </w:rPr>
            </w:pPr>
            <w:r>
              <w:rPr>
                <w:rFonts w:hint="eastAsia" w:ascii="宋体" w:hAnsi="宋体" w:eastAsia="宋体" w:cs="宋体"/>
                <w:b/>
                <w:bCs w:val="0"/>
                <w:color w:val="auto"/>
                <w:sz w:val="24"/>
                <w:szCs w:val="24"/>
                <w:highlight w:val="none"/>
                <w:lang w:val="en-US" w:eastAsia="zh-CN"/>
              </w:rPr>
              <w:t>评审依据：投标文件中提供符合上述要求的由第三方检测机构出具的具有CMA标识的检测报告扫描件佐证，未提供或者提供不符合的不得分。</w:t>
            </w:r>
          </w:p>
          <w:p>
            <w:pP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在满足支持</w:t>
            </w:r>
            <w:r>
              <w:rPr>
                <w:rFonts w:hint="eastAsia" w:ascii="宋体" w:hAnsi="宋体" w:eastAsia="宋体" w:cs="宋体"/>
                <w:color w:val="auto"/>
                <w:sz w:val="24"/>
                <w:szCs w:val="24"/>
                <w:highlight w:val="none"/>
              </w:rPr>
              <w:t>设备监控与管理</w:t>
            </w:r>
            <w:r>
              <w:rPr>
                <w:rFonts w:hint="eastAsia" w:ascii="宋体" w:hAnsi="宋体" w:cs="宋体"/>
                <w:color w:val="auto"/>
                <w:sz w:val="24"/>
                <w:szCs w:val="24"/>
                <w:highlight w:val="none"/>
                <w:lang w:val="en-US" w:eastAsia="zh-CN"/>
              </w:rPr>
              <w:t>的基本要求的基础上</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平台</w:t>
            </w:r>
            <w:r>
              <w:rPr>
                <w:rFonts w:hint="eastAsia" w:ascii="宋体" w:hAnsi="宋体" w:eastAsia="宋体" w:cs="宋体"/>
                <w:color w:val="auto"/>
                <w:sz w:val="24"/>
                <w:szCs w:val="24"/>
                <w:highlight w:val="none"/>
              </w:rPr>
              <w:t>通过采集网络设备的运行状态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支持对所有终端设备使用率和设备温度变量监控告警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包括但不限于</w:t>
            </w:r>
            <w:r>
              <w:rPr>
                <w:rFonts w:hint="eastAsia" w:ascii="宋体" w:hAnsi="宋体" w:eastAsia="宋体" w:cs="宋体"/>
                <w:color w:val="auto"/>
                <w:sz w:val="24"/>
                <w:szCs w:val="24"/>
                <w:highlight w:val="none"/>
              </w:rPr>
              <w:t>CPU使用率、CPU温度</w:t>
            </w:r>
            <w:r>
              <w:rPr>
                <w:rFonts w:hint="eastAsia" w:ascii="宋体" w:hAnsi="宋体" w:cs="宋体"/>
                <w:color w:val="auto"/>
                <w:sz w:val="24"/>
                <w:szCs w:val="24"/>
                <w:highlight w:val="none"/>
                <w:lang w:val="en-US" w:eastAsia="zh-CN"/>
              </w:rPr>
              <w:t>数据；</w:t>
            </w:r>
            <w:r>
              <w:rPr>
                <w:rFonts w:hint="eastAsia" w:ascii="宋体" w:hAnsi="宋体" w:eastAsia="宋体" w:cs="宋体"/>
                <w:color w:val="auto"/>
                <w:sz w:val="24"/>
                <w:szCs w:val="24"/>
                <w:highlight w:val="none"/>
              </w:rPr>
              <w:t>硬盘占有率、内存占有率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网络占有率</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得2分</w:t>
            </w:r>
          </w:p>
          <w:p>
            <w:pPr>
              <w:widowControl/>
              <w:spacing w:before="0" w:beforeAutospacing="0" w:after="0" w:line="240" w:lineRule="auto"/>
              <w:contextualSpacing w:val="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评审依据：投标</w:t>
            </w:r>
            <w:r>
              <w:rPr>
                <w:rFonts w:hint="eastAsia" w:ascii="宋体" w:hAnsi="宋体" w:eastAsia="宋体" w:cs="宋体"/>
                <w:b/>
                <w:bCs/>
                <w:color w:val="auto"/>
                <w:sz w:val="24"/>
                <w:szCs w:val="24"/>
                <w:highlight w:val="none"/>
                <w:lang w:val="en-US" w:eastAsia="zh-CN"/>
              </w:rPr>
              <w:t>文件中</w:t>
            </w:r>
            <w:r>
              <w:rPr>
                <w:rFonts w:hint="eastAsia" w:ascii="宋体" w:hAnsi="宋体" w:eastAsia="宋体" w:cs="宋体"/>
                <w:b/>
                <w:bCs/>
                <w:color w:val="auto"/>
                <w:sz w:val="24"/>
                <w:szCs w:val="24"/>
                <w:highlight w:val="none"/>
              </w:rPr>
              <w:t>提供</w:t>
            </w:r>
            <w:r>
              <w:rPr>
                <w:rFonts w:hint="eastAsia" w:ascii="宋体" w:hAnsi="宋体" w:eastAsia="宋体" w:cs="宋体"/>
                <w:b/>
                <w:bCs/>
                <w:color w:val="auto"/>
                <w:sz w:val="24"/>
                <w:szCs w:val="24"/>
                <w:highlight w:val="none"/>
                <w:lang w:val="en-US" w:eastAsia="zh-CN"/>
              </w:rPr>
              <w:t>符合上述要求的加盖制造商公章的</w:t>
            </w:r>
            <w:r>
              <w:rPr>
                <w:rFonts w:hint="eastAsia" w:ascii="宋体" w:hAnsi="宋体" w:eastAsia="宋体" w:cs="宋体"/>
                <w:b/>
                <w:bCs/>
                <w:color w:val="auto"/>
                <w:sz w:val="24"/>
                <w:szCs w:val="24"/>
                <w:highlight w:val="none"/>
              </w:rPr>
              <w:t>技术参数确认函佐证</w:t>
            </w:r>
            <w:r>
              <w:rPr>
                <w:rFonts w:hint="eastAsia" w:ascii="宋体" w:hAnsi="宋体" w:eastAsia="宋体" w:cs="宋体"/>
                <w:b/>
                <w:bCs/>
                <w:color w:val="auto"/>
                <w:sz w:val="24"/>
                <w:szCs w:val="24"/>
                <w:highlight w:val="none"/>
                <w:lang w:val="en-US" w:eastAsia="zh-CN"/>
              </w:rPr>
              <w:t>，未提供或者提供不符合的不得分。</w:t>
            </w:r>
          </w:p>
        </w:tc>
        <w:tc>
          <w:tcPr>
            <w:tcW w:w="574" w:type="pct"/>
            <w:gridSpan w:val="2"/>
            <w:shd w:val="clear" w:color="auto" w:fill="FFFFFF" w:themeFill="background1"/>
            <w:vAlign w:val="center"/>
          </w:tcPr>
          <w:p>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2"/>
          <w:wAfter w:w="3" w:type="pct"/>
          <w:trHeight w:val="899" w:hRule="atLeast"/>
          <w:jc w:val="center"/>
        </w:trPr>
        <w:tc>
          <w:tcPr>
            <w:tcW w:w="618" w:type="pct"/>
            <w:shd w:val="clear" w:color="auto" w:fill="FFFFFF" w:themeFill="background1"/>
            <w:vAlign w:val="center"/>
          </w:tcPr>
          <w:p>
            <w:pPr>
              <w:keepNext w:val="0"/>
              <w:keepLines w:val="0"/>
              <w:widowControl/>
              <w:suppressLineNumbers w:val="0"/>
              <w:jc w:val="center"/>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服务器</w:t>
            </w:r>
          </w:p>
        </w:tc>
        <w:tc>
          <w:tcPr>
            <w:tcW w:w="3803" w:type="pct"/>
            <w:gridSpan w:val="2"/>
            <w:shd w:val="clear" w:color="auto" w:fill="FFFFFF" w:themeFill="background1"/>
            <w:vAlign w:val="center"/>
          </w:tcPr>
          <w:p>
            <w:pPr>
              <w:widowControl/>
              <w:numPr>
                <w:ilvl w:val="0"/>
                <w:numId w:val="9"/>
              </w:num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服务器的运维</w:t>
            </w:r>
            <w:r>
              <w:rPr>
                <w:rFonts w:hint="eastAsia" w:ascii="宋体" w:hAnsi="宋体" w:cs="宋体"/>
                <w:b w:val="0"/>
                <w:bCs w:val="0"/>
                <w:color w:val="auto"/>
                <w:sz w:val="24"/>
                <w:szCs w:val="24"/>
                <w:highlight w:val="none"/>
                <w:lang w:val="en-US" w:eastAsia="zh-CN"/>
              </w:rPr>
              <w:t>管理</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在满足</w:t>
            </w:r>
            <w:r>
              <w:rPr>
                <w:rFonts w:hint="eastAsia" w:ascii="宋体" w:hAnsi="宋体" w:eastAsia="宋体" w:cs="宋体"/>
                <w:b w:val="0"/>
                <w:bCs w:val="0"/>
                <w:color w:val="auto"/>
                <w:sz w:val="24"/>
                <w:szCs w:val="24"/>
                <w:highlight w:val="none"/>
                <w:lang w:val="en-US" w:eastAsia="zh-CN"/>
              </w:rPr>
              <w:t>服务器</w:t>
            </w:r>
            <w:r>
              <w:rPr>
                <w:rFonts w:hint="eastAsia" w:ascii="宋体" w:hAnsi="宋体" w:cs="宋体"/>
                <w:b w:val="0"/>
                <w:bCs w:val="0"/>
                <w:color w:val="auto"/>
                <w:sz w:val="24"/>
                <w:szCs w:val="24"/>
                <w:highlight w:val="none"/>
                <w:lang w:val="en-US" w:eastAsia="zh-CN"/>
              </w:rPr>
              <w:t>具有远程管理功能的基本要求的基础上，服务器具有</w:t>
            </w:r>
            <w:r>
              <w:rPr>
                <w:rFonts w:hint="eastAsia" w:ascii="宋体" w:hAnsi="宋体" w:eastAsia="宋体" w:cs="宋体"/>
                <w:b w:val="0"/>
                <w:bCs w:val="0"/>
                <w:color w:val="auto"/>
                <w:sz w:val="24"/>
                <w:szCs w:val="24"/>
                <w:highlight w:val="none"/>
                <w:lang w:val="en-US" w:eastAsia="zh-CN"/>
              </w:rPr>
              <w:t>带外管理 BMC</w:t>
            </w:r>
            <w:r>
              <w:rPr>
                <w:rFonts w:hint="eastAsia" w:ascii="宋体" w:hAnsi="宋体" w:cs="宋体"/>
                <w:b w:val="0"/>
                <w:bCs w:val="0"/>
                <w:color w:val="auto"/>
                <w:sz w:val="24"/>
                <w:szCs w:val="24"/>
                <w:highlight w:val="none"/>
                <w:lang w:val="en-US" w:eastAsia="zh-CN"/>
              </w:rPr>
              <w:t>功能</w:t>
            </w:r>
            <w:r>
              <w:rPr>
                <w:rFonts w:hint="eastAsia" w:ascii="宋体" w:hAnsi="宋体" w:eastAsia="宋体" w:cs="宋体"/>
                <w:b w:val="0"/>
                <w:bCs w:val="0"/>
                <w:color w:val="auto"/>
                <w:sz w:val="24"/>
                <w:szCs w:val="24"/>
                <w:highlight w:val="none"/>
                <w:lang w:val="en-US" w:eastAsia="zh-CN"/>
              </w:rPr>
              <w:t>，通过 BMC来监控系统</w:t>
            </w:r>
            <w:r>
              <w:rPr>
                <w:rFonts w:hint="eastAsia" w:ascii="宋体" w:hAnsi="宋体" w:cs="宋体"/>
                <w:b w:val="0"/>
                <w:bCs w:val="0"/>
                <w:color w:val="auto"/>
                <w:sz w:val="24"/>
                <w:szCs w:val="24"/>
                <w:highlight w:val="none"/>
                <w:lang w:val="en-US" w:eastAsia="zh-CN"/>
              </w:rPr>
              <w:t>数据</w:t>
            </w:r>
            <w:r>
              <w:rPr>
                <w:rFonts w:hint="eastAsia" w:ascii="宋体" w:hAnsi="宋体" w:eastAsia="宋体" w:cs="宋体"/>
                <w:b w:val="0"/>
                <w:bCs w:val="0"/>
                <w:color w:val="auto"/>
                <w:sz w:val="24"/>
                <w:szCs w:val="24"/>
                <w:highlight w:val="none"/>
                <w:lang w:val="en-US" w:eastAsia="zh-CN"/>
              </w:rPr>
              <w:t>，提前发出告警信息，使技术人员能够采取相应措施，保证机器稳定运行,并减少宕机的几率，满足得</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分。</w:t>
            </w:r>
          </w:p>
          <w:p>
            <w:pPr>
              <w:widowControl/>
              <w:numPr>
                <w:ilvl w:val="0"/>
                <w:numId w:val="9"/>
              </w:numPr>
              <w:jc w:val="left"/>
              <w:rPr>
                <w:rFonts w:hint="eastAsia" w:ascii="宋体" w:hAnsi="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为降低服务器的能耗，当 CPU 使用率达到 50%时，功耗值≤550W，当 CPU 使用率达到 100%时，功耗值≤700W，满足得</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分</w:t>
            </w:r>
          </w:p>
          <w:p>
            <w:pPr>
              <w:widowControl/>
              <w:jc w:val="left"/>
              <w:rPr>
                <w:rFonts w:hint="eastAsia"/>
                <w:lang w:val="en-US" w:eastAsia="zh-CN"/>
              </w:rPr>
            </w:pPr>
            <w:r>
              <w:rPr>
                <w:rFonts w:hint="eastAsia" w:ascii="宋体" w:hAnsi="宋体" w:eastAsia="宋体" w:cs="宋体"/>
                <w:b/>
                <w:bCs w:val="0"/>
                <w:color w:val="auto"/>
                <w:sz w:val="24"/>
                <w:szCs w:val="24"/>
                <w:highlight w:val="none"/>
                <w:lang w:val="en-US" w:eastAsia="zh-CN"/>
              </w:rPr>
              <w:t xml:space="preserve">评审依据：投标文件中提供符合上述要求的由第三方检测机构出具的具有CMA标识的检测报告扫描件，未提供或者提供不符合的不得分。                                                                                                                                                                                                   </w:t>
            </w:r>
          </w:p>
        </w:tc>
        <w:tc>
          <w:tcPr>
            <w:tcW w:w="574" w:type="pct"/>
            <w:gridSpan w:val="2"/>
            <w:shd w:val="clear" w:color="auto" w:fill="FFFFFF" w:themeFill="background1"/>
            <w:vAlign w:val="center"/>
          </w:tcPr>
          <w:p>
            <w:pPr>
              <w:jc w:val="center"/>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2"/>
          <w:wAfter w:w="3" w:type="pct"/>
          <w:trHeight w:val="1052" w:hRule="atLeast"/>
          <w:jc w:val="center"/>
        </w:trPr>
        <w:tc>
          <w:tcPr>
            <w:tcW w:w="618" w:type="pct"/>
            <w:shd w:val="clear" w:color="auto" w:fill="FFFFFF" w:themeFill="background1"/>
            <w:vAlign w:val="center"/>
          </w:tcPr>
          <w:p>
            <w:pPr>
              <w:keepNext w:val="0"/>
              <w:keepLines w:val="0"/>
              <w:widowControl/>
              <w:suppressLineNumbers w:val="0"/>
              <w:jc w:val="center"/>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交换机</w:t>
            </w:r>
          </w:p>
        </w:tc>
        <w:tc>
          <w:tcPr>
            <w:tcW w:w="3803" w:type="pct"/>
            <w:gridSpan w:val="2"/>
            <w:shd w:val="clear" w:color="auto" w:fill="FFFFFF" w:themeFill="background1"/>
            <w:vAlign w:val="center"/>
          </w:tcPr>
          <w:p>
            <w:pPr>
              <w:keepNext w:val="0"/>
              <w:keepLines w:val="0"/>
              <w:widowControl/>
              <w:suppressLineNumbers w:val="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为保证设备受到外部机械碰撞仍可以保持结构完整、无裂痕、无严重损伤，所投交换机符合电器设备外壳对外界机械碰撞的防护等级(IK代码)执行标准，防护等级达到IK05。</w:t>
            </w:r>
            <w:r>
              <w:rPr>
                <w:rFonts w:hint="eastAsia" w:ascii="宋体" w:hAnsi="宋体" w:eastAsia="宋体" w:cs="宋体"/>
                <w:b w:val="0"/>
                <w:bCs w:val="0"/>
                <w:color w:val="auto"/>
                <w:sz w:val="24"/>
                <w:szCs w:val="24"/>
                <w:highlight w:val="none"/>
                <w:lang w:val="en-US" w:eastAsia="zh-CN"/>
              </w:rPr>
              <w:t>得</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w:t>
            </w:r>
          </w:p>
          <w:p>
            <w:pPr>
              <w:keepNext w:val="0"/>
              <w:keepLines w:val="0"/>
              <w:widowControl/>
              <w:suppressLineNumbers w:val="0"/>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
                <w:bCs w:val="0"/>
                <w:color w:val="auto"/>
                <w:sz w:val="24"/>
                <w:szCs w:val="24"/>
                <w:highlight w:val="none"/>
              </w:rPr>
              <w:t>评审依据：</w:t>
            </w:r>
            <w:r>
              <w:rPr>
                <w:rFonts w:hint="eastAsia" w:ascii="宋体" w:hAnsi="宋体" w:eastAsia="宋体" w:cs="宋体"/>
                <w:b/>
                <w:bCs w:val="0"/>
                <w:color w:val="auto"/>
                <w:sz w:val="24"/>
                <w:szCs w:val="24"/>
                <w:highlight w:val="none"/>
                <w:lang w:val="en-US" w:eastAsia="zh-CN"/>
              </w:rPr>
              <w:t>投标文件中提供符合上述要求的由第三方检测机构出具的具有CMA标识的检测报告扫描件佐证，未提供或者提供不符合的不得分。</w:t>
            </w:r>
          </w:p>
          <w:p>
            <w:pPr>
              <w:pStyle w:val="2"/>
              <w:rPr>
                <w:rFonts w:hint="eastAsia" w:ascii="宋体" w:hAnsi="宋体" w:cs="宋体"/>
                <w:bCs/>
                <w:color w:val="auto"/>
                <w:sz w:val="24"/>
                <w:szCs w:val="24"/>
                <w:highlight w:val="none"/>
                <w:lang w:val="en-US" w:eastAsia="zh-CN"/>
              </w:rPr>
            </w:pPr>
            <w:r>
              <w:rPr>
                <w:rFonts w:hint="eastAsia" w:ascii="宋体" w:hAnsi="宋体" w:cs="宋体"/>
                <w:bCs/>
                <w:i w:val="0"/>
                <w:iCs w:val="0"/>
                <w:caps w:val="0"/>
                <w:color w:val="auto"/>
                <w:spacing w:val="0"/>
                <w:sz w:val="24"/>
                <w:szCs w:val="24"/>
                <w:highlight w:val="none"/>
                <w:lang w:val="en-US" w:eastAsia="zh-CN"/>
              </w:rPr>
              <w:t>提供CPU保护策略，控制发往CPU的报文类型和流量大小，保护CPU利用率提供基础网络保护策略，对有攻击行为的用户进行隔离，保证网络安全稳定</w:t>
            </w:r>
            <w:r>
              <w:rPr>
                <w:rFonts w:hint="eastAsia" w:ascii="宋体" w:hAnsi="宋体" w:eastAsia="宋体" w:cs="宋体"/>
                <w:bCs/>
                <w:i w:val="0"/>
                <w:iCs w:val="0"/>
                <w:caps w:val="0"/>
                <w:color w:val="auto"/>
                <w:spacing w:val="0"/>
                <w:sz w:val="24"/>
                <w:szCs w:val="24"/>
                <w:highlight w:val="none"/>
              </w:rPr>
              <w:t>。</w:t>
            </w:r>
            <w:r>
              <w:rPr>
                <w:rFonts w:hint="eastAsia" w:ascii="宋体" w:hAnsi="宋体" w:eastAsia="宋体" w:cs="宋体"/>
                <w:b w:val="0"/>
                <w:bCs w:val="0"/>
                <w:color w:val="auto"/>
                <w:sz w:val="24"/>
                <w:szCs w:val="24"/>
                <w:highlight w:val="none"/>
                <w:lang w:val="en-US" w:eastAsia="zh-CN"/>
              </w:rPr>
              <w:t>得</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w:t>
            </w:r>
          </w:p>
          <w:p>
            <w:pPr>
              <w:keepNext w:val="0"/>
              <w:keepLines w:val="0"/>
              <w:widowControl/>
              <w:suppressLineNumbers w:val="0"/>
              <w:jc w:val="left"/>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
                <w:bCs/>
                <w:color w:val="auto"/>
                <w:sz w:val="24"/>
                <w:szCs w:val="24"/>
                <w:highlight w:val="none"/>
              </w:rPr>
              <w:t>评审依据：投标</w:t>
            </w:r>
            <w:r>
              <w:rPr>
                <w:rFonts w:hint="eastAsia" w:ascii="宋体" w:hAnsi="宋体" w:eastAsia="宋体" w:cs="宋体"/>
                <w:b/>
                <w:bCs/>
                <w:color w:val="auto"/>
                <w:sz w:val="24"/>
                <w:szCs w:val="24"/>
                <w:highlight w:val="none"/>
                <w:lang w:val="en-US" w:eastAsia="zh-CN"/>
              </w:rPr>
              <w:t>文件中</w:t>
            </w:r>
            <w:r>
              <w:rPr>
                <w:rFonts w:hint="eastAsia" w:ascii="宋体" w:hAnsi="宋体" w:eastAsia="宋体" w:cs="宋体"/>
                <w:b/>
                <w:bCs/>
                <w:color w:val="auto"/>
                <w:sz w:val="24"/>
                <w:szCs w:val="24"/>
                <w:highlight w:val="none"/>
              </w:rPr>
              <w:t>提供</w:t>
            </w:r>
            <w:r>
              <w:rPr>
                <w:rFonts w:hint="eastAsia" w:ascii="宋体" w:hAnsi="宋体" w:eastAsia="宋体" w:cs="宋体"/>
                <w:b/>
                <w:bCs/>
                <w:color w:val="auto"/>
                <w:sz w:val="24"/>
                <w:szCs w:val="24"/>
                <w:highlight w:val="none"/>
                <w:lang w:val="en-US" w:eastAsia="zh-CN"/>
              </w:rPr>
              <w:t>符合上述要求的加盖制造商公章的</w:t>
            </w:r>
            <w:r>
              <w:rPr>
                <w:rFonts w:hint="eastAsia" w:ascii="宋体" w:hAnsi="宋体" w:eastAsia="宋体" w:cs="宋体"/>
                <w:b/>
                <w:bCs/>
                <w:color w:val="auto"/>
                <w:sz w:val="24"/>
                <w:szCs w:val="24"/>
                <w:highlight w:val="none"/>
              </w:rPr>
              <w:t>技术参数确认函佐证</w:t>
            </w:r>
            <w:r>
              <w:rPr>
                <w:rFonts w:hint="eastAsia" w:ascii="宋体" w:hAnsi="宋体" w:eastAsia="宋体" w:cs="宋体"/>
                <w:b/>
                <w:bCs/>
                <w:color w:val="auto"/>
                <w:sz w:val="24"/>
                <w:szCs w:val="24"/>
                <w:highlight w:val="none"/>
                <w:lang w:val="en-US" w:eastAsia="zh-CN"/>
              </w:rPr>
              <w:t>，未提供或者提供不符合的不得分。</w:t>
            </w:r>
          </w:p>
        </w:tc>
        <w:tc>
          <w:tcPr>
            <w:tcW w:w="574" w:type="pct"/>
            <w:gridSpan w:val="2"/>
            <w:shd w:val="clear" w:color="auto" w:fill="FFFFFF" w:themeFill="background1"/>
            <w:vAlign w:val="center"/>
          </w:tcPr>
          <w:p>
            <w:pPr>
              <w:jc w:val="center"/>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2"/>
          <w:wAfter w:w="3" w:type="pct"/>
          <w:trHeight w:val="351" w:hRule="atLeast"/>
          <w:jc w:val="center"/>
        </w:trPr>
        <w:tc>
          <w:tcPr>
            <w:tcW w:w="618" w:type="pct"/>
            <w:shd w:val="clear" w:color="auto" w:fill="FFFFFF" w:themeFill="background1"/>
            <w:vAlign w:val="center"/>
          </w:tcPr>
          <w:p>
            <w:pPr>
              <w:keepNext w:val="0"/>
              <w:keepLines w:val="0"/>
              <w:widowControl/>
              <w:suppressLineNumbers w:val="0"/>
              <w:jc w:val="center"/>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投影系统</w:t>
            </w:r>
          </w:p>
        </w:tc>
        <w:tc>
          <w:tcPr>
            <w:tcW w:w="3803" w:type="pct"/>
            <w:gridSpan w:val="2"/>
            <w:shd w:val="clear" w:color="auto" w:fill="FFFFFF" w:themeFill="background1"/>
            <w:vAlign w:val="center"/>
          </w:tcPr>
          <w:p>
            <w:pPr>
              <w:keepNext w:val="0"/>
              <w:keepLines w:val="0"/>
              <w:widowControl/>
              <w:suppressLineNumbers w:val="0"/>
              <w:jc w:val="left"/>
              <w:rPr>
                <w:rFonts w:hint="eastAsia" w:ascii="宋体" w:hAnsi="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色彩亮度≥4400流明（ISO），对比度≥43000:1；满足得2分。</w:t>
            </w:r>
          </w:p>
          <w:p>
            <w:pPr>
              <w:keepNext w:val="0"/>
              <w:keepLines w:val="0"/>
              <w:widowControl/>
              <w:suppressLineNumbers w:val="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评审依据：</w:t>
            </w:r>
            <w:r>
              <w:rPr>
                <w:rFonts w:hint="eastAsia" w:ascii="宋体" w:hAnsi="宋体" w:eastAsia="宋体" w:cs="宋体"/>
                <w:b/>
                <w:bCs w:val="0"/>
                <w:color w:val="auto"/>
                <w:sz w:val="24"/>
                <w:szCs w:val="24"/>
                <w:highlight w:val="none"/>
                <w:lang w:val="en-US" w:eastAsia="zh-CN"/>
              </w:rPr>
              <w:t>投标</w:t>
            </w:r>
            <w:r>
              <w:rPr>
                <w:rFonts w:hint="eastAsia" w:ascii="宋体" w:hAnsi="宋体" w:eastAsia="宋体" w:cs="宋体"/>
                <w:b/>
                <w:bCs w:val="0"/>
                <w:color w:val="auto"/>
                <w:sz w:val="24"/>
                <w:szCs w:val="24"/>
                <w:highlight w:val="none"/>
              </w:rPr>
              <w:t>文件</w:t>
            </w:r>
            <w:r>
              <w:rPr>
                <w:rFonts w:hint="eastAsia" w:ascii="宋体" w:hAnsi="宋体" w:eastAsia="宋体" w:cs="宋体"/>
                <w:b/>
                <w:bCs w:val="0"/>
                <w:color w:val="auto"/>
                <w:sz w:val="24"/>
                <w:szCs w:val="24"/>
                <w:highlight w:val="none"/>
                <w:lang w:val="en-US" w:eastAsia="zh-CN"/>
              </w:rPr>
              <w:t>中提供符合上述要求的由第三方检测机构出具的具有CMA标识的检测报告扫描件佐证，未提供或者提供不符合的不得分。</w:t>
            </w:r>
          </w:p>
          <w:p>
            <w:pPr>
              <w:keepNext w:val="0"/>
              <w:keepLines w:val="0"/>
              <w:widowControl/>
              <w:suppressLineNumbers w:val="0"/>
              <w:jc w:val="lef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具有水平梯形校正滑钮或旋钮支持侧面投影、快速四角调节功能；</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lang w:val="zh-CN" w:eastAsia="zh-CN"/>
              </w:rPr>
              <w:t>双画面显示、无线网络四画面投影</w:t>
            </w:r>
            <w:r>
              <w:rPr>
                <w:rFonts w:hint="eastAsia" w:ascii="宋体" w:hAnsi="宋体" w:eastAsia="宋体" w:cs="宋体"/>
                <w:color w:val="auto"/>
                <w:sz w:val="24"/>
                <w:szCs w:val="24"/>
                <w:highlight w:val="none"/>
                <w:lang w:val="en-US" w:eastAsia="zh-CN"/>
              </w:rPr>
              <w:t>功能</w:t>
            </w:r>
            <w:r>
              <w:rPr>
                <w:rFonts w:hint="eastAsia" w:ascii="宋体" w:hAnsi="宋体" w:eastAsia="宋体" w:cs="宋体"/>
                <w:color w:val="auto"/>
                <w:sz w:val="24"/>
                <w:szCs w:val="24"/>
                <w:highlight w:val="none"/>
                <w:lang w:val="zh-CN" w:eastAsia="zh-CN"/>
              </w:rPr>
              <w:t>；</w:t>
            </w:r>
            <w:r>
              <w:rPr>
                <w:rFonts w:hint="eastAsia" w:ascii="宋体" w:hAnsi="宋体" w:cs="宋体"/>
                <w:color w:val="auto"/>
                <w:sz w:val="24"/>
                <w:szCs w:val="24"/>
                <w:highlight w:val="none"/>
                <w:lang w:val="en-US" w:eastAsia="zh-CN"/>
              </w:rPr>
              <w:t>完全满足</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val="en-US" w:eastAsia="zh-CN"/>
              </w:rPr>
              <w:t>。</w:t>
            </w:r>
          </w:p>
          <w:p>
            <w:pPr>
              <w:pStyle w:val="2"/>
              <w:rPr>
                <w:rFonts w:hint="eastAsia"/>
                <w:lang w:val="en-US" w:eastAsia="zh-CN"/>
              </w:rPr>
            </w:pPr>
            <w:r>
              <w:rPr>
                <w:rFonts w:hint="eastAsia" w:ascii="宋体" w:hAnsi="宋体" w:eastAsia="宋体" w:cs="宋体"/>
                <w:b/>
                <w:bCs/>
                <w:color w:val="auto"/>
                <w:sz w:val="24"/>
                <w:szCs w:val="24"/>
                <w:highlight w:val="none"/>
              </w:rPr>
              <w:t>评审依据：投标</w:t>
            </w:r>
            <w:r>
              <w:rPr>
                <w:rFonts w:hint="eastAsia" w:ascii="宋体" w:hAnsi="宋体" w:eastAsia="宋体" w:cs="宋体"/>
                <w:b/>
                <w:bCs/>
                <w:color w:val="auto"/>
                <w:sz w:val="24"/>
                <w:szCs w:val="24"/>
                <w:highlight w:val="none"/>
                <w:lang w:val="en-US" w:eastAsia="zh-CN"/>
              </w:rPr>
              <w:t>文件中</w:t>
            </w:r>
            <w:r>
              <w:rPr>
                <w:rFonts w:hint="eastAsia" w:ascii="宋体" w:hAnsi="宋体" w:eastAsia="宋体" w:cs="宋体"/>
                <w:b/>
                <w:bCs/>
                <w:color w:val="auto"/>
                <w:sz w:val="24"/>
                <w:szCs w:val="24"/>
                <w:highlight w:val="none"/>
              </w:rPr>
              <w:t>提供</w:t>
            </w:r>
            <w:r>
              <w:rPr>
                <w:rFonts w:hint="eastAsia" w:ascii="宋体" w:hAnsi="宋体" w:eastAsia="宋体" w:cs="宋体"/>
                <w:b/>
                <w:bCs/>
                <w:color w:val="auto"/>
                <w:sz w:val="24"/>
                <w:szCs w:val="24"/>
                <w:highlight w:val="none"/>
                <w:lang w:val="en-US" w:eastAsia="zh-CN"/>
              </w:rPr>
              <w:t>符合上述要求的加盖制造商公章的</w:t>
            </w:r>
            <w:r>
              <w:rPr>
                <w:rFonts w:hint="eastAsia" w:ascii="宋体" w:hAnsi="宋体" w:eastAsia="宋体" w:cs="宋体"/>
                <w:b/>
                <w:bCs/>
                <w:color w:val="auto"/>
                <w:sz w:val="24"/>
                <w:szCs w:val="24"/>
                <w:highlight w:val="none"/>
              </w:rPr>
              <w:t>技术参数确认函佐证</w:t>
            </w:r>
            <w:r>
              <w:rPr>
                <w:rFonts w:hint="eastAsia" w:ascii="宋体" w:hAnsi="宋体" w:eastAsia="宋体" w:cs="宋体"/>
                <w:b/>
                <w:bCs/>
                <w:color w:val="auto"/>
                <w:sz w:val="24"/>
                <w:szCs w:val="24"/>
                <w:highlight w:val="none"/>
                <w:lang w:val="en-US" w:eastAsia="zh-CN"/>
              </w:rPr>
              <w:t>，未提供或者提供不符合的不得分。</w:t>
            </w:r>
          </w:p>
        </w:tc>
        <w:tc>
          <w:tcPr>
            <w:tcW w:w="574" w:type="pct"/>
            <w:gridSpan w:val="2"/>
            <w:shd w:val="clear" w:color="auto" w:fill="FFFFFF" w:themeFill="background1"/>
            <w:vAlign w:val="center"/>
          </w:tcPr>
          <w:p>
            <w:pPr>
              <w:jc w:val="center"/>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2"/>
          <w:wAfter w:w="3" w:type="pct"/>
          <w:trHeight w:val="384" w:hRule="atLeast"/>
          <w:jc w:val="center"/>
        </w:trPr>
        <w:tc>
          <w:tcPr>
            <w:tcW w:w="618" w:type="pct"/>
            <w:shd w:val="clear" w:color="auto" w:fill="FFFFFF" w:themeFill="background1"/>
            <w:vAlign w:val="center"/>
          </w:tcPr>
          <w:p>
            <w:pPr>
              <w:keepNext w:val="0"/>
              <w:keepLines w:val="0"/>
              <w:widowControl/>
              <w:suppressLineNumbers w:val="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网线</w:t>
            </w:r>
          </w:p>
        </w:tc>
        <w:tc>
          <w:tcPr>
            <w:tcW w:w="3803" w:type="pct"/>
            <w:gridSpan w:val="2"/>
            <w:shd w:val="clear" w:color="auto" w:fill="FFFFFF" w:themeFill="background1"/>
            <w:vAlign w:val="center"/>
          </w:tcPr>
          <w:p>
            <w:pPr>
              <w:keepNext w:val="0"/>
              <w:keepLines w:val="0"/>
              <w:widowControl/>
              <w:suppressLineNumbers w:val="0"/>
              <w:jc w:val="left"/>
              <w:rPr>
                <w:rFonts w:hint="eastAsia" w:ascii="宋体" w:hAnsi="宋体" w:eastAsia="宋体" w:cs="宋体"/>
                <w:b w:val="0"/>
                <w:bCs w:val="0"/>
                <w:color w:val="auto"/>
                <w:sz w:val="24"/>
                <w:szCs w:val="24"/>
                <w:highlight w:val="none"/>
                <w:lang w:val="en-US"/>
              </w:rPr>
            </w:pPr>
            <w:r>
              <w:rPr>
                <w:rFonts w:hint="eastAsia" w:ascii="宋体" w:hAnsi="宋体" w:eastAsia="宋体" w:cs="宋体"/>
                <w:color w:val="auto"/>
                <w:sz w:val="24"/>
                <w:szCs w:val="24"/>
                <w:highlight w:val="none"/>
                <w:lang w:val="en-US" w:eastAsia="zh-CN"/>
              </w:rPr>
              <w:t>为有效保证教学数据通信安全稳定的传输质量，传播时延≤</w:t>
            </w:r>
            <w:r>
              <w:rPr>
                <w:rFonts w:hint="eastAsia" w:ascii="宋体" w:hAnsi="宋体" w:cs="宋体"/>
                <w:color w:val="auto"/>
                <w:sz w:val="24"/>
                <w:szCs w:val="24"/>
                <w:highlight w:val="none"/>
                <w:lang w:val="en-US" w:eastAsia="zh-CN"/>
              </w:rPr>
              <w:t>480</w:t>
            </w:r>
            <w:r>
              <w:rPr>
                <w:rFonts w:hint="eastAsia" w:ascii="宋体" w:hAnsi="宋体" w:eastAsia="宋体" w:cs="宋体"/>
                <w:color w:val="auto"/>
                <w:sz w:val="24"/>
                <w:szCs w:val="24"/>
                <w:highlight w:val="none"/>
                <w:lang w:val="en-US" w:eastAsia="zh-CN"/>
              </w:rPr>
              <w:t>ns</w:t>
            </w:r>
            <w:r>
              <w:rPr>
                <w:rFonts w:hint="eastAsia" w:ascii="宋体" w:hAnsi="宋体" w:cs="宋体"/>
                <w:color w:val="auto"/>
                <w:sz w:val="24"/>
                <w:szCs w:val="24"/>
                <w:highlight w:val="none"/>
                <w:lang w:val="en-US" w:eastAsia="zh-CN"/>
              </w:rPr>
              <w:t>/100m</w:t>
            </w:r>
            <w:r>
              <w:rPr>
                <w:rFonts w:hint="eastAsia" w:ascii="宋体" w:hAnsi="宋体" w:eastAsia="宋体" w:cs="宋体"/>
                <w:color w:val="auto"/>
                <w:sz w:val="24"/>
                <w:szCs w:val="24"/>
                <w:highlight w:val="none"/>
                <w:lang w:val="en-US" w:eastAsia="zh-CN"/>
              </w:rPr>
              <w:t>；时延差≤</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ns；直流环流电阻≤</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Ω；</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评审依据：</w:t>
            </w:r>
            <w:r>
              <w:rPr>
                <w:rFonts w:hint="eastAsia" w:ascii="宋体" w:hAnsi="宋体" w:eastAsia="宋体" w:cs="宋体"/>
                <w:b/>
                <w:bCs w:val="0"/>
                <w:color w:val="auto"/>
                <w:sz w:val="24"/>
                <w:szCs w:val="24"/>
                <w:highlight w:val="none"/>
                <w:lang w:val="en-US" w:eastAsia="zh-CN"/>
              </w:rPr>
              <w:t>投标</w:t>
            </w:r>
            <w:r>
              <w:rPr>
                <w:rFonts w:hint="eastAsia" w:ascii="宋体" w:hAnsi="宋体" w:eastAsia="宋体" w:cs="宋体"/>
                <w:b/>
                <w:bCs w:val="0"/>
                <w:color w:val="auto"/>
                <w:sz w:val="24"/>
                <w:szCs w:val="24"/>
                <w:highlight w:val="none"/>
              </w:rPr>
              <w:t>文件</w:t>
            </w:r>
            <w:r>
              <w:rPr>
                <w:rFonts w:hint="eastAsia" w:ascii="宋体" w:hAnsi="宋体" w:eastAsia="宋体" w:cs="宋体"/>
                <w:b/>
                <w:bCs w:val="0"/>
                <w:color w:val="auto"/>
                <w:sz w:val="24"/>
                <w:szCs w:val="24"/>
                <w:highlight w:val="none"/>
                <w:lang w:eastAsia="zh-CN"/>
              </w:rPr>
              <w:t>中</w:t>
            </w:r>
            <w:r>
              <w:rPr>
                <w:rFonts w:hint="eastAsia" w:ascii="宋体" w:hAnsi="宋体" w:eastAsia="宋体" w:cs="宋体"/>
                <w:b/>
                <w:bCs w:val="0"/>
                <w:color w:val="auto"/>
                <w:sz w:val="24"/>
                <w:szCs w:val="24"/>
                <w:highlight w:val="none"/>
              </w:rPr>
              <w:t>提供</w:t>
            </w:r>
            <w:r>
              <w:rPr>
                <w:rFonts w:hint="eastAsia" w:ascii="宋体" w:hAnsi="宋体" w:eastAsia="宋体" w:cs="宋体"/>
                <w:b/>
                <w:bCs w:val="0"/>
                <w:color w:val="auto"/>
                <w:sz w:val="24"/>
                <w:szCs w:val="24"/>
                <w:highlight w:val="none"/>
                <w:lang w:val="en-US" w:eastAsia="zh-CN"/>
              </w:rPr>
              <w:t>符合上述要求的</w:t>
            </w:r>
            <w:r>
              <w:rPr>
                <w:rFonts w:hint="eastAsia" w:ascii="宋体" w:hAnsi="宋体" w:eastAsia="宋体" w:cs="宋体"/>
                <w:b/>
                <w:bCs w:val="0"/>
                <w:color w:val="auto"/>
                <w:sz w:val="24"/>
                <w:szCs w:val="24"/>
                <w:highlight w:val="none"/>
              </w:rPr>
              <w:t>由第三方检测机构出具的具有CMA标识的检测报告扫描件佐证</w:t>
            </w:r>
            <w:r>
              <w:rPr>
                <w:rFonts w:hint="eastAsia" w:ascii="宋体" w:hAnsi="宋体" w:eastAsia="宋体" w:cs="宋体"/>
                <w:b/>
                <w:bCs w:val="0"/>
                <w:color w:val="auto"/>
                <w:sz w:val="24"/>
                <w:szCs w:val="24"/>
                <w:highlight w:val="none"/>
                <w:lang w:val="en-US" w:eastAsia="zh-CN"/>
              </w:rPr>
              <w:t>，未提供或者提供不符合的不得分。</w:t>
            </w:r>
          </w:p>
        </w:tc>
        <w:tc>
          <w:tcPr>
            <w:tcW w:w="574" w:type="pct"/>
            <w:gridSpan w:val="2"/>
            <w:shd w:val="clear" w:color="auto" w:fill="FFFFFF" w:themeFill="background1"/>
            <w:vAlign w:val="center"/>
          </w:tcPr>
          <w:p>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1" w:type="pct"/>
          <w:trHeight w:val="790" w:hRule="atLeast"/>
          <w:jc w:val="center"/>
        </w:trPr>
        <w:tc>
          <w:tcPr>
            <w:tcW w:w="4998" w:type="pct"/>
            <w:gridSpan w:val="6"/>
            <w:shd w:val="clear" w:color="auto" w:fill="FFFFFF" w:themeFill="background1"/>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商务部分（</w:t>
            </w:r>
            <w:r>
              <w:rPr>
                <w:rFonts w:hint="eastAsia" w:ascii="宋体" w:hAnsi="宋体" w:cs="宋体"/>
                <w:b/>
                <w:bCs/>
                <w:color w:val="auto"/>
                <w:kern w:val="0"/>
                <w:sz w:val="24"/>
                <w:szCs w:val="24"/>
                <w:highlight w:val="none"/>
                <w:lang w:val="en-US" w:eastAsia="zh-CN" w:bidi="ar"/>
              </w:rPr>
              <w:t>7</w:t>
            </w:r>
            <w:r>
              <w:rPr>
                <w:rFonts w:hint="eastAsia" w:ascii="宋体" w:hAnsi="宋体" w:eastAsia="宋体" w:cs="宋体"/>
                <w:b/>
                <w:bCs/>
                <w:color w:val="auto"/>
                <w:kern w:val="0"/>
                <w:sz w:val="24"/>
                <w:szCs w:val="24"/>
                <w:highlight w:val="no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2" w:hRule="atLeast"/>
          <w:jc w:val="center"/>
        </w:trPr>
        <w:tc>
          <w:tcPr>
            <w:tcW w:w="4423" w:type="pct"/>
            <w:gridSpan w:val="4"/>
            <w:shd w:val="clear" w:color="auto" w:fill="FFFFFF" w:themeFill="background1"/>
            <w:vAlign w:val="center"/>
          </w:tcPr>
          <w:p>
            <w:pPr>
              <w:jc w:val="center"/>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rPr>
              <w:t>评审内容</w:t>
            </w:r>
          </w:p>
        </w:tc>
        <w:tc>
          <w:tcPr>
            <w:tcW w:w="576" w:type="pct"/>
            <w:gridSpan w:val="3"/>
            <w:shd w:val="clear" w:color="auto" w:fill="FFFFFF" w:themeFill="background1"/>
            <w:vAlign w:val="center"/>
          </w:tcPr>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426" w:hRule="atLeast"/>
          <w:jc w:val="center"/>
        </w:trPr>
        <w:tc>
          <w:tcPr>
            <w:tcW w:w="620" w:type="pct"/>
            <w:gridSpan w:val="2"/>
            <w:shd w:val="clear" w:color="auto" w:fill="FFFFFF" w:themeFill="background1"/>
            <w:vAlign w:val="center"/>
          </w:tcPr>
          <w:p>
            <w:pPr>
              <w:keepNext w:val="0"/>
              <w:keepLines w:val="0"/>
              <w:widowControl/>
              <w:suppressLineNumbers w:val="0"/>
              <w:jc w:val="center"/>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
              </w:rPr>
              <w:t>商务符合性审查</w:t>
            </w:r>
          </w:p>
        </w:tc>
        <w:tc>
          <w:tcPr>
            <w:tcW w:w="3802" w:type="pct"/>
            <w:gridSpan w:val="2"/>
            <w:shd w:val="clear" w:color="auto" w:fill="FFFFFF" w:themeFill="background1"/>
            <w:vAlign w:val="center"/>
          </w:tcPr>
          <w:p>
            <w:pPr>
              <w:widowControl/>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投标文件对招标文件中“</w:t>
            </w:r>
            <w:r>
              <w:rPr>
                <w:rFonts w:hint="eastAsia" w:ascii="宋体" w:hAnsi="宋体" w:cs="宋体"/>
                <w:color w:val="auto"/>
                <w:sz w:val="24"/>
                <w:szCs w:val="24"/>
                <w:highlight w:val="none"/>
                <w:lang w:val="en-US" w:eastAsia="zh-CN"/>
              </w:rPr>
              <w:t>商务要求</w:t>
            </w:r>
            <w:r>
              <w:rPr>
                <w:rFonts w:hint="eastAsia" w:ascii="宋体" w:hAnsi="宋体" w:eastAsia="宋体" w:cs="宋体"/>
                <w:color w:val="auto"/>
                <w:sz w:val="24"/>
                <w:szCs w:val="24"/>
                <w:highlight w:val="none"/>
              </w:rPr>
              <w:t>”中的全部条款须完全</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，否则视为无效投标。</w:t>
            </w:r>
          </w:p>
          <w:p>
            <w:pPr>
              <w:keepNext w:val="0"/>
              <w:keepLines w:val="0"/>
              <w:widowControl/>
              <w:suppressLineNumbers w:val="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b/>
                <w:color w:val="auto"/>
                <w:sz w:val="24"/>
                <w:szCs w:val="24"/>
                <w:highlight w:val="none"/>
              </w:rPr>
              <w:t>评审依据：</w:t>
            </w:r>
            <w:r>
              <w:rPr>
                <w:rFonts w:hint="eastAsia" w:ascii="宋体" w:hAnsi="宋体" w:eastAsia="宋体" w:cs="宋体"/>
                <w:b/>
                <w:bCs/>
                <w:color w:val="auto"/>
                <w:kern w:val="0"/>
                <w:sz w:val="24"/>
                <w:szCs w:val="24"/>
                <w:highlight w:val="none"/>
              </w:rPr>
              <w:t>投标文件中提供的“</w:t>
            </w:r>
            <w:r>
              <w:rPr>
                <w:rFonts w:hint="eastAsia" w:ascii="宋体" w:hAnsi="宋体" w:eastAsia="宋体" w:cs="宋体"/>
                <w:b/>
                <w:color w:val="auto"/>
                <w:sz w:val="24"/>
                <w:szCs w:val="24"/>
                <w:highlight w:val="none"/>
              </w:rPr>
              <w:t>商务响应/偏离表</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或“商务条件完全响应承诺函”</w:t>
            </w:r>
            <w:r>
              <w:rPr>
                <w:rFonts w:hint="eastAsia" w:ascii="宋体" w:hAnsi="宋体" w:eastAsia="宋体" w:cs="宋体"/>
                <w:b/>
                <w:color w:val="auto"/>
                <w:sz w:val="24"/>
                <w:szCs w:val="24"/>
                <w:highlight w:val="none"/>
              </w:rPr>
              <w:t>，文件另有约定的从其约定。</w:t>
            </w:r>
          </w:p>
        </w:tc>
        <w:tc>
          <w:tcPr>
            <w:tcW w:w="576" w:type="pct"/>
            <w:gridSpan w:val="3"/>
            <w:shd w:val="clear" w:color="auto" w:fill="FFFFFF" w:themeFill="background1"/>
            <w:vAlign w:val="center"/>
          </w:tcPr>
          <w:p>
            <w:pPr>
              <w:jc w:val="center"/>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82" w:hRule="atLeast"/>
          <w:jc w:val="center"/>
        </w:trPr>
        <w:tc>
          <w:tcPr>
            <w:tcW w:w="620" w:type="pct"/>
            <w:gridSpan w:val="2"/>
            <w:shd w:val="clear" w:color="auto" w:fill="FFFFFF" w:themeFill="background1"/>
            <w:vAlign w:val="center"/>
          </w:tcPr>
          <w:p>
            <w:pPr>
              <w:keepNext w:val="0"/>
              <w:keepLines w:val="0"/>
              <w:widowControl/>
              <w:suppressLineNumbers w:val="0"/>
              <w:jc w:val="center"/>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售后服务</w:t>
            </w:r>
          </w:p>
        </w:tc>
        <w:tc>
          <w:tcPr>
            <w:tcW w:w="3802" w:type="pct"/>
            <w:gridSpan w:val="2"/>
            <w:shd w:val="clear" w:color="auto" w:fill="FFFFFF" w:themeFill="background1"/>
            <w:vAlign w:val="center"/>
          </w:tcPr>
          <w:p>
            <w:pPr>
              <w:keepNext w:val="0"/>
              <w:keepLines w:val="0"/>
              <w:widowControl/>
              <w:numPr>
                <w:ilvl w:val="0"/>
                <w:numId w:val="10"/>
              </w:numPr>
              <w:suppressLineNumbers w:val="0"/>
              <w:jc w:val="left"/>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所投产品发生故障时，投标人在接到采购人通知维修服务后随时应答，承诺2小时内上门服务得</w:t>
            </w:r>
            <w:r>
              <w:rPr>
                <w:rFonts w:hint="eastAsia" w:ascii="宋体" w:hAnsi="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lang w:val="en-US" w:eastAsia="zh-CN"/>
              </w:rPr>
              <w:t>分；承诺4小时内上门服务得</w:t>
            </w:r>
            <w:r>
              <w:rPr>
                <w:rFonts w:hint="eastAsia" w:ascii="宋体" w:hAnsi="宋体" w:cs="宋体"/>
                <w:bCs/>
                <w:color w:val="auto"/>
                <w:kern w:val="2"/>
                <w:sz w:val="24"/>
                <w:szCs w:val="24"/>
                <w:highlight w:val="none"/>
                <w:lang w:val="en-US" w:eastAsia="zh-CN"/>
              </w:rPr>
              <w:t>2</w:t>
            </w:r>
            <w:r>
              <w:rPr>
                <w:rFonts w:hint="eastAsia" w:ascii="宋体" w:hAnsi="宋体" w:eastAsia="宋体" w:cs="宋体"/>
                <w:bCs/>
                <w:color w:val="auto"/>
                <w:kern w:val="2"/>
                <w:sz w:val="24"/>
                <w:szCs w:val="24"/>
                <w:highlight w:val="none"/>
                <w:lang w:val="en-US" w:eastAsia="zh-CN"/>
              </w:rPr>
              <w:t>分；承诺5小时内上门服务得1分。</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评审依据：投标文件中提供</w:t>
            </w:r>
            <w:r>
              <w:rPr>
                <w:rFonts w:hint="eastAsia" w:ascii="宋体" w:hAnsi="宋体" w:cs="宋体"/>
                <w:b/>
                <w:bCs/>
                <w:color w:val="000000"/>
                <w:kern w:val="0"/>
                <w:sz w:val="24"/>
                <w:szCs w:val="24"/>
                <w:lang w:val="en-US" w:eastAsia="zh-CN" w:bidi="ar"/>
              </w:rPr>
              <w:t>符合上述要求的</w:t>
            </w:r>
            <w:r>
              <w:rPr>
                <w:rFonts w:hint="eastAsia" w:ascii="宋体" w:hAnsi="宋体" w:eastAsia="宋体" w:cs="宋体"/>
                <w:b/>
                <w:bCs/>
                <w:color w:val="000000"/>
                <w:kern w:val="0"/>
                <w:sz w:val="24"/>
                <w:szCs w:val="24"/>
                <w:lang w:val="en-US" w:eastAsia="zh-CN" w:bidi="ar"/>
              </w:rPr>
              <w:t>承诺函加盖投标人公章</w:t>
            </w:r>
            <w:r>
              <w:rPr>
                <w:rFonts w:hint="eastAsia" w:ascii="宋体" w:hAnsi="宋体" w:eastAsia="宋体" w:cs="宋体"/>
                <w:b/>
                <w:bCs w:val="0"/>
                <w:color w:val="auto"/>
                <w:kern w:val="2"/>
                <w:sz w:val="24"/>
                <w:szCs w:val="24"/>
                <w:highlight w:val="none"/>
                <w:lang w:val="en-US" w:eastAsia="zh-CN"/>
              </w:rPr>
              <w:t>佐证</w:t>
            </w:r>
            <w:r>
              <w:rPr>
                <w:rFonts w:hint="eastAsia" w:ascii="宋体" w:hAnsi="宋体" w:eastAsia="宋体" w:cs="宋体"/>
                <w:b/>
                <w:bCs w:val="0"/>
                <w:color w:val="auto"/>
                <w:sz w:val="24"/>
                <w:szCs w:val="24"/>
                <w:highlight w:val="none"/>
                <w:lang w:val="en-US" w:eastAsia="zh-CN"/>
              </w:rPr>
              <w:t>，未提供或者提供不符合的不得分</w:t>
            </w:r>
            <w:r>
              <w:rPr>
                <w:rFonts w:hint="eastAsia" w:ascii="宋体" w:hAnsi="宋体" w:eastAsia="宋体" w:cs="宋体"/>
                <w:b/>
                <w:bCs/>
                <w:color w:val="000000"/>
                <w:kern w:val="0"/>
                <w:sz w:val="24"/>
                <w:szCs w:val="24"/>
                <w:lang w:val="en-US" w:eastAsia="zh-CN" w:bidi="ar"/>
              </w:rPr>
              <w:t>。</w:t>
            </w:r>
          </w:p>
          <w:p>
            <w:pPr>
              <w:keepNext w:val="0"/>
              <w:keepLines w:val="0"/>
              <w:widowControl/>
              <w:suppressLineNumbers w:val="0"/>
              <w:jc w:val="left"/>
              <w:rPr>
                <w:rFonts w:hint="eastAsia" w:ascii="宋体" w:hAnsi="宋体" w:cs="宋体"/>
                <w:b w:val="0"/>
                <w:bCs/>
                <w:color w:val="auto"/>
                <w:kern w:val="2"/>
                <w:sz w:val="24"/>
                <w:szCs w:val="24"/>
                <w:highlight w:val="none"/>
                <w:lang w:val="en-US" w:eastAsia="zh-CN" w:bidi="ar"/>
              </w:rPr>
            </w:pPr>
            <w:r>
              <w:rPr>
                <w:rFonts w:hint="eastAsia" w:ascii="宋体" w:hAnsi="宋体" w:cs="宋体"/>
                <w:b w:val="0"/>
                <w:bCs/>
                <w:color w:val="auto"/>
                <w:kern w:val="2"/>
                <w:sz w:val="24"/>
                <w:szCs w:val="24"/>
                <w:highlight w:val="none"/>
                <w:lang w:val="en-US" w:eastAsia="zh-CN" w:bidi="ar"/>
              </w:rPr>
              <w:t>2.</w:t>
            </w:r>
            <w:r>
              <w:rPr>
                <w:rFonts w:hint="eastAsia" w:ascii="宋体" w:hAnsi="宋体" w:eastAsia="宋体" w:cs="宋体"/>
                <w:b w:val="0"/>
                <w:bCs/>
                <w:color w:val="auto"/>
                <w:kern w:val="2"/>
                <w:sz w:val="24"/>
                <w:szCs w:val="24"/>
                <w:highlight w:val="none"/>
                <w:lang w:val="en-US" w:eastAsia="zh-CN" w:bidi="ar"/>
              </w:rPr>
              <w:t>所投</w:t>
            </w:r>
            <w:r>
              <w:rPr>
                <w:rFonts w:hint="eastAsia" w:ascii="宋体" w:hAnsi="宋体" w:eastAsia="宋体" w:cs="宋体"/>
                <w:bCs/>
                <w:color w:val="auto"/>
                <w:sz w:val="24"/>
                <w:szCs w:val="24"/>
                <w:highlight w:val="none"/>
                <w:lang w:val="en-US" w:eastAsia="zh-CN"/>
              </w:rPr>
              <w:t>教师工作站</w:t>
            </w:r>
            <w:r>
              <w:rPr>
                <w:rFonts w:hint="eastAsia" w:ascii="宋体" w:hAnsi="宋体" w:cs="宋体"/>
                <w:bCs/>
                <w:color w:val="auto"/>
                <w:sz w:val="24"/>
                <w:szCs w:val="24"/>
                <w:highlight w:val="none"/>
                <w:lang w:val="en-US" w:eastAsia="zh-CN"/>
              </w:rPr>
              <w:t>、</w:t>
            </w:r>
            <w:r>
              <w:rPr>
                <w:rFonts w:hint="eastAsia" w:ascii="宋体" w:hAnsi="宋体" w:eastAsia="宋体" w:cs="宋体"/>
                <w:b w:val="0"/>
                <w:bCs/>
                <w:color w:val="auto"/>
                <w:kern w:val="2"/>
                <w:sz w:val="24"/>
                <w:szCs w:val="24"/>
                <w:highlight w:val="none"/>
                <w:lang w:val="en-US" w:eastAsia="zh-CN" w:bidi="ar"/>
              </w:rPr>
              <w:t>台式计算机在</w:t>
            </w:r>
            <w:r>
              <w:rPr>
                <w:rFonts w:hint="eastAsia" w:ascii="宋体" w:hAnsi="宋体" w:cs="宋体"/>
                <w:b w:val="0"/>
                <w:bCs/>
                <w:color w:val="auto"/>
                <w:kern w:val="2"/>
                <w:sz w:val="24"/>
                <w:szCs w:val="24"/>
                <w:highlight w:val="none"/>
                <w:lang w:val="en-US" w:eastAsia="zh-CN" w:bidi="ar"/>
              </w:rPr>
              <w:t>三</w:t>
            </w:r>
            <w:r>
              <w:rPr>
                <w:rFonts w:hint="eastAsia" w:ascii="宋体" w:hAnsi="宋体" w:eastAsia="宋体" w:cs="宋体"/>
                <w:b w:val="0"/>
                <w:bCs/>
                <w:color w:val="auto"/>
                <w:kern w:val="2"/>
                <w:sz w:val="24"/>
                <w:szCs w:val="24"/>
                <w:highlight w:val="none"/>
                <w:lang w:val="en-US" w:eastAsia="zh-CN" w:bidi="ar"/>
              </w:rPr>
              <w:t>年原厂售后服务期的基础上，售后服务期每延长</w:t>
            </w:r>
            <w:r>
              <w:rPr>
                <w:rFonts w:hint="eastAsia" w:ascii="宋体" w:hAnsi="宋体" w:cs="宋体"/>
                <w:b w:val="0"/>
                <w:bCs/>
                <w:color w:val="auto"/>
                <w:kern w:val="2"/>
                <w:sz w:val="24"/>
                <w:szCs w:val="24"/>
                <w:highlight w:val="none"/>
                <w:lang w:val="en-US" w:eastAsia="zh-CN" w:bidi="ar"/>
              </w:rPr>
              <w:t>一</w:t>
            </w:r>
            <w:r>
              <w:rPr>
                <w:rFonts w:hint="eastAsia" w:ascii="宋体" w:hAnsi="宋体" w:eastAsia="宋体" w:cs="宋体"/>
                <w:b w:val="0"/>
                <w:bCs/>
                <w:color w:val="auto"/>
                <w:kern w:val="2"/>
                <w:sz w:val="24"/>
                <w:szCs w:val="24"/>
                <w:highlight w:val="none"/>
                <w:lang w:val="en-US" w:eastAsia="zh-CN" w:bidi="ar"/>
              </w:rPr>
              <w:t>年得</w:t>
            </w:r>
            <w:r>
              <w:rPr>
                <w:rFonts w:hint="eastAsia" w:ascii="宋体" w:hAnsi="宋体" w:cs="宋体"/>
                <w:b w:val="0"/>
                <w:bCs/>
                <w:color w:val="auto"/>
                <w:kern w:val="2"/>
                <w:sz w:val="24"/>
                <w:szCs w:val="24"/>
                <w:highlight w:val="none"/>
                <w:lang w:val="en-US" w:eastAsia="zh-CN" w:bidi="ar"/>
              </w:rPr>
              <w:t>2</w:t>
            </w:r>
            <w:r>
              <w:rPr>
                <w:rFonts w:hint="eastAsia" w:ascii="宋体" w:hAnsi="宋体" w:eastAsia="宋体" w:cs="宋体"/>
                <w:b w:val="0"/>
                <w:bCs/>
                <w:color w:val="auto"/>
                <w:kern w:val="2"/>
                <w:sz w:val="24"/>
                <w:szCs w:val="24"/>
                <w:highlight w:val="none"/>
                <w:lang w:val="en-US" w:eastAsia="zh-CN" w:bidi="ar"/>
              </w:rPr>
              <w:t>分，最多得</w:t>
            </w:r>
            <w:r>
              <w:rPr>
                <w:rFonts w:hint="eastAsia" w:ascii="宋体" w:hAnsi="宋体" w:cs="宋体"/>
                <w:b w:val="0"/>
                <w:bCs/>
                <w:color w:val="auto"/>
                <w:kern w:val="2"/>
                <w:sz w:val="24"/>
                <w:szCs w:val="24"/>
                <w:highlight w:val="none"/>
                <w:lang w:val="en-US" w:eastAsia="zh-CN" w:bidi="ar"/>
              </w:rPr>
              <w:t>4</w:t>
            </w:r>
            <w:r>
              <w:rPr>
                <w:rFonts w:hint="eastAsia" w:ascii="宋体" w:hAnsi="宋体" w:eastAsia="宋体" w:cs="宋体"/>
                <w:b w:val="0"/>
                <w:bCs/>
                <w:color w:val="auto"/>
                <w:kern w:val="2"/>
                <w:sz w:val="24"/>
                <w:szCs w:val="24"/>
                <w:highlight w:val="none"/>
                <w:lang w:val="en-US" w:eastAsia="zh-CN" w:bidi="ar"/>
              </w:rPr>
              <w:t>分</w:t>
            </w:r>
            <w:r>
              <w:rPr>
                <w:rFonts w:hint="eastAsia"/>
                <w:sz w:val="24"/>
                <w:szCs w:val="24"/>
                <w:lang w:val="en-US" w:eastAsia="zh-CN"/>
              </w:rPr>
              <w:t>，所需费用包含在投标报价中</w:t>
            </w:r>
            <w:r>
              <w:rPr>
                <w:rFonts w:hint="eastAsia" w:ascii="宋体" w:hAnsi="宋体" w:cs="宋体"/>
                <w:b w:val="0"/>
                <w:bCs/>
                <w:color w:val="auto"/>
                <w:kern w:val="2"/>
                <w:sz w:val="24"/>
                <w:szCs w:val="24"/>
                <w:highlight w:val="none"/>
                <w:lang w:val="en-US" w:eastAsia="zh-CN" w:bidi="ar"/>
              </w:rPr>
              <w:t>。</w:t>
            </w:r>
          </w:p>
          <w:p>
            <w:pPr>
              <w:widowControl/>
              <w:jc w:val="left"/>
              <w:rPr>
                <w:rFonts w:hint="default" w:eastAsia="宋体"/>
                <w:lang w:val="en-US" w:eastAsia="zh-CN"/>
              </w:rPr>
            </w:pPr>
            <w:r>
              <w:rPr>
                <w:rFonts w:hint="eastAsia" w:ascii="宋体" w:hAnsi="宋体" w:eastAsia="宋体" w:cs="宋体"/>
                <w:b/>
                <w:bCs w:val="0"/>
                <w:color w:val="auto"/>
                <w:kern w:val="2"/>
                <w:sz w:val="24"/>
                <w:szCs w:val="24"/>
                <w:highlight w:val="none"/>
                <w:lang w:val="en-US" w:eastAsia="zh-CN"/>
              </w:rPr>
              <w:t>评审依据：投标文件中提供符合上述要求的售后服务承诺函并加盖</w:t>
            </w:r>
            <w:r>
              <w:rPr>
                <w:rFonts w:hint="eastAsia" w:ascii="宋体" w:hAnsi="宋体" w:cs="宋体"/>
                <w:b/>
                <w:bCs w:val="0"/>
                <w:color w:val="auto"/>
                <w:kern w:val="2"/>
                <w:sz w:val="24"/>
                <w:szCs w:val="24"/>
                <w:highlight w:val="none"/>
                <w:lang w:val="en-US" w:eastAsia="zh-CN"/>
              </w:rPr>
              <w:t>制造商</w:t>
            </w:r>
            <w:r>
              <w:rPr>
                <w:rFonts w:hint="eastAsia" w:ascii="宋体" w:hAnsi="宋体" w:eastAsia="宋体" w:cs="宋体"/>
                <w:b/>
                <w:bCs w:val="0"/>
                <w:color w:val="auto"/>
                <w:kern w:val="2"/>
                <w:sz w:val="24"/>
                <w:szCs w:val="24"/>
                <w:highlight w:val="none"/>
                <w:lang w:val="en-US" w:eastAsia="zh-CN"/>
              </w:rPr>
              <w:t>公章佐证</w:t>
            </w:r>
            <w:r>
              <w:rPr>
                <w:rFonts w:hint="eastAsia" w:ascii="宋体" w:hAnsi="宋体" w:eastAsia="宋体" w:cs="宋体"/>
                <w:b/>
                <w:bCs w:val="0"/>
                <w:color w:val="auto"/>
                <w:sz w:val="24"/>
                <w:szCs w:val="24"/>
                <w:highlight w:val="none"/>
                <w:lang w:val="en-US" w:eastAsia="zh-CN"/>
              </w:rPr>
              <w:t>，未提供或者提供不符合的不得分</w:t>
            </w:r>
            <w:r>
              <w:rPr>
                <w:rFonts w:hint="eastAsia" w:ascii="宋体" w:hAnsi="宋体" w:eastAsia="宋体" w:cs="宋体"/>
                <w:b/>
                <w:bCs w:val="0"/>
                <w:color w:val="auto"/>
                <w:kern w:val="2"/>
                <w:sz w:val="24"/>
                <w:szCs w:val="24"/>
                <w:highlight w:val="none"/>
                <w:lang w:val="en-US" w:eastAsia="zh-CN"/>
              </w:rPr>
              <w:t>。</w:t>
            </w:r>
          </w:p>
        </w:tc>
        <w:tc>
          <w:tcPr>
            <w:tcW w:w="576" w:type="pct"/>
            <w:gridSpan w:val="3"/>
            <w:shd w:val="clear" w:color="auto" w:fill="FFFFFF" w:themeFill="background1"/>
            <w:vAlign w:val="center"/>
          </w:tcPr>
          <w:p>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分</w:t>
            </w:r>
          </w:p>
        </w:tc>
      </w:tr>
    </w:tbl>
    <w:p>
      <w:pPr>
        <w:pageBreakBefore w:val="0"/>
        <w:shd w:val="clear" w:fill="FFFFFF" w:themeFill="background1"/>
        <w:kinsoku/>
        <w:wordWrap/>
        <w:overflowPunct/>
        <w:topLinePunct w:val="0"/>
        <w:bidi w:val="0"/>
        <w:spacing w:line="360" w:lineRule="auto"/>
        <w:textAlignment w:val="auto"/>
        <w:rPr>
          <w:rFonts w:hint="eastAsia" w:ascii="宋体" w:hAnsi="宋体" w:eastAsia="宋体" w:cs="宋体"/>
          <w:color w:val="auto"/>
          <w:sz w:val="24"/>
          <w:szCs w:val="24"/>
          <w:highlight w:val="none"/>
        </w:rPr>
      </w:pPr>
    </w:p>
    <w:sectPr>
      <w:pgSz w:w="11906" w:h="16838"/>
      <w:pgMar w:top="1247" w:right="1417" w:bottom="1702" w:left="1417"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oto Sans CJK JP Regular">
    <w:altName w:val="Arial"/>
    <w:panose1 w:val="00000000000000000000"/>
    <w:charset w:val="00"/>
    <w:family w:val="swiss"/>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ActionIcon ! importan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4"/>
      </w:rPr>
    </w:pPr>
    <w:r>
      <w:fldChar w:fldCharType="begin"/>
    </w:r>
    <w:r>
      <w:rPr>
        <w:rStyle w:val="44"/>
      </w:rPr>
      <w:instrText xml:space="preserve">PAGE  </w:instrText>
    </w:r>
    <w:r>
      <w:fldChar w:fldCharType="separate"/>
    </w:r>
    <w:r>
      <w:rPr>
        <w:rStyle w:val="44"/>
      </w:rPr>
      <w:t>II</w:t>
    </w:r>
    <w:r>
      <w:fldChar w:fldCharType="end"/>
    </w:r>
  </w:p>
  <w:p>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rPr>
        <w:lang w:val="zh-CN"/>
      </w:rPr>
      <w:t>9</w:t>
    </w:r>
    <w:r>
      <w:rPr>
        <w:lang w:val="zh-CN"/>
      </w:rPr>
      <w:fldChar w:fldCharType="end"/>
    </w:r>
  </w:p>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4"/>
      </w:rPr>
    </w:pPr>
    <w:r>
      <w:fldChar w:fldCharType="begin"/>
    </w:r>
    <w:r>
      <w:rPr>
        <w:rStyle w:val="44"/>
      </w:rPr>
      <w:instrText xml:space="preserve">PAGE  </w:instrText>
    </w:r>
    <w:r>
      <w:fldChar w:fldCharType="end"/>
    </w:r>
  </w:p>
  <w:p>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4"/>
      </w:rPr>
    </w:pPr>
    <w:r>
      <w:rPr>
        <w:rStyle w:val="44"/>
      </w:rPr>
      <w:fldChar w:fldCharType="begin"/>
    </w:r>
    <w:r>
      <w:rPr>
        <w:rStyle w:val="44"/>
      </w:rPr>
      <w:instrText xml:space="preserve">PAGE  </w:instrText>
    </w:r>
    <w:r>
      <w:rPr>
        <w:rStyle w:val="44"/>
      </w:rPr>
      <w:fldChar w:fldCharType="separate"/>
    </w:r>
    <w:r>
      <w:rPr>
        <w:rStyle w:val="44"/>
      </w:rPr>
      <w:t>55</w:t>
    </w:r>
    <w:r>
      <w:rPr>
        <w:rStyle w:val="44"/>
      </w:rPr>
      <w:fldChar w:fldCharType="end"/>
    </w:r>
  </w:p>
  <w:p>
    <w:pPr>
      <w:pStyle w:val="24"/>
      <w:ind w:right="360"/>
      <w:jc w:val="center"/>
    </w:pP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4"/>
      </w:rPr>
    </w:pPr>
    <w:r>
      <w:rPr>
        <w:rStyle w:val="44"/>
      </w:rPr>
      <w:fldChar w:fldCharType="begin"/>
    </w:r>
    <w:r>
      <w:rPr>
        <w:rStyle w:val="44"/>
      </w:rPr>
      <w:instrText xml:space="preserve">PAGE  </w:instrText>
    </w:r>
    <w:r>
      <w:rPr>
        <w:rStyle w:val="44"/>
      </w:rPr>
      <w:fldChar w:fldCharType="end"/>
    </w:r>
  </w:p>
  <w:p>
    <w:pPr>
      <w:pStyle w:val="2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ckThinSmallGap" w:color="622423" w:themeColor="accent2" w:themeShade="7F" w:sz="24" w:space="1"/>
      </w:pBdr>
      <w:jc w:val="right"/>
      <w:rPr>
        <w:rFonts w:asciiTheme="majorHAnsi" w:hAnsiTheme="majorHAnsi" w:eastAsiaTheme="majorEastAsia" w:cstheme="majorBidi"/>
        <w:sz w:val="24"/>
        <w:szCs w:val="24"/>
      </w:rPr>
    </w:pPr>
    <w:r>
      <w:rPr>
        <w:sz w:val="24"/>
      </w:rPr>
      <w:pict>
        <v:shape id="_x0000_s2049" o:spid="_x0000_s2049" o:spt="136" type="#_x0000_t136" style="position:absolute;left:0pt;height:54.1pt;width:533.15pt;mso-position-horizontal:center;mso-position-horizontal-relative:margin;mso-position-vertical:center;mso-position-vertical-relative:margin;rotation:-2949120f;z-index:-251657216;mso-width-relative:page;mso-height-relative:page;" fillcolor="#C0C0C0" filled="t" stroked="f" coordsize="21600,21600">
          <v:path/>
          <v:fill on="t" opacity="32768f" focussize="0,0"/>
          <v:stroke on="f"/>
          <v:imagedata o:title=""/>
          <o:lock v:ext="edit" aspectratio="t"/>
          <v:textpath on="t" fitshape="t" fitpath="t" trim="t" xscale="f" string="江西省机电设备招标有限公司" style="font-family:微软雅黑;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5B758"/>
    <w:multiLevelType w:val="singleLevel"/>
    <w:tmpl w:val="8C25B758"/>
    <w:lvl w:ilvl="0" w:tentative="0">
      <w:start w:val="1"/>
      <w:numFmt w:val="chineseCounting"/>
      <w:suff w:val="nothing"/>
      <w:lvlText w:val="第%1章　"/>
      <w:lvlJc w:val="left"/>
      <w:rPr>
        <w:rFonts w:hint="eastAsia"/>
      </w:rPr>
    </w:lvl>
  </w:abstractNum>
  <w:abstractNum w:abstractNumId="1">
    <w:nsid w:val="A3152414"/>
    <w:multiLevelType w:val="singleLevel"/>
    <w:tmpl w:val="A3152414"/>
    <w:lvl w:ilvl="0" w:tentative="0">
      <w:start w:val="1"/>
      <w:numFmt w:val="decimal"/>
      <w:lvlText w:val="%1."/>
      <w:lvlJc w:val="left"/>
      <w:pPr>
        <w:tabs>
          <w:tab w:val="left" w:pos="312"/>
        </w:tabs>
      </w:pPr>
    </w:lvl>
  </w:abstractNum>
  <w:abstractNum w:abstractNumId="2">
    <w:nsid w:val="CF092B84"/>
    <w:multiLevelType w:val="singleLevel"/>
    <w:tmpl w:val="CF092B8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3">
    <w:nsid w:val="0053208E"/>
    <w:multiLevelType w:val="multilevel"/>
    <w:tmpl w:val="0053208E"/>
    <w:lvl w:ilvl="0" w:tentative="0">
      <w:start w:val="1"/>
      <w:numFmt w:val="decimal"/>
      <w:lvlText w:val="%1."/>
      <w:lvlJc w:val="left"/>
      <w:pPr>
        <w:ind w:left="205" w:hanging="322"/>
        <w:jc w:val="left"/>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4">
    <w:nsid w:val="1A4AF931"/>
    <w:multiLevelType w:val="singleLevel"/>
    <w:tmpl w:val="1A4AF931"/>
    <w:lvl w:ilvl="0" w:tentative="0">
      <w:start w:val="1"/>
      <w:numFmt w:val="decimal"/>
      <w:suff w:val="nothing"/>
      <w:lvlText w:val="%1、"/>
      <w:lvlJc w:val="left"/>
    </w:lvl>
  </w:abstractNum>
  <w:abstractNum w:abstractNumId="5">
    <w:nsid w:val="3B9F265C"/>
    <w:multiLevelType w:val="singleLevel"/>
    <w:tmpl w:val="3B9F265C"/>
    <w:lvl w:ilvl="0" w:tentative="0">
      <w:start w:val="2"/>
      <w:numFmt w:val="decimal"/>
      <w:suff w:val="nothing"/>
      <w:lvlText w:val="%1、"/>
      <w:lvlJc w:val="left"/>
    </w:lvl>
  </w:abstractNum>
  <w:abstractNum w:abstractNumId="6">
    <w:nsid w:val="46AB4392"/>
    <w:multiLevelType w:val="multilevel"/>
    <w:tmpl w:val="46AB4392"/>
    <w:lvl w:ilvl="0" w:tentative="0">
      <w:start w:val="1"/>
      <w:numFmt w:val="chineseCountingThousand"/>
      <w:lvlText w:val="%1、"/>
      <w:lvlJc w:val="left"/>
      <w:pPr>
        <w:tabs>
          <w:tab w:val="left" w:pos="142"/>
        </w:tabs>
        <w:ind w:left="142" w:firstLine="0"/>
      </w:pPr>
      <w:rPr>
        <w:rFonts w:hint="eastAsia"/>
        <w:spacing w:val="0"/>
        <w:position w:val="0"/>
      </w:rPr>
    </w:lvl>
    <w:lvl w:ilvl="1" w:tentative="0">
      <w:start w:val="1"/>
      <w:numFmt w:val="decimal"/>
      <w:lvlText w:val="%2、"/>
      <w:lvlJc w:val="left"/>
      <w:pPr>
        <w:tabs>
          <w:tab w:val="left" w:pos="0"/>
        </w:tabs>
        <w:ind w:left="0" w:firstLine="0"/>
      </w:pPr>
      <w:rPr>
        <w:rFonts w:hint="eastAsia"/>
      </w:rPr>
    </w:lvl>
    <w:lvl w:ilvl="2" w:tentative="0">
      <w:start w:val="1"/>
      <w:numFmt w:val="decimal"/>
      <w:lvlText w:val="%2.%3、"/>
      <w:lvlJc w:val="left"/>
      <w:pPr>
        <w:tabs>
          <w:tab w:val="left" w:pos="0"/>
        </w:tabs>
        <w:ind w:left="0" w:firstLine="0"/>
      </w:pPr>
      <w:rPr>
        <w:rFonts w:hint="eastAsia"/>
      </w:rPr>
    </w:lvl>
    <w:lvl w:ilvl="3" w:tentative="0">
      <w:start w:val="1"/>
      <w:numFmt w:val="decimal"/>
      <w:lvlText w:val="%2.%3.%4、"/>
      <w:lvlJc w:val="left"/>
      <w:pPr>
        <w:tabs>
          <w:tab w:val="left" w:pos="0"/>
        </w:tabs>
        <w:ind w:left="0" w:firstLine="0"/>
      </w:pPr>
      <w:rPr>
        <w:rFonts w:hint="eastAsia"/>
      </w:rPr>
    </w:lvl>
    <w:lvl w:ilvl="4" w:tentative="0">
      <w:start w:val="1"/>
      <w:numFmt w:val="decimal"/>
      <w:lvlText w:val="%2.%3.%4.%5、"/>
      <w:lvlJc w:val="left"/>
      <w:pPr>
        <w:tabs>
          <w:tab w:val="left" w:pos="0"/>
        </w:tabs>
        <w:ind w:left="0" w:firstLine="0"/>
      </w:pPr>
      <w:rPr>
        <w:rFonts w:hint="eastAsia"/>
      </w:rPr>
    </w:lvl>
    <w:lvl w:ilvl="5" w:tentative="0">
      <w:start w:val="1"/>
      <w:numFmt w:val="decimal"/>
      <w:lvlText w:val="%2.%3.%4.%5.%6、"/>
      <w:lvlJc w:val="left"/>
      <w:pPr>
        <w:tabs>
          <w:tab w:val="left" w:pos="0"/>
        </w:tabs>
        <w:ind w:left="0" w:firstLine="0"/>
      </w:pPr>
      <w:rPr>
        <w:rFonts w:hint="eastAsia"/>
      </w:rPr>
    </w:lvl>
    <w:lvl w:ilvl="6" w:tentative="0">
      <w:start w:val="1"/>
      <w:numFmt w:val="decimal"/>
      <w:lvlText w:val="%2.%3.%4.%5.%6.%7、"/>
      <w:lvlJc w:val="left"/>
      <w:pPr>
        <w:tabs>
          <w:tab w:val="left" w:pos="0"/>
        </w:tabs>
        <w:ind w:left="0" w:firstLine="0"/>
      </w:pPr>
      <w:rPr>
        <w:rFonts w:hint="eastAsia"/>
      </w:rPr>
    </w:lvl>
    <w:lvl w:ilvl="7" w:tentative="0">
      <w:start w:val="1"/>
      <w:numFmt w:val="decimal"/>
      <w:lvlText w:val="%2.%3.%4.%5.%6.%7.%8"/>
      <w:lvlJc w:val="left"/>
      <w:pPr>
        <w:tabs>
          <w:tab w:val="left" w:pos="1440"/>
        </w:tabs>
        <w:ind w:left="1440" w:hanging="1440"/>
      </w:pPr>
      <w:rPr>
        <w:rFonts w:hint="eastAsia"/>
      </w:rPr>
    </w:lvl>
    <w:lvl w:ilvl="8" w:tentative="0">
      <w:start w:val="1"/>
      <w:numFmt w:val="decimal"/>
      <w:lvlText w:val="%2.%3.%4.%5.%6.%7.%8.%9"/>
      <w:lvlJc w:val="left"/>
      <w:pPr>
        <w:tabs>
          <w:tab w:val="left" w:pos="1584"/>
        </w:tabs>
        <w:ind w:left="1584" w:hanging="1584"/>
      </w:pPr>
      <w:rPr>
        <w:rFonts w:hint="eastAsia"/>
      </w:rPr>
    </w:lvl>
  </w:abstractNum>
  <w:abstractNum w:abstractNumId="7">
    <w:nsid w:val="4992E6FE"/>
    <w:multiLevelType w:val="singleLevel"/>
    <w:tmpl w:val="4992E6FE"/>
    <w:lvl w:ilvl="0" w:tentative="0">
      <w:start w:val="1"/>
      <w:numFmt w:val="decimal"/>
      <w:lvlText w:val="%1."/>
      <w:lvlJc w:val="left"/>
      <w:pPr>
        <w:tabs>
          <w:tab w:val="left" w:pos="312"/>
        </w:tabs>
      </w:pPr>
    </w:lvl>
  </w:abstractNum>
  <w:abstractNum w:abstractNumId="8">
    <w:nsid w:val="4C5164DC"/>
    <w:multiLevelType w:val="singleLevel"/>
    <w:tmpl w:val="4C5164DC"/>
    <w:lvl w:ilvl="0" w:tentative="0">
      <w:start w:val="6"/>
      <w:numFmt w:val="chineseCounting"/>
      <w:suff w:val="nothing"/>
      <w:lvlText w:val="%1、"/>
      <w:lvlJc w:val="left"/>
      <w:rPr>
        <w:rFonts w:hint="eastAsia"/>
      </w:rPr>
    </w:lvl>
  </w:abstractNum>
  <w:abstractNum w:abstractNumId="9">
    <w:nsid w:val="79B69927"/>
    <w:multiLevelType w:val="singleLevel"/>
    <w:tmpl w:val="79B69927"/>
    <w:lvl w:ilvl="0" w:tentative="0">
      <w:start w:val="2"/>
      <w:numFmt w:val="decimal"/>
      <w:suff w:val="nothing"/>
      <w:lvlText w:val="%1、"/>
      <w:lvlJc w:val="left"/>
    </w:lvl>
  </w:abstractNum>
  <w:num w:numId="1">
    <w:abstractNumId w:val="0"/>
  </w:num>
  <w:num w:numId="2">
    <w:abstractNumId w:val="8"/>
  </w:num>
  <w:num w:numId="3">
    <w:abstractNumId w:val="4"/>
  </w:num>
  <w:num w:numId="4">
    <w:abstractNumId w:val="5"/>
  </w:num>
  <w:num w:numId="5">
    <w:abstractNumId w:val="2"/>
  </w:num>
  <w:num w:numId="6">
    <w:abstractNumId w:val="3"/>
  </w:num>
  <w:num w:numId="7">
    <w:abstractNumId w:val="9"/>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xMWQyYTM4NGRkNjJjYmFmNTA4NGI0OGZhNWQwNWQifQ=="/>
  </w:docVars>
  <w:rsids>
    <w:rsidRoot w:val="00172A27"/>
    <w:rsid w:val="00000569"/>
    <w:rsid w:val="00000BAA"/>
    <w:rsid w:val="00000C4F"/>
    <w:rsid w:val="00001317"/>
    <w:rsid w:val="000030BF"/>
    <w:rsid w:val="00003F35"/>
    <w:rsid w:val="00004266"/>
    <w:rsid w:val="000042DA"/>
    <w:rsid w:val="00004CF8"/>
    <w:rsid w:val="00004F43"/>
    <w:rsid w:val="00005D32"/>
    <w:rsid w:val="00006BAC"/>
    <w:rsid w:val="00007B8C"/>
    <w:rsid w:val="00010DE6"/>
    <w:rsid w:val="000126C4"/>
    <w:rsid w:val="000133D3"/>
    <w:rsid w:val="0001341C"/>
    <w:rsid w:val="00015D57"/>
    <w:rsid w:val="00017DA6"/>
    <w:rsid w:val="00021193"/>
    <w:rsid w:val="00023402"/>
    <w:rsid w:val="000248EC"/>
    <w:rsid w:val="00024F42"/>
    <w:rsid w:val="00026A94"/>
    <w:rsid w:val="000272CF"/>
    <w:rsid w:val="00030396"/>
    <w:rsid w:val="00032AD0"/>
    <w:rsid w:val="000346F1"/>
    <w:rsid w:val="000354BB"/>
    <w:rsid w:val="00036427"/>
    <w:rsid w:val="00036E51"/>
    <w:rsid w:val="0003712C"/>
    <w:rsid w:val="000410AC"/>
    <w:rsid w:val="0004139A"/>
    <w:rsid w:val="000422C2"/>
    <w:rsid w:val="00042DAF"/>
    <w:rsid w:val="00043708"/>
    <w:rsid w:val="00043B3B"/>
    <w:rsid w:val="000448B3"/>
    <w:rsid w:val="00046963"/>
    <w:rsid w:val="00050DB8"/>
    <w:rsid w:val="000510E6"/>
    <w:rsid w:val="000520FB"/>
    <w:rsid w:val="000532CD"/>
    <w:rsid w:val="0005372A"/>
    <w:rsid w:val="00054079"/>
    <w:rsid w:val="0005410D"/>
    <w:rsid w:val="00054B4B"/>
    <w:rsid w:val="00057086"/>
    <w:rsid w:val="000576CD"/>
    <w:rsid w:val="00057F56"/>
    <w:rsid w:val="0006129A"/>
    <w:rsid w:val="00061311"/>
    <w:rsid w:val="00061F80"/>
    <w:rsid w:val="00062279"/>
    <w:rsid w:val="00063A90"/>
    <w:rsid w:val="00065F84"/>
    <w:rsid w:val="000664E8"/>
    <w:rsid w:val="00066EC5"/>
    <w:rsid w:val="000673D6"/>
    <w:rsid w:val="000676F1"/>
    <w:rsid w:val="00067C22"/>
    <w:rsid w:val="0007092F"/>
    <w:rsid w:val="00071DCC"/>
    <w:rsid w:val="00073C10"/>
    <w:rsid w:val="0007511D"/>
    <w:rsid w:val="000751AD"/>
    <w:rsid w:val="0007641A"/>
    <w:rsid w:val="000770A2"/>
    <w:rsid w:val="000774ED"/>
    <w:rsid w:val="00077716"/>
    <w:rsid w:val="00077DA2"/>
    <w:rsid w:val="000803C5"/>
    <w:rsid w:val="00081071"/>
    <w:rsid w:val="000815E3"/>
    <w:rsid w:val="00084BD4"/>
    <w:rsid w:val="00084D2D"/>
    <w:rsid w:val="000859AC"/>
    <w:rsid w:val="00085C01"/>
    <w:rsid w:val="000878D0"/>
    <w:rsid w:val="00087AA0"/>
    <w:rsid w:val="00087B64"/>
    <w:rsid w:val="00087D72"/>
    <w:rsid w:val="000906F9"/>
    <w:rsid w:val="000908B2"/>
    <w:rsid w:val="000908C7"/>
    <w:rsid w:val="000910D9"/>
    <w:rsid w:val="00094055"/>
    <w:rsid w:val="0009473C"/>
    <w:rsid w:val="00095423"/>
    <w:rsid w:val="000A479C"/>
    <w:rsid w:val="000A4B92"/>
    <w:rsid w:val="000A53F7"/>
    <w:rsid w:val="000A55A8"/>
    <w:rsid w:val="000A5623"/>
    <w:rsid w:val="000A566C"/>
    <w:rsid w:val="000A58AC"/>
    <w:rsid w:val="000A6CE4"/>
    <w:rsid w:val="000A7B3B"/>
    <w:rsid w:val="000A7C53"/>
    <w:rsid w:val="000A7D19"/>
    <w:rsid w:val="000B2BAA"/>
    <w:rsid w:val="000B37E4"/>
    <w:rsid w:val="000B49D9"/>
    <w:rsid w:val="000B4B48"/>
    <w:rsid w:val="000B5CD4"/>
    <w:rsid w:val="000C089E"/>
    <w:rsid w:val="000C0ADD"/>
    <w:rsid w:val="000C12E4"/>
    <w:rsid w:val="000C196D"/>
    <w:rsid w:val="000C1D83"/>
    <w:rsid w:val="000C1F6D"/>
    <w:rsid w:val="000C269C"/>
    <w:rsid w:val="000C2FD6"/>
    <w:rsid w:val="000C2FD9"/>
    <w:rsid w:val="000C490E"/>
    <w:rsid w:val="000C72E5"/>
    <w:rsid w:val="000C7BF8"/>
    <w:rsid w:val="000D03E3"/>
    <w:rsid w:val="000D1CAA"/>
    <w:rsid w:val="000D1EB1"/>
    <w:rsid w:val="000D3FDF"/>
    <w:rsid w:val="000D4655"/>
    <w:rsid w:val="000D46FA"/>
    <w:rsid w:val="000D4AAF"/>
    <w:rsid w:val="000D4CE3"/>
    <w:rsid w:val="000D6F9F"/>
    <w:rsid w:val="000E06E5"/>
    <w:rsid w:val="000E10F9"/>
    <w:rsid w:val="000E25F1"/>
    <w:rsid w:val="000E29F0"/>
    <w:rsid w:val="000E2F76"/>
    <w:rsid w:val="000E39C2"/>
    <w:rsid w:val="000E40D2"/>
    <w:rsid w:val="000E60E7"/>
    <w:rsid w:val="000E66C4"/>
    <w:rsid w:val="000E678A"/>
    <w:rsid w:val="000E745D"/>
    <w:rsid w:val="000E74A2"/>
    <w:rsid w:val="000F0B53"/>
    <w:rsid w:val="000F0F9E"/>
    <w:rsid w:val="000F1707"/>
    <w:rsid w:val="000F233E"/>
    <w:rsid w:val="000F5121"/>
    <w:rsid w:val="000F5ECC"/>
    <w:rsid w:val="000F6394"/>
    <w:rsid w:val="000F6DF4"/>
    <w:rsid w:val="0010022E"/>
    <w:rsid w:val="00100A68"/>
    <w:rsid w:val="00101539"/>
    <w:rsid w:val="00101545"/>
    <w:rsid w:val="00102471"/>
    <w:rsid w:val="0010328D"/>
    <w:rsid w:val="00104098"/>
    <w:rsid w:val="001049AF"/>
    <w:rsid w:val="00104CED"/>
    <w:rsid w:val="00104D12"/>
    <w:rsid w:val="00105372"/>
    <w:rsid w:val="001065DA"/>
    <w:rsid w:val="001079F2"/>
    <w:rsid w:val="00107A24"/>
    <w:rsid w:val="001101FC"/>
    <w:rsid w:val="0011147D"/>
    <w:rsid w:val="0011182D"/>
    <w:rsid w:val="00111909"/>
    <w:rsid w:val="00111E37"/>
    <w:rsid w:val="00112576"/>
    <w:rsid w:val="0011295A"/>
    <w:rsid w:val="00114625"/>
    <w:rsid w:val="00115EFC"/>
    <w:rsid w:val="00115F7B"/>
    <w:rsid w:val="0011776A"/>
    <w:rsid w:val="00117C38"/>
    <w:rsid w:val="0012028B"/>
    <w:rsid w:val="00121444"/>
    <w:rsid w:val="00121C4A"/>
    <w:rsid w:val="00121F3F"/>
    <w:rsid w:val="00124B22"/>
    <w:rsid w:val="0012549A"/>
    <w:rsid w:val="00125D06"/>
    <w:rsid w:val="001263A4"/>
    <w:rsid w:val="00126BC5"/>
    <w:rsid w:val="001272A8"/>
    <w:rsid w:val="0013121E"/>
    <w:rsid w:val="00131338"/>
    <w:rsid w:val="00131361"/>
    <w:rsid w:val="00131AEA"/>
    <w:rsid w:val="0013245C"/>
    <w:rsid w:val="00133621"/>
    <w:rsid w:val="0013363E"/>
    <w:rsid w:val="00133EA5"/>
    <w:rsid w:val="00134353"/>
    <w:rsid w:val="00135A0C"/>
    <w:rsid w:val="00136422"/>
    <w:rsid w:val="00136A4A"/>
    <w:rsid w:val="00136EA8"/>
    <w:rsid w:val="00140873"/>
    <w:rsid w:val="00141380"/>
    <w:rsid w:val="00141DEF"/>
    <w:rsid w:val="00142C92"/>
    <w:rsid w:val="001439D7"/>
    <w:rsid w:val="001449BD"/>
    <w:rsid w:val="00145040"/>
    <w:rsid w:val="00145CDF"/>
    <w:rsid w:val="00147343"/>
    <w:rsid w:val="0014743D"/>
    <w:rsid w:val="001475E1"/>
    <w:rsid w:val="00147CC5"/>
    <w:rsid w:val="001508E9"/>
    <w:rsid w:val="00151056"/>
    <w:rsid w:val="0015121D"/>
    <w:rsid w:val="00151F4F"/>
    <w:rsid w:val="0015329B"/>
    <w:rsid w:val="00155888"/>
    <w:rsid w:val="00156592"/>
    <w:rsid w:val="00156CCE"/>
    <w:rsid w:val="00157766"/>
    <w:rsid w:val="00157D10"/>
    <w:rsid w:val="00157E3A"/>
    <w:rsid w:val="001602D3"/>
    <w:rsid w:val="00160965"/>
    <w:rsid w:val="00161BD1"/>
    <w:rsid w:val="00161F14"/>
    <w:rsid w:val="00162574"/>
    <w:rsid w:val="00162F81"/>
    <w:rsid w:val="00163029"/>
    <w:rsid w:val="00163509"/>
    <w:rsid w:val="00163B5C"/>
    <w:rsid w:val="001653C3"/>
    <w:rsid w:val="001666A5"/>
    <w:rsid w:val="00166F9D"/>
    <w:rsid w:val="00167B8A"/>
    <w:rsid w:val="00167C78"/>
    <w:rsid w:val="00167FC0"/>
    <w:rsid w:val="0017030C"/>
    <w:rsid w:val="00170C2A"/>
    <w:rsid w:val="00170D59"/>
    <w:rsid w:val="00171200"/>
    <w:rsid w:val="00171A49"/>
    <w:rsid w:val="001720FE"/>
    <w:rsid w:val="00172213"/>
    <w:rsid w:val="00172A27"/>
    <w:rsid w:val="00173BE8"/>
    <w:rsid w:val="00175195"/>
    <w:rsid w:val="00175D7B"/>
    <w:rsid w:val="001774C0"/>
    <w:rsid w:val="001803D7"/>
    <w:rsid w:val="0018123B"/>
    <w:rsid w:val="001817E6"/>
    <w:rsid w:val="00182980"/>
    <w:rsid w:val="00183EE7"/>
    <w:rsid w:val="00186E9D"/>
    <w:rsid w:val="00187836"/>
    <w:rsid w:val="0019019A"/>
    <w:rsid w:val="00190AB8"/>
    <w:rsid w:val="00192579"/>
    <w:rsid w:val="00193623"/>
    <w:rsid w:val="00193687"/>
    <w:rsid w:val="00196560"/>
    <w:rsid w:val="0019705B"/>
    <w:rsid w:val="0019721E"/>
    <w:rsid w:val="00197BAD"/>
    <w:rsid w:val="001A0D97"/>
    <w:rsid w:val="001A0DD8"/>
    <w:rsid w:val="001A17F4"/>
    <w:rsid w:val="001A3B2F"/>
    <w:rsid w:val="001A4593"/>
    <w:rsid w:val="001A4AC0"/>
    <w:rsid w:val="001A5421"/>
    <w:rsid w:val="001A67C6"/>
    <w:rsid w:val="001A6C4F"/>
    <w:rsid w:val="001A7BE5"/>
    <w:rsid w:val="001B00F2"/>
    <w:rsid w:val="001B1170"/>
    <w:rsid w:val="001B134C"/>
    <w:rsid w:val="001B36B5"/>
    <w:rsid w:val="001B3979"/>
    <w:rsid w:val="001B3C82"/>
    <w:rsid w:val="001B3FCA"/>
    <w:rsid w:val="001B4AFA"/>
    <w:rsid w:val="001B6AD2"/>
    <w:rsid w:val="001C023E"/>
    <w:rsid w:val="001C16BA"/>
    <w:rsid w:val="001C23DA"/>
    <w:rsid w:val="001C246D"/>
    <w:rsid w:val="001C247A"/>
    <w:rsid w:val="001C60A3"/>
    <w:rsid w:val="001C69A3"/>
    <w:rsid w:val="001D0A6D"/>
    <w:rsid w:val="001D1555"/>
    <w:rsid w:val="001D362F"/>
    <w:rsid w:val="001D41BD"/>
    <w:rsid w:val="001D799C"/>
    <w:rsid w:val="001E0BDF"/>
    <w:rsid w:val="001E0C9E"/>
    <w:rsid w:val="001E1813"/>
    <w:rsid w:val="001E1D9C"/>
    <w:rsid w:val="001E2185"/>
    <w:rsid w:val="001E26F6"/>
    <w:rsid w:val="001E2D55"/>
    <w:rsid w:val="001E2F19"/>
    <w:rsid w:val="001E4165"/>
    <w:rsid w:val="001E4616"/>
    <w:rsid w:val="001E47E1"/>
    <w:rsid w:val="001E5426"/>
    <w:rsid w:val="001E5451"/>
    <w:rsid w:val="001E6BF0"/>
    <w:rsid w:val="001E7B92"/>
    <w:rsid w:val="001F0763"/>
    <w:rsid w:val="001F1164"/>
    <w:rsid w:val="001F11D0"/>
    <w:rsid w:val="001F5EE2"/>
    <w:rsid w:val="001F60D6"/>
    <w:rsid w:val="001F65A3"/>
    <w:rsid w:val="001F67BE"/>
    <w:rsid w:val="00200601"/>
    <w:rsid w:val="00200C18"/>
    <w:rsid w:val="00201C71"/>
    <w:rsid w:val="00201D2A"/>
    <w:rsid w:val="00202A91"/>
    <w:rsid w:val="00203ECF"/>
    <w:rsid w:val="00206480"/>
    <w:rsid w:val="00207505"/>
    <w:rsid w:val="00210F52"/>
    <w:rsid w:val="00213380"/>
    <w:rsid w:val="00215122"/>
    <w:rsid w:val="00215330"/>
    <w:rsid w:val="002158EE"/>
    <w:rsid w:val="00215AA7"/>
    <w:rsid w:val="00215BDD"/>
    <w:rsid w:val="00216A95"/>
    <w:rsid w:val="00216F3E"/>
    <w:rsid w:val="0021746B"/>
    <w:rsid w:val="00217FA6"/>
    <w:rsid w:val="00220527"/>
    <w:rsid w:val="002209C7"/>
    <w:rsid w:val="0022295C"/>
    <w:rsid w:val="00222CC0"/>
    <w:rsid w:val="00223332"/>
    <w:rsid w:val="00223606"/>
    <w:rsid w:val="0022378B"/>
    <w:rsid w:val="00225251"/>
    <w:rsid w:val="002258BB"/>
    <w:rsid w:val="00227137"/>
    <w:rsid w:val="00230764"/>
    <w:rsid w:val="0023192B"/>
    <w:rsid w:val="00232ADB"/>
    <w:rsid w:val="00232E73"/>
    <w:rsid w:val="002353DC"/>
    <w:rsid w:val="00236317"/>
    <w:rsid w:val="00236CEB"/>
    <w:rsid w:val="00237244"/>
    <w:rsid w:val="0023759B"/>
    <w:rsid w:val="00237C1C"/>
    <w:rsid w:val="0024109E"/>
    <w:rsid w:val="0024188E"/>
    <w:rsid w:val="00242C71"/>
    <w:rsid w:val="00242D6E"/>
    <w:rsid w:val="00243901"/>
    <w:rsid w:val="0024442E"/>
    <w:rsid w:val="00245503"/>
    <w:rsid w:val="002461E9"/>
    <w:rsid w:val="00246F49"/>
    <w:rsid w:val="002478F7"/>
    <w:rsid w:val="002513E5"/>
    <w:rsid w:val="00252EBE"/>
    <w:rsid w:val="00253161"/>
    <w:rsid w:val="00253D15"/>
    <w:rsid w:val="00255EE8"/>
    <w:rsid w:val="002575D3"/>
    <w:rsid w:val="002576CB"/>
    <w:rsid w:val="002577AF"/>
    <w:rsid w:val="00257F1A"/>
    <w:rsid w:val="002605B4"/>
    <w:rsid w:val="002607C9"/>
    <w:rsid w:val="00261132"/>
    <w:rsid w:val="00261416"/>
    <w:rsid w:val="00263FB8"/>
    <w:rsid w:val="0026591A"/>
    <w:rsid w:val="00265A4C"/>
    <w:rsid w:val="00266348"/>
    <w:rsid w:val="0026772B"/>
    <w:rsid w:val="0027022C"/>
    <w:rsid w:val="00270FA3"/>
    <w:rsid w:val="00271F1E"/>
    <w:rsid w:val="00273E86"/>
    <w:rsid w:val="0027521D"/>
    <w:rsid w:val="00275A68"/>
    <w:rsid w:val="002765BC"/>
    <w:rsid w:val="00277434"/>
    <w:rsid w:val="00277C9B"/>
    <w:rsid w:val="002813EC"/>
    <w:rsid w:val="0028156D"/>
    <w:rsid w:val="00282FD5"/>
    <w:rsid w:val="00283381"/>
    <w:rsid w:val="00283D37"/>
    <w:rsid w:val="00284781"/>
    <w:rsid w:val="00287E43"/>
    <w:rsid w:val="0029180D"/>
    <w:rsid w:val="00295DDB"/>
    <w:rsid w:val="00296CA7"/>
    <w:rsid w:val="002A096E"/>
    <w:rsid w:val="002A206A"/>
    <w:rsid w:val="002A27BC"/>
    <w:rsid w:val="002A4333"/>
    <w:rsid w:val="002A47A3"/>
    <w:rsid w:val="002A480F"/>
    <w:rsid w:val="002A4D3E"/>
    <w:rsid w:val="002A4F55"/>
    <w:rsid w:val="002A5023"/>
    <w:rsid w:val="002A5B9E"/>
    <w:rsid w:val="002A5E99"/>
    <w:rsid w:val="002A600A"/>
    <w:rsid w:val="002A67CE"/>
    <w:rsid w:val="002A7199"/>
    <w:rsid w:val="002B00FC"/>
    <w:rsid w:val="002B19E5"/>
    <w:rsid w:val="002B1DBA"/>
    <w:rsid w:val="002B3503"/>
    <w:rsid w:val="002B35CD"/>
    <w:rsid w:val="002B5469"/>
    <w:rsid w:val="002B6997"/>
    <w:rsid w:val="002B6E81"/>
    <w:rsid w:val="002B7562"/>
    <w:rsid w:val="002B7C10"/>
    <w:rsid w:val="002C02C2"/>
    <w:rsid w:val="002C04C0"/>
    <w:rsid w:val="002C0896"/>
    <w:rsid w:val="002C14E7"/>
    <w:rsid w:val="002C2BE2"/>
    <w:rsid w:val="002C2C58"/>
    <w:rsid w:val="002C357F"/>
    <w:rsid w:val="002C6F98"/>
    <w:rsid w:val="002C70FC"/>
    <w:rsid w:val="002D05A8"/>
    <w:rsid w:val="002D1630"/>
    <w:rsid w:val="002D178B"/>
    <w:rsid w:val="002D3F73"/>
    <w:rsid w:val="002D415A"/>
    <w:rsid w:val="002D50D6"/>
    <w:rsid w:val="002D5583"/>
    <w:rsid w:val="002D5E52"/>
    <w:rsid w:val="002D5EC5"/>
    <w:rsid w:val="002D64D4"/>
    <w:rsid w:val="002D6F7D"/>
    <w:rsid w:val="002D6FB0"/>
    <w:rsid w:val="002E0D74"/>
    <w:rsid w:val="002E16F3"/>
    <w:rsid w:val="002E17D2"/>
    <w:rsid w:val="002E1CD9"/>
    <w:rsid w:val="002E20D6"/>
    <w:rsid w:val="002E27E8"/>
    <w:rsid w:val="002E2845"/>
    <w:rsid w:val="002E4153"/>
    <w:rsid w:val="002E4FC3"/>
    <w:rsid w:val="002E5666"/>
    <w:rsid w:val="002E6696"/>
    <w:rsid w:val="002E692A"/>
    <w:rsid w:val="002E6FC4"/>
    <w:rsid w:val="002E71AF"/>
    <w:rsid w:val="002E7C5B"/>
    <w:rsid w:val="002F0165"/>
    <w:rsid w:val="002F2050"/>
    <w:rsid w:val="002F2345"/>
    <w:rsid w:val="002F3AA2"/>
    <w:rsid w:val="002F44AE"/>
    <w:rsid w:val="002F499F"/>
    <w:rsid w:val="002F6976"/>
    <w:rsid w:val="002F729D"/>
    <w:rsid w:val="002F79A4"/>
    <w:rsid w:val="002F7CDD"/>
    <w:rsid w:val="00300024"/>
    <w:rsid w:val="0030009A"/>
    <w:rsid w:val="00300BA2"/>
    <w:rsid w:val="00300F08"/>
    <w:rsid w:val="003016B4"/>
    <w:rsid w:val="00302BA6"/>
    <w:rsid w:val="00302C84"/>
    <w:rsid w:val="00302F7B"/>
    <w:rsid w:val="003034EC"/>
    <w:rsid w:val="00303B40"/>
    <w:rsid w:val="00304245"/>
    <w:rsid w:val="00304275"/>
    <w:rsid w:val="00304293"/>
    <w:rsid w:val="00304481"/>
    <w:rsid w:val="00304E38"/>
    <w:rsid w:val="00305267"/>
    <w:rsid w:val="003057D6"/>
    <w:rsid w:val="00305CEF"/>
    <w:rsid w:val="0030630C"/>
    <w:rsid w:val="0030731B"/>
    <w:rsid w:val="00307C36"/>
    <w:rsid w:val="00310A1A"/>
    <w:rsid w:val="00310BDA"/>
    <w:rsid w:val="00311818"/>
    <w:rsid w:val="00311EA4"/>
    <w:rsid w:val="00313320"/>
    <w:rsid w:val="00313C86"/>
    <w:rsid w:val="00313CF1"/>
    <w:rsid w:val="00314DA4"/>
    <w:rsid w:val="003156EB"/>
    <w:rsid w:val="00320862"/>
    <w:rsid w:val="00320B1C"/>
    <w:rsid w:val="00321506"/>
    <w:rsid w:val="003218F4"/>
    <w:rsid w:val="00321DD0"/>
    <w:rsid w:val="00321FE0"/>
    <w:rsid w:val="003225A3"/>
    <w:rsid w:val="00322B46"/>
    <w:rsid w:val="00322FB2"/>
    <w:rsid w:val="00324056"/>
    <w:rsid w:val="003251B2"/>
    <w:rsid w:val="003258BD"/>
    <w:rsid w:val="00327612"/>
    <w:rsid w:val="00330010"/>
    <w:rsid w:val="00330A5B"/>
    <w:rsid w:val="0033162C"/>
    <w:rsid w:val="003316B0"/>
    <w:rsid w:val="00332BCF"/>
    <w:rsid w:val="00333239"/>
    <w:rsid w:val="00333FAA"/>
    <w:rsid w:val="00334541"/>
    <w:rsid w:val="0033546E"/>
    <w:rsid w:val="003364CF"/>
    <w:rsid w:val="003431F7"/>
    <w:rsid w:val="003440C8"/>
    <w:rsid w:val="00345234"/>
    <w:rsid w:val="00346C83"/>
    <w:rsid w:val="00350500"/>
    <w:rsid w:val="00350AD7"/>
    <w:rsid w:val="0035197E"/>
    <w:rsid w:val="00352302"/>
    <w:rsid w:val="00352A77"/>
    <w:rsid w:val="003531FC"/>
    <w:rsid w:val="003532CE"/>
    <w:rsid w:val="00354818"/>
    <w:rsid w:val="00355B40"/>
    <w:rsid w:val="00355CAB"/>
    <w:rsid w:val="00355EA3"/>
    <w:rsid w:val="00356279"/>
    <w:rsid w:val="003562CD"/>
    <w:rsid w:val="00356948"/>
    <w:rsid w:val="00356B03"/>
    <w:rsid w:val="00356CC0"/>
    <w:rsid w:val="00357563"/>
    <w:rsid w:val="00357A02"/>
    <w:rsid w:val="003602B3"/>
    <w:rsid w:val="003602C8"/>
    <w:rsid w:val="00360CF1"/>
    <w:rsid w:val="0036115C"/>
    <w:rsid w:val="00362477"/>
    <w:rsid w:val="00366D37"/>
    <w:rsid w:val="00366FBC"/>
    <w:rsid w:val="00371F62"/>
    <w:rsid w:val="00372086"/>
    <w:rsid w:val="003723E6"/>
    <w:rsid w:val="003725C2"/>
    <w:rsid w:val="0037314F"/>
    <w:rsid w:val="003739E3"/>
    <w:rsid w:val="00374A39"/>
    <w:rsid w:val="00374C1A"/>
    <w:rsid w:val="00374F0E"/>
    <w:rsid w:val="00377344"/>
    <w:rsid w:val="0038081A"/>
    <w:rsid w:val="00380956"/>
    <w:rsid w:val="00380B2A"/>
    <w:rsid w:val="0038110E"/>
    <w:rsid w:val="00381B08"/>
    <w:rsid w:val="00382AA4"/>
    <w:rsid w:val="00382D30"/>
    <w:rsid w:val="00383582"/>
    <w:rsid w:val="003840E0"/>
    <w:rsid w:val="003840E5"/>
    <w:rsid w:val="00385B65"/>
    <w:rsid w:val="00386E11"/>
    <w:rsid w:val="00386FA8"/>
    <w:rsid w:val="0038764E"/>
    <w:rsid w:val="00387A1E"/>
    <w:rsid w:val="003910B4"/>
    <w:rsid w:val="003915C0"/>
    <w:rsid w:val="00393978"/>
    <w:rsid w:val="00393D73"/>
    <w:rsid w:val="00394544"/>
    <w:rsid w:val="00394992"/>
    <w:rsid w:val="00394FCD"/>
    <w:rsid w:val="003950F4"/>
    <w:rsid w:val="00395459"/>
    <w:rsid w:val="00395C45"/>
    <w:rsid w:val="003965FF"/>
    <w:rsid w:val="00396BE4"/>
    <w:rsid w:val="003A20DF"/>
    <w:rsid w:val="003A3B6A"/>
    <w:rsid w:val="003A4C10"/>
    <w:rsid w:val="003A6089"/>
    <w:rsid w:val="003A7254"/>
    <w:rsid w:val="003A7CC1"/>
    <w:rsid w:val="003B1A5A"/>
    <w:rsid w:val="003B1DFC"/>
    <w:rsid w:val="003B3EB5"/>
    <w:rsid w:val="003B3F56"/>
    <w:rsid w:val="003B4685"/>
    <w:rsid w:val="003B745A"/>
    <w:rsid w:val="003C1F21"/>
    <w:rsid w:val="003C22A8"/>
    <w:rsid w:val="003C2F0E"/>
    <w:rsid w:val="003C3474"/>
    <w:rsid w:val="003C61FA"/>
    <w:rsid w:val="003C629C"/>
    <w:rsid w:val="003C67E0"/>
    <w:rsid w:val="003C6CB3"/>
    <w:rsid w:val="003C6DB3"/>
    <w:rsid w:val="003C76C0"/>
    <w:rsid w:val="003D0655"/>
    <w:rsid w:val="003D0D4E"/>
    <w:rsid w:val="003D2345"/>
    <w:rsid w:val="003D2629"/>
    <w:rsid w:val="003D2867"/>
    <w:rsid w:val="003D44F0"/>
    <w:rsid w:val="003D48F1"/>
    <w:rsid w:val="003D4A3D"/>
    <w:rsid w:val="003D66BC"/>
    <w:rsid w:val="003D782C"/>
    <w:rsid w:val="003E0068"/>
    <w:rsid w:val="003E0838"/>
    <w:rsid w:val="003E15C5"/>
    <w:rsid w:val="003E1C54"/>
    <w:rsid w:val="003E1FE7"/>
    <w:rsid w:val="003E2B98"/>
    <w:rsid w:val="003E3A1B"/>
    <w:rsid w:val="003E5129"/>
    <w:rsid w:val="003E567F"/>
    <w:rsid w:val="003E5BFD"/>
    <w:rsid w:val="003E71E5"/>
    <w:rsid w:val="003F0739"/>
    <w:rsid w:val="003F1E11"/>
    <w:rsid w:val="003F251D"/>
    <w:rsid w:val="003F25CE"/>
    <w:rsid w:val="003F2BDB"/>
    <w:rsid w:val="003F4C5F"/>
    <w:rsid w:val="003F6109"/>
    <w:rsid w:val="003F7CD6"/>
    <w:rsid w:val="00400D0C"/>
    <w:rsid w:val="0040161C"/>
    <w:rsid w:val="00401BE8"/>
    <w:rsid w:val="00401C47"/>
    <w:rsid w:val="004023E2"/>
    <w:rsid w:val="004035C2"/>
    <w:rsid w:val="00404757"/>
    <w:rsid w:val="004054C8"/>
    <w:rsid w:val="00405743"/>
    <w:rsid w:val="00405E47"/>
    <w:rsid w:val="00406455"/>
    <w:rsid w:val="00406AFE"/>
    <w:rsid w:val="004070DE"/>
    <w:rsid w:val="00410564"/>
    <w:rsid w:val="004106B1"/>
    <w:rsid w:val="0041101D"/>
    <w:rsid w:val="004112C3"/>
    <w:rsid w:val="004118FD"/>
    <w:rsid w:val="00413257"/>
    <w:rsid w:val="00414167"/>
    <w:rsid w:val="0041541D"/>
    <w:rsid w:val="004161D7"/>
    <w:rsid w:val="004203CC"/>
    <w:rsid w:val="00420F29"/>
    <w:rsid w:val="004215C8"/>
    <w:rsid w:val="0042253A"/>
    <w:rsid w:val="00422ACE"/>
    <w:rsid w:val="00425699"/>
    <w:rsid w:val="004277AA"/>
    <w:rsid w:val="00427F81"/>
    <w:rsid w:val="00431220"/>
    <w:rsid w:val="00431EDF"/>
    <w:rsid w:val="00432586"/>
    <w:rsid w:val="00432829"/>
    <w:rsid w:val="00432A08"/>
    <w:rsid w:val="00432DF2"/>
    <w:rsid w:val="00433CF4"/>
    <w:rsid w:val="00434298"/>
    <w:rsid w:val="00434BD6"/>
    <w:rsid w:val="00434DC3"/>
    <w:rsid w:val="00435620"/>
    <w:rsid w:val="0043764B"/>
    <w:rsid w:val="0043785A"/>
    <w:rsid w:val="004379D3"/>
    <w:rsid w:val="00437DDC"/>
    <w:rsid w:val="00442288"/>
    <w:rsid w:val="0044277D"/>
    <w:rsid w:val="00443497"/>
    <w:rsid w:val="00443C3E"/>
    <w:rsid w:val="00444291"/>
    <w:rsid w:val="00445122"/>
    <w:rsid w:val="004457AC"/>
    <w:rsid w:val="00450E5B"/>
    <w:rsid w:val="00450F1F"/>
    <w:rsid w:val="0045105A"/>
    <w:rsid w:val="00451245"/>
    <w:rsid w:val="0045175B"/>
    <w:rsid w:val="004525C8"/>
    <w:rsid w:val="00452F70"/>
    <w:rsid w:val="004532D4"/>
    <w:rsid w:val="004532F0"/>
    <w:rsid w:val="004535CF"/>
    <w:rsid w:val="00453CA2"/>
    <w:rsid w:val="004560FB"/>
    <w:rsid w:val="0045699D"/>
    <w:rsid w:val="00457A45"/>
    <w:rsid w:val="00457AE1"/>
    <w:rsid w:val="00463995"/>
    <w:rsid w:val="00465008"/>
    <w:rsid w:val="004650B1"/>
    <w:rsid w:val="00465BA3"/>
    <w:rsid w:val="00466862"/>
    <w:rsid w:val="00466DFF"/>
    <w:rsid w:val="00472FF6"/>
    <w:rsid w:val="004740AA"/>
    <w:rsid w:val="00475306"/>
    <w:rsid w:val="0047657E"/>
    <w:rsid w:val="0047779A"/>
    <w:rsid w:val="004815F2"/>
    <w:rsid w:val="00482AA1"/>
    <w:rsid w:val="00483D84"/>
    <w:rsid w:val="00484285"/>
    <w:rsid w:val="0048533C"/>
    <w:rsid w:val="004856FC"/>
    <w:rsid w:val="004857EB"/>
    <w:rsid w:val="00485A6B"/>
    <w:rsid w:val="00486D24"/>
    <w:rsid w:val="00487121"/>
    <w:rsid w:val="00487BF7"/>
    <w:rsid w:val="004907CE"/>
    <w:rsid w:val="00490F6A"/>
    <w:rsid w:val="00491438"/>
    <w:rsid w:val="004923FA"/>
    <w:rsid w:val="004933D2"/>
    <w:rsid w:val="00493669"/>
    <w:rsid w:val="00493CA2"/>
    <w:rsid w:val="004947E3"/>
    <w:rsid w:val="00494881"/>
    <w:rsid w:val="00495160"/>
    <w:rsid w:val="004A088F"/>
    <w:rsid w:val="004A0C09"/>
    <w:rsid w:val="004A1CED"/>
    <w:rsid w:val="004A25AC"/>
    <w:rsid w:val="004A39A6"/>
    <w:rsid w:val="004A411F"/>
    <w:rsid w:val="004A45F0"/>
    <w:rsid w:val="004A462B"/>
    <w:rsid w:val="004A4C36"/>
    <w:rsid w:val="004A6470"/>
    <w:rsid w:val="004B1079"/>
    <w:rsid w:val="004B112F"/>
    <w:rsid w:val="004B3976"/>
    <w:rsid w:val="004B4BBF"/>
    <w:rsid w:val="004B4E66"/>
    <w:rsid w:val="004B5522"/>
    <w:rsid w:val="004B640C"/>
    <w:rsid w:val="004B6660"/>
    <w:rsid w:val="004B6C6D"/>
    <w:rsid w:val="004B6CE9"/>
    <w:rsid w:val="004C044A"/>
    <w:rsid w:val="004C0D58"/>
    <w:rsid w:val="004C1B79"/>
    <w:rsid w:val="004C278C"/>
    <w:rsid w:val="004C330D"/>
    <w:rsid w:val="004C3550"/>
    <w:rsid w:val="004C36AC"/>
    <w:rsid w:val="004C6847"/>
    <w:rsid w:val="004C6B01"/>
    <w:rsid w:val="004C76EE"/>
    <w:rsid w:val="004D033C"/>
    <w:rsid w:val="004D035C"/>
    <w:rsid w:val="004D09D0"/>
    <w:rsid w:val="004D1A34"/>
    <w:rsid w:val="004D2510"/>
    <w:rsid w:val="004D25BE"/>
    <w:rsid w:val="004D2608"/>
    <w:rsid w:val="004D2BE2"/>
    <w:rsid w:val="004D2DEA"/>
    <w:rsid w:val="004D2F5E"/>
    <w:rsid w:val="004D2F82"/>
    <w:rsid w:val="004D376D"/>
    <w:rsid w:val="004D3860"/>
    <w:rsid w:val="004D4B7E"/>
    <w:rsid w:val="004D73F4"/>
    <w:rsid w:val="004E1701"/>
    <w:rsid w:val="004E18E8"/>
    <w:rsid w:val="004E3932"/>
    <w:rsid w:val="004E5420"/>
    <w:rsid w:val="004E60DB"/>
    <w:rsid w:val="004E6761"/>
    <w:rsid w:val="004E70BA"/>
    <w:rsid w:val="004E7D77"/>
    <w:rsid w:val="004E7F8B"/>
    <w:rsid w:val="004F0032"/>
    <w:rsid w:val="004F1D5D"/>
    <w:rsid w:val="004F3098"/>
    <w:rsid w:val="004F3373"/>
    <w:rsid w:val="004F3D99"/>
    <w:rsid w:val="004F471F"/>
    <w:rsid w:val="004F562B"/>
    <w:rsid w:val="004F5A4C"/>
    <w:rsid w:val="004F5F77"/>
    <w:rsid w:val="004F786C"/>
    <w:rsid w:val="005021D2"/>
    <w:rsid w:val="00503514"/>
    <w:rsid w:val="00505878"/>
    <w:rsid w:val="0050652D"/>
    <w:rsid w:val="005069B9"/>
    <w:rsid w:val="00507BA8"/>
    <w:rsid w:val="005100BD"/>
    <w:rsid w:val="0051046F"/>
    <w:rsid w:val="005125E1"/>
    <w:rsid w:val="005128FA"/>
    <w:rsid w:val="00513EB6"/>
    <w:rsid w:val="00514020"/>
    <w:rsid w:val="005159C1"/>
    <w:rsid w:val="00515D41"/>
    <w:rsid w:val="005168C1"/>
    <w:rsid w:val="00517FD0"/>
    <w:rsid w:val="00520408"/>
    <w:rsid w:val="00520DF4"/>
    <w:rsid w:val="00521CA8"/>
    <w:rsid w:val="005228DB"/>
    <w:rsid w:val="005239C6"/>
    <w:rsid w:val="00523BC2"/>
    <w:rsid w:val="00523D27"/>
    <w:rsid w:val="00527765"/>
    <w:rsid w:val="00527E02"/>
    <w:rsid w:val="005304C3"/>
    <w:rsid w:val="00530787"/>
    <w:rsid w:val="005310C1"/>
    <w:rsid w:val="00532353"/>
    <w:rsid w:val="005330C8"/>
    <w:rsid w:val="00533577"/>
    <w:rsid w:val="00533E77"/>
    <w:rsid w:val="00534306"/>
    <w:rsid w:val="00535CA0"/>
    <w:rsid w:val="005369B9"/>
    <w:rsid w:val="005376BF"/>
    <w:rsid w:val="00537700"/>
    <w:rsid w:val="005407A9"/>
    <w:rsid w:val="005410DB"/>
    <w:rsid w:val="005417D9"/>
    <w:rsid w:val="0054202A"/>
    <w:rsid w:val="00542EC2"/>
    <w:rsid w:val="005447DC"/>
    <w:rsid w:val="00545F8F"/>
    <w:rsid w:val="0054687C"/>
    <w:rsid w:val="00550948"/>
    <w:rsid w:val="00551019"/>
    <w:rsid w:val="005530F1"/>
    <w:rsid w:val="005566B5"/>
    <w:rsid w:val="005571B0"/>
    <w:rsid w:val="00557BB5"/>
    <w:rsid w:val="00560008"/>
    <w:rsid w:val="00561757"/>
    <w:rsid w:val="00562552"/>
    <w:rsid w:val="00562716"/>
    <w:rsid w:val="00562D9F"/>
    <w:rsid w:val="00563971"/>
    <w:rsid w:val="00564280"/>
    <w:rsid w:val="00564CED"/>
    <w:rsid w:val="00565E00"/>
    <w:rsid w:val="005663DB"/>
    <w:rsid w:val="00566A55"/>
    <w:rsid w:val="005673ED"/>
    <w:rsid w:val="00567FE1"/>
    <w:rsid w:val="00571921"/>
    <w:rsid w:val="00571B78"/>
    <w:rsid w:val="00572B08"/>
    <w:rsid w:val="00573DA6"/>
    <w:rsid w:val="00574DFF"/>
    <w:rsid w:val="00576927"/>
    <w:rsid w:val="00576B22"/>
    <w:rsid w:val="0058066E"/>
    <w:rsid w:val="005808DB"/>
    <w:rsid w:val="00580FE1"/>
    <w:rsid w:val="005825A7"/>
    <w:rsid w:val="005839ED"/>
    <w:rsid w:val="00583B80"/>
    <w:rsid w:val="00584EEA"/>
    <w:rsid w:val="005852B8"/>
    <w:rsid w:val="005857EE"/>
    <w:rsid w:val="005859A6"/>
    <w:rsid w:val="00586320"/>
    <w:rsid w:val="0058649A"/>
    <w:rsid w:val="00586C3A"/>
    <w:rsid w:val="00587058"/>
    <w:rsid w:val="00587386"/>
    <w:rsid w:val="005909D5"/>
    <w:rsid w:val="00591DFC"/>
    <w:rsid w:val="00592ABB"/>
    <w:rsid w:val="00592BEA"/>
    <w:rsid w:val="005931B9"/>
    <w:rsid w:val="00593571"/>
    <w:rsid w:val="00594744"/>
    <w:rsid w:val="005948F6"/>
    <w:rsid w:val="00594B67"/>
    <w:rsid w:val="00594E7E"/>
    <w:rsid w:val="00595DB3"/>
    <w:rsid w:val="0059699A"/>
    <w:rsid w:val="00596EC5"/>
    <w:rsid w:val="00596EDD"/>
    <w:rsid w:val="005A3194"/>
    <w:rsid w:val="005A33C8"/>
    <w:rsid w:val="005A513F"/>
    <w:rsid w:val="005A533A"/>
    <w:rsid w:val="005A59F7"/>
    <w:rsid w:val="005A67B6"/>
    <w:rsid w:val="005A698B"/>
    <w:rsid w:val="005A6D1D"/>
    <w:rsid w:val="005A7B69"/>
    <w:rsid w:val="005B0191"/>
    <w:rsid w:val="005B0429"/>
    <w:rsid w:val="005B2770"/>
    <w:rsid w:val="005B29AE"/>
    <w:rsid w:val="005B330B"/>
    <w:rsid w:val="005B3499"/>
    <w:rsid w:val="005B7EC0"/>
    <w:rsid w:val="005B7EC9"/>
    <w:rsid w:val="005C118F"/>
    <w:rsid w:val="005C3FBA"/>
    <w:rsid w:val="005C4E4D"/>
    <w:rsid w:val="005C4F3C"/>
    <w:rsid w:val="005C6658"/>
    <w:rsid w:val="005C77F3"/>
    <w:rsid w:val="005D0508"/>
    <w:rsid w:val="005D1357"/>
    <w:rsid w:val="005D20C4"/>
    <w:rsid w:val="005D2612"/>
    <w:rsid w:val="005D398C"/>
    <w:rsid w:val="005D4E04"/>
    <w:rsid w:val="005D5A53"/>
    <w:rsid w:val="005D687B"/>
    <w:rsid w:val="005D6B5B"/>
    <w:rsid w:val="005D763E"/>
    <w:rsid w:val="005D77FF"/>
    <w:rsid w:val="005E0B8F"/>
    <w:rsid w:val="005E3738"/>
    <w:rsid w:val="005E4443"/>
    <w:rsid w:val="005E4F20"/>
    <w:rsid w:val="005E55C8"/>
    <w:rsid w:val="005E7346"/>
    <w:rsid w:val="005F0EC1"/>
    <w:rsid w:val="005F256D"/>
    <w:rsid w:val="005F27F4"/>
    <w:rsid w:val="005F2FA5"/>
    <w:rsid w:val="005F3C34"/>
    <w:rsid w:val="005F4185"/>
    <w:rsid w:val="005F5A56"/>
    <w:rsid w:val="005F6BD8"/>
    <w:rsid w:val="005F702A"/>
    <w:rsid w:val="0060099C"/>
    <w:rsid w:val="00602CE0"/>
    <w:rsid w:val="0060306A"/>
    <w:rsid w:val="0060315F"/>
    <w:rsid w:val="006057C8"/>
    <w:rsid w:val="00606BC6"/>
    <w:rsid w:val="00610A71"/>
    <w:rsid w:val="0061391A"/>
    <w:rsid w:val="00613BBD"/>
    <w:rsid w:val="00613C28"/>
    <w:rsid w:val="00613E41"/>
    <w:rsid w:val="00615421"/>
    <w:rsid w:val="00617475"/>
    <w:rsid w:val="00622C71"/>
    <w:rsid w:val="00622DE8"/>
    <w:rsid w:val="0062441C"/>
    <w:rsid w:val="00625D73"/>
    <w:rsid w:val="00625FC3"/>
    <w:rsid w:val="0062616A"/>
    <w:rsid w:val="00626301"/>
    <w:rsid w:val="00626DB0"/>
    <w:rsid w:val="006313EE"/>
    <w:rsid w:val="00632936"/>
    <w:rsid w:val="00632B19"/>
    <w:rsid w:val="00632C31"/>
    <w:rsid w:val="00635292"/>
    <w:rsid w:val="006412DB"/>
    <w:rsid w:val="00642126"/>
    <w:rsid w:val="0064298B"/>
    <w:rsid w:val="00643A5E"/>
    <w:rsid w:val="00644652"/>
    <w:rsid w:val="00644E68"/>
    <w:rsid w:val="00645229"/>
    <w:rsid w:val="0065119E"/>
    <w:rsid w:val="00651512"/>
    <w:rsid w:val="0065255D"/>
    <w:rsid w:val="00652BB1"/>
    <w:rsid w:val="00652CC5"/>
    <w:rsid w:val="006560F2"/>
    <w:rsid w:val="00656C72"/>
    <w:rsid w:val="00656D9C"/>
    <w:rsid w:val="00657E07"/>
    <w:rsid w:val="00662416"/>
    <w:rsid w:val="00662772"/>
    <w:rsid w:val="00663532"/>
    <w:rsid w:val="0066438C"/>
    <w:rsid w:val="00664A7E"/>
    <w:rsid w:val="0066595E"/>
    <w:rsid w:val="00666D3C"/>
    <w:rsid w:val="006672B7"/>
    <w:rsid w:val="006711C7"/>
    <w:rsid w:val="006712EA"/>
    <w:rsid w:val="006734FD"/>
    <w:rsid w:val="0067367A"/>
    <w:rsid w:val="0067505C"/>
    <w:rsid w:val="006751C9"/>
    <w:rsid w:val="006760D1"/>
    <w:rsid w:val="00681010"/>
    <w:rsid w:val="00681431"/>
    <w:rsid w:val="00682502"/>
    <w:rsid w:val="00682AB8"/>
    <w:rsid w:val="00683427"/>
    <w:rsid w:val="00683F22"/>
    <w:rsid w:val="00684DCE"/>
    <w:rsid w:val="0068635F"/>
    <w:rsid w:val="006867BB"/>
    <w:rsid w:val="0069033C"/>
    <w:rsid w:val="00690918"/>
    <w:rsid w:val="0069163E"/>
    <w:rsid w:val="00692504"/>
    <w:rsid w:val="006937DA"/>
    <w:rsid w:val="00694233"/>
    <w:rsid w:val="006950D5"/>
    <w:rsid w:val="0069572A"/>
    <w:rsid w:val="00695868"/>
    <w:rsid w:val="00696174"/>
    <w:rsid w:val="006969C3"/>
    <w:rsid w:val="006A039F"/>
    <w:rsid w:val="006A0BDF"/>
    <w:rsid w:val="006A1F0B"/>
    <w:rsid w:val="006A2812"/>
    <w:rsid w:val="006A3292"/>
    <w:rsid w:val="006A35EE"/>
    <w:rsid w:val="006A4A39"/>
    <w:rsid w:val="006A518B"/>
    <w:rsid w:val="006A5286"/>
    <w:rsid w:val="006A591B"/>
    <w:rsid w:val="006A6D5B"/>
    <w:rsid w:val="006A6FFC"/>
    <w:rsid w:val="006B0185"/>
    <w:rsid w:val="006B0760"/>
    <w:rsid w:val="006B08C7"/>
    <w:rsid w:val="006B30AA"/>
    <w:rsid w:val="006B3F78"/>
    <w:rsid w:val="006B687D"/>
    <w:rsid w:val="006B7B54"/>
    <w:rsid w:val="006C03DB"/>
    <w:rsid w:val="006C0456"/>
    <w:rsid w:val="006C09D7"/>
    <w:rsid w:val="006C1000"/>
    <w:rsid w:val="006C12E7"/>
    <w:rsid w:val="006C1530"/>
    <w:rsid w:val="006C1B51"/>
    <w:rsid w:val="006C1C06"/>
    <w:rsid w:val="006C3AC7"/>
    <w:rsid w:val="006C43B1"/>
    <w:rsid w:val="006C4F39"/>
    <w:rsid w:val="006D1C13"/>
    <w:rsid w:val="006D1D9B"/>
    <w:rsid w:val="006E0712"/>
    <w:rsid w:val="006E084F"/>
    <w:rsid w:val="006E0FCC"/>
    <w:rsid w:val="006E1928"/>
    <w:rsid w:val="006E1B43"/>
    <w:rsid w:val="006E2A33"/>
    <w:rsid w:val="006E529C"/>
    <w:rsid w:val="006E54F3"/>
    <w:rsid w:val="006E5616"/>
    <w:rsid w:val="006F0752"/>
    <w:rsid w:val="006F09C5"/>
    <w:rsid w:val="006F29FD"/>
    <w:rsid w:val="006F3E4E"/>
    <w:rsid w:val="006F45BC"/>
    <w:rsid w:val="006F4830"/>
    <w:rsid w:val="006F4CF6"/>
    <w:rsid w:val="006F4E18"/>
    <w:rsid w:val="006F55D5"/>
    <w:rsid w:val="006F5F2A"/>
    <w:rsid w:val="006F6066"/>
    <w:rsid w:val="006F735D"/>
    <w:rsid w:val="00700671"/>
    <w:rsid w:val="00701190"/>
    <w:rsid w:val="00701BE4"/>
    <w:rsid w:val="0070214A"/>
    <w:rsid w:val="00702EAE"/>
    <w:rsid w:val="007038E6"/>
    <w:rsid w:val="00703B93"/>
    <w:rsid w:val="00703EBE"/>
    <w:rsid w:val="00704309"/>
    <w:rsid w:val="00705C34"/>
    <w:rsid w:val="007072A7"/>
    <w:rsid w:val="00707348"/>
    <w:rsid w:val="00711A98"/>
    <w:rsid w:val="00712CE3"/>
    <w:rsid w:val="00713205"/>
    <w:rsid w:val="00713609"/>
    <w:rsid w:val="00715A5D"/>
    <w:rsid w:val="00715E70"/>
    <w:rsid w:val="00716FBD"/>
    <w:rsid w:val="00717047"/>
    <w:rsid w:val="00717D96"/>
    <w:rsid w:val="007202A3"/>
    <w:rsid w:val="00720693"/>
    <w:rsid w:val="00720C93"/>
    <w:rsid w:val="00721041"/>
    <w:rsid w:val="0072114A"/>
    <w:rsid w:val="00721B8C"/>
    <w:rsid w:val="00722DD8"/>
    <w:rsid w:val="007242B8"/>
    <w:rsid w:val="007243DA"/>
    <w:rsid w:val="0072558A"/>
    <w:rsid w:val="00725864"/>
    <w:rsid w:val="00726602"/>
    <w:rsid w:val="00726A03"/>
    <w:rsid w:val="007302E4"/>
    <w:rsid w:val="0073049B"/>
    <w:rsid w:val="00731025"/>
    <w:rsid w:val="0073104F"/>
    <w:rsid w:val="00732774"/>
    <w:rsid w:val="0073444C"/>
    <w:rsid w:val="0073552A"/>
    <w:rsid w:val="00735DDB"/>
    <w:rsid w:val="00736789"/>
    <w:rsid w:val="00740B75"/>
    <w:rsid w:val="00741390"/>
    <w:rsid w:val="00741895"/>
    <w:rsid w:val="00742285"/>
    <w:rsid w:val="007426ED"/>
    <w:rsid w:val="0074284D"/>
    <w:rsid w:val="007438C4"/>
    <w:rsid w:val="00744C45"/>
    <w:rsid w:val="00744FC1"/>
    <w:rsid w:val="00746C97"/>
    <w:rsid w:val="00750C56"/>
    <w:rsid w:val="007527C0"/>
    <w:rsid w:val="00754014"/>
    <w:rsid w:val="007542F1"/>
    <w:rsid w:val="00754A7D"/>
    <w:rsid w:val="00754BF1"/>
    <w:rsid w:val="00754C7F"/>
    <w:rsid w:val="00755355"/>
    <w:rsid w:val="007554B6"/>
    <w:rsid w:val="0075704E"/>
    <w:rsid w:val="00757766"/>
    <w:rsid w:val="00757EEB"/>
    <w:rsid w:val="00761CAC"/>
    <w:rsid w:val="0076466F"/>
    <w:rsid w:val="00765176"/>
    <w:rsid w:val="00765777"/>
    <w:rsid w:val="00765BEC"/>
    <w:rsid w:val="007673B5"/>
    <w:rsid w:val="00767CDA"/>
    <w:rsid w:val="00770B33"/>
    <w:rsid w:val="00770CE5"/>
    <w:rsid w:val="0077227C"/>
    <w:rsid w:val="00774F01"/>
    <w:rsid w:val="00775AF8"/>
    <w:rsid w:val="0078003A"/>
    <w:rsid w:val="007828FB"/>
    <w:rsid w:val="00783C74"/>
    <w:rsid w:val="00784473"/>
    <w:rsid w:val="00785925"/>
    <w:rsid w:val="007862BC"/>
    <w:rsid w:val="00786313"/>
    <w:rsid w:val="00786357"/>
    <w:rsid w:val="007863FB"/>
    <w:rsid w:val="00786766"/>
    <w:rsid w:val="00786C70"/>
    <w:rsid w:val="007879CA"/>
    <w:rsid w:val="00790C82"/>
    <w:rsid w:val="007922E7"/>
    <w:rsid w:val="00793018"/>
    <w:rsid w:val="007933FF"/>
    <w:rsid w:val="007935A1"/>
    <w:rsid w:val="00793A70"/>
    <w:rsid w:val="007960E8"/>
    <w:rsid w:val="00796213"/>
    <w:rsid w:val="00796B9C"/>
    <w:rsid w:val="00796EEA"/>
    <w:rsid w:val="007A0001"/>
    <w:rsid w:val="007A0B12"/>
    <w:rsid w:val="007A0D1B"/>
    <w:rsid w:val="007A2234"/>
    <w:rsid w:val="007A2C48"/>
    <w:rsid w:val="007A424A"/>
    <w:rsid w:val="007A543F"/>
    <w:rsid w:val="007A5DC3"/>
    <w:rsid w:val="007A681B"/>
    <w:rsid w:val="007A79AF"/>
    <w:rsid w:val="007A7A2D"/>
    <w:rsid w:val="007B14DC"/>
    <w:rsid w:val="007B1512"/>
    <w:rsid w:val="007B312A"/>
    <w:rsid w:val="007B6DCB"/>
    <w:rsid w:val="007C0024"/>
    <w:rsid w:val="007C1CFE"/>
    <w:rsid w:val="007C28AA"/>
    <w:rsid w:val="007C3187"/>
    <w:rsid w:val="007C38F7"/>
    <w:rsid w:val="007C3961"/>
    <w:rsid w:val="007C3DD4"/>
    <w:rsid w:val="007C4FF5"/>
    <w:rsid w:val="007C599B"/>
    <w:rsid w:val="007C5C9F"/>
    <w:rsid w:val="007C62B6"/>
    <w:rsid w:val="007C6AA8"/>
    <w:rsid w:val="007C7AC5"/>
    <w:rsid w:val="007D0E60"/>
    <w:rsid w:val="007D1773"/>
    <w:rsid w:val="007D2E75"/>
    <w:rsid w:val="007D4185"/>
    <w:rsid w:val="007D42D7"/>
    <w:rsid w:val="007D4FF6"/>
    <w:rsid w:val="007D549F"/>
    <w:rsid w:val="007D5738"/>
    <w:rsid w:val="007D5AEC"/>
    <w:rsid w:val="007E164D"/>
    <w:rsid w:val="007E23BE"/>
    <w:rsid w:val="007E33F4"/>
    <w:rsid w:val="007E3901"/>
    <w:rsid w:val="007E415D"/>
    <w:rsid w:val="007E4C41"/>
    <w:rsid w:val="007E5C9C"/>
    <w:rsid w:val="007E617B"/>
    <w:rsid w:val="007E6293"/>
    <w:rsid w:val="007E71AA"/>
    <w:rsid w:val="007E7930"/>
    <w:rsid w:val="007E7FD0"/>
    <w:rsid w:val="007F0CED"/>
    <w:rsid w:val="007F19EB"/>
    <w:rsid w:val="007F1E64"/>
    <w:rsid w:val="007F21D9"/>
    <w:rsid w:val="007F3511"/>
    <w:rsid w:val="007F5194"/>
    <w:rsid w:val="007F6A66"/>
    <w:rsid w:val="007F7216"/>
    <w:rsid w:val="007F79F9"/>
    <w:rsid w:val="00800265"/>
    <w:rsid w:val="00801E5B"/>
    <w:rsid w:val="00803FEC"/>
    <w:rsid w:val="0080423B"/>
    <w:rsid w:val="0080538F"/>
    <w:rsid w:val="008064C7"/>
    <w:rsid w:val="00807CC7"/>
    <w:rsid w:val="008114A1"/>
    <w:rsid w:val="00812294"/>
    <w:rsid w:val="00813685"/>
    <w:rsid w:val="00813FEC"/>
    <w:rsid w:val="008145BD"/>
    <w:rsid w:val="00816E77"/>
    <w:rsid w:val="008174A1"/>
    <w:rsid w:val="00820E17"/>
    <w:rsid w:val="00820F84"/>
    <w:rsid w:val="00821E0A"/>
    <w:rsid w:val="00822E8C"/>
    <w:rsid w:val="008233A4"/>
    <w:rsid w:val="0082372A"/>
    <w:rsid w:val="008243DB"/>
    <w:rsid w:val="00827043"/>
    <w:rsid w:val="00827C56"/>
    <w:rsid w:val="00830400"/>
    <w:rsid w:val="0083051D"/>
    <w:rsid w:val="0083098A"/>
    <w:rsid w:val="00831500"/>
    <w:rsid w:val="00831C28"/>
    <w:rsid w:val="0083288C"/>
    <w:rsid w:val="00832B52"/>
    <w:rsid w:val="00833471"/>
    <w:rsid w:val="008341C2"/>
    <w:rsid w:val="008358CA"/>
    <w:rsid w:val="008367BD"/>
    <w:rsid w:val="0083698D"/>
    <w:rsid w:val="00836AE5"/>
    <w:rsid w:val="00840C37"/>
    <w:rsid w:val="00841316"/>
    <w:rsid w:val="00841CE7"/>
    <w:rsid w:val="00841F27"/>
    <w:rsid w:val="008423A4"/>
    <w:rsid w:val="00843926"/>
    <w:rsid w:val="00844FD2"/>
    <w:rsid w:val="008455A0"/>
    <w:rsid w:val="0084583E"/>
    <w:rsid w:val="00845DAD"/>
    <w:rsid w:val="00846445"/>
    <w:rsid w:val="008465B7"/>
    <w:rsid w:val="008465EE"/>
    <w:rsid w:val="00846D2A"/>
    <w:rsid w:val="00847B06"/>
    <w:rsid w:val="00850137"/>
    <w:rsid w:val="008501DE"/>
    <w:rsid w:val="0085138A"/>
    <w:rsid w:val="0085142B"/>
    <w:rsid w:val="00852973"/>
    <w:rsid w:val="00852E87"/>
    <w:rsid w:val="008532AC"/>
    <w:rsid w:val="0085388F"/>
    <w:rsid w:val="00854D78"/>
    <w:rsid w:val="0085502B"/>
    <w:rsid w:val="00855258"/>
    <w:rsid w:val="00860195"/>
    <w:rsid w:val="008603DF"/>
    <w:rsid w:val="0086269D"/>
    <w:rsid w:val="00862BB3"/>
    <w:rsid w:val="008631B7"/>
    <w:rsid w:val="008636DC"/>
    <w:rsid w:val="00863795"/>
    <w:rsid w:val="00865903"/>
    <w:rsid w:val="008662BE"/>
    <w:rsid w:val="008667B4"/>
    <w:rsid w:val="00867052"/>
    <w:rsid w:val="0086772A"/>
    <w:rsid w:val="00867B1F"/>
    <w:rsid w:val="0087017B"/>
    <w:rsid w:val="008705B9"/>
    <w:rsid w:val="00870620"/>
    <w:rsid w:val="0087082A"/>
    <w:rsid w:val="00870D1F"/>
    <w:rsid w:val="00870F98"/>
    <w:rsid w:val="00871728"/>
    <w:rsid w:val="0087174B"/>
    <w:rsid w:val="00871C67"/>
    <w:rsid w:val="00872DBE"/>
    <w:rsid w:val="008731CA"/>
    <w:rsid w:val="00873A44"/>
    <w:rsid w:val="00874E61"/>
    <w:rsid w:val="00874ED7"/>
    <w:rsid w:val="00876B4D"/>
    <w:rsid w:val="00876CAF"/>
    <w:rsid w:val="008802C4"/>
    <w:rsid w:val="00880467"/>
    <w:rsid w:val="008811E2"/>
    <w:rsid w:val="00881DC5"/>
    <w:rsid w:val="008829CF"/>
    <w:rsid w:val="00883BA0"/>
    <w:rsid w:val="008845AF"/>
    <w:rsid w:val="008847A7"/>
    <w:rsid w:val="008847B1"/>
    <w:rsid w:val="00884C7C"/>
    <w:rsid w:val="00886007"/>
    <w:rsid w:val="00886A51"/>
    <w:rsid w:val="0088702A"/>
    <w:rsid w:val="00890D35"/>
    <w:rsid w:val="0089191F"/>
    <w:rsid w:val="00891C9C"/>
    <w:rsid w:val="008921EC"/>
    <w:rsid w:val="0089223B"/>
    <w:rsid w:val="008922CC"/>
    <w:rsid w:val="008924DC"/>
    <w:rsid w:val="00892500"/>
    <w:rsid w:val="0089312A"/>
    <w:rsid w:val="00893134"/>
    <w:rsid w:val="00894303"/>
    <w:rsid w:val="0089548F"/>
    <w:rsid w:val="00897C8D"/>
    <w:rsid w:val="008A00D5"/>
    <w:rsid w:val="008A0AE6"/>
    <w:rsid w:val="008A1464"/>
    <w:rsid w:val="008A1767"/>
    <w:rsid w:val="008A2BC3"/>
    <w:rsid w:val="008A3FE9"/>
    <w:rsid w:val="008A45F2"/>
    <w:rsid w:val="008A6981"/>
    <w:rsid w:val="008B0379"/>
    <w:rsid w:val="008B3226"/>
    <w:rsid w:val="008B330A"/>
    <w:rsid w:val="008B6668"/>
    <w:rsid w:val="008B7DC6"/>
    <w:rsid w:val="008C04E1"/>
    <w:rsid w:val="008C10E3"/>
    <w:rsid w:val="008C180B"/>
    <w:rsid w:val="008C2D1F"/>
    <w:rsid w:val="008C41D1"/>
    <w:rsid w:val="008C4BD0"/>
    <w:rsid w:val="008C560F"/>
    <w:rsid w:val="008D1F85"/>
    <w:rsid w:val="008D235F"/>
    <w:rsid w:val="008D291B"/>
    <w:rsid w:val="008D29A2"/>
    <w:rsid w:val="008D36FB"/>
    <w:rsid w:val="008D519B"/>
    <w:rsid w:val="008D63CD"/>
    <w:rsid w:val="008D6ABC"/>
    <w:rsid w:val="008D7D5B"/>
    <w:rsid w:val="008E00B2"/>
    <w:rsid w:val="008E0536"/>
    <w:rsid w:val="008E17E3"/>
    <w:rsid w:val="008E21C6"/>
    <w:rsid w:val="008E2F17"/>
    <w:rsid w:val="008E41B6"/>
    <w:rsid w:val="008E4D5E"/>
    <w:rsid w:val="008E4FD0"/>
    <w:rsid w:val="008E5548"/>
    <w:rsid w:val="008E5CC9"/>
    <w:rsid w:val="008E6937"/>
    <w:rsid w:val="008E7086"/>
    <w:rsid w:val="008E7164"/>
    <w:rsid w:val="008F0938"/>
    <w:rsid w:val="008F287A"/>
    <w:rsid w:val="008F3753"/>
    <w:rsid w:val="008F3B25"/>
    <w:rsid w:val="00901178"/>
    <w:rsid w:val="009017BC"/>
    <w:rsid w:val="00902A53"/>
    <w:rsid w:val="00902FFB"/>
    <w:rsid w:val="00903F9C"/>
    <w:rsid w:val="00904000"/>
    <w:rsid w:val="0090437B"/>
    <w:rsid w:val="00904FDD"/>
    <w:rsid w:val="00905041"/>
    <w:rsid w:val="009060B6"/>
    <w:rsid w:val="00906B6F"/>
    <w:rsid w:val="00910DE6"/>
    <w:rsid w:val="009134E5"/>
    <w:rsid w:val="00914923"/>
    <w:rsid w:val="00915825"/>
    <w:rsid w:val="00915C01"/>
    <w:rsid w:val="00915D93"/>
    <w:rsid w:val="00917DA9"/>
    <w:rsid w:val="00920025"/>
    <w:rsid w:val="0092006F"/>
    <w:rsid w:val="00920C1F"/>
    <w:rsid w:val="009216BB"/>
    <w:rsid w:val="00921DB0"/>
    <w:rsid w:val="00923183"/>
    <w:rsid w:val="00923513"/>
    <w:rsid w:val="00924E42"/>
    <w:rsid w:val="00930633"/>
    <w:rsid w:val="009308DE"/>
    <w:rsid w:val="009311B7"/>
    <w:rsid w:val="0093304B"/>
    <w:rsid w:val="00933135"/>
    <w:rsid w:val="0093575F"/>
    <w:rsid w:val="00937C66"/>
    <w:rsid w:val="009403E0"/>
    <w:rsid w:val="009407DE"/>
    <w:rsid w:val="00941912"/>
    <w:rsid w:val="0094207A"/>
    <w:rsid w:val="00943190"/>
    <w:rsid w:val="00943599"/>
    <w:rsid w:val="009449BD"/>
    <w:rsid w:val="009454CF"/>
    <w:rsid w:val="009467F8"/>
    <w:rsid w:val="009470DF"/>
    <w:rsid w:val="00951280"/>
    <w:rsid w:val="00951AE9"/>
    <w:rsid w:val="0095500F"/>
    <w:rsid w:val="0095585B"/>
    <w:rsid w:val="00956B74"/>
    <w:rsid w:val="009575BD"/>
    <w:rsid w:val="00957A7C"/>
    <w:rsid w:val="00960E5F"/>
    <w:rsid w:val="00961B53"/>
    <w:rsid w:val="0096245E"/>
    <w:rsid w:val="00962FA4"/>
    <w:rsid w:val="0096393A"/>
    <w:rsid w:val="00963B36"/>
    <w:rsid w:val="00963EF3"/>
    <w:rsid w:val="009644B2"/>
    <w:rsid w:val="0096486E"/>
    <w:rsid w:val="00966BAD"/>
    <w:rsid w:val="00966C55"/>
    <w:rsid w:val="009674A7"/>
    <w:rsid w:val="00967B67"/>
    <w:rsid w:val="0097036C"/>
    <w:rsid w:val="0097037E"/>
    <w:rsid w:val="009709C0"/>
    <w:rsid w:val="00972204"/>
    <w:rsid w:val="00973137"/>
    <w:rsid w:val="00973C0A"/>
    <w:rsid w:val="00973C3C"/>
    <w:rsid w:val="0097431E"/>
    <w:rsid w:val="00975527"/>
    <w:rsid w:val="00975828"/>
    <w:rsid w:val="0097658B"/>
    <w:rsid w:val="00976E3D"/>
    <w:rsid w:val="00977123"/>
    <w:rsid w:val="00977189"/>
    <w:rsid w:val="00977881"/>
    <w:rsid w:val="009779B8"/>
    <w:rsid w:val="009810A6"/>
    <w:rsid w:val="00981805"/>
    <w:rsid w:val="00981901"/>
    <w:rsid w:val="00981C2A"/>
    <w:rsid w:val="00982349"/>
    <w:rsid w:val="00982CE7"/>
    <w:rsid w:val="00982ED6"/>
    <w:rsid w:val="00983075"/>
    <w:rsid w:val="00983AFA"/>
    <w:rsid w:val="00983BA2"/>
    <w:rsid w:val="00983CED"/>
    <w:rsid w:val="009842DD"/>
    <w:rsid w:val="009850A8"/>
    <w:rsid w:val="009852F3"/>
    <w:rsid w:val="00986C89"/>
    <w:rsid w:val="00986D1F"/>
    <w:rsid w:val="009878F9"/>
    <w:rsid w:val="00987A83"/>
    <w:rsid w:val="0099028C"/>
    <w:rsid w:val="0099046F"/>
    <w:rsid w:val="0099068E"/>
    <w:rsid w:val="00991265"/>
    <w:rsid w:val="0099149E"/>
    <w:rsid w:val="00991798"/>
    <w:rsid w:val="00991F83"/>
    <w:rsid w:val="00993A40"/>
    <w:rsid w:val="009957D5"/>
    <w:rsid w:val="009964F8"/>
    <w:rsid w:val="00996AA2"/>
    <w:rsid w:val="009A0CA6"/>
    <w:rsid w:val="009A128D"/>
    <w:rsid w:val="009A2066"/>
    <w:rsid w:val="009A2EF7"/>
    <w:rsid w:val="009A3584"/>
    <w:rsid w:val="009A4496"/>
    <w:rsid w:val="009A4EAC"/>
    <w:rsid w:val="009A51FE"/>
    <w:rsid w:val="009A5CDA"/>
    <w:rsid w:val="009A7523"/>
    <w:rsid w:val="009B09A5"/>
    <w:rsid w:val="009B19DB"/>
    <w:rsid w:val="009B2B12"/>
    <w:rsid w:val="009B3A8E"/>
    <w:rsid w:val="009B3B95"/>
    <w:rsid w:val="009B45CC"/>
    <w:rsid w:val="009B4C77"/>
    <w:rsid w:val="009B53EE"/>
    <w:rsid w:val="009B67B1"/>
    <w:rsid w:val="009B68D6"/>
    <w:rsid w:val="009B70F6"/>
    <w:rsid w:val="009B7A07"/>
    <w:rsid w:val="009C07B2"/>
    <w:rsid w:val="009C1C53"/>
    <w:rsid w:val="009C27C8"/>
    <w:rsid w:val="009C3C2A"/>
    <w:rsid w:val="009C4DA4"/>
    <w:rsid w:val="009C505D"/>
    <w:rsid w:val="009C52E9"/>
    <w:rsid w:val="009C59CE"/>
    <w:rsid w:val="009C5BA1"/>
    <w:rsid w:val="009C5E3F"/>
    <w:rsid w:val="009C6C59"/>
    <w:rsid w:val="009C7DAB"/>
    <w:rsid w:val="009D069D"/>
    <w:rsid w:val="009D1355"/>
    <w:rsid w:val="009D1998"/>
    <w:rsid w:val="009D2111"/>
    <w:rsid w:val="009D224C"/>
    <w:rsid w:val="009D2B71"/>
    <w:rsid w:val="009D37A8"/>
    <w:rsid w:val="009D3D6E"/>
    <w:rsid w:val="009D42E0"/>
    <w:rsid w:val="009D6EF8"/>
    <w:rsid w:val="009D74EA"/>
    <w:rsid w:val="009D7C0F"/>
    <w:rsid w:val="009E016B"/>
    <w:rsid w:val="009E03FD"/>
    <w:rsid w:val="009E0CA1"/>
    <w:rsid w:val="009E0F73"/>
    <w:rsid w:val="009E2E4E"/>
    <w:rsid w:val="009E2EEB"/>
    <w:rsid w:val="009E2F19"/>
    <w:rsid w:val="009E495C"/>
    <w:rsid w:val="009E5678"/>
    <w:rsid w:val="009E5838"/>
    <w:rsid w:val="009E707E"/>
    <w:rsid w:val="009E7AB7"/>
    <w:rsid w:val="009F1066"/>
    <w:rsid w:val="009F1252"/>
    <w:rsid w:val="009F2B38"/>
    <w:rsid w:val="009F35C8"/>
    <w:rsid w:val="009F3E43"/>
    <w:rsid w:val="009F5FAB"/>
    <w:rsid w:val="009F62F0"/>
    <w:rsid w:val="009F68C0"/>
    <w:rsid w:val="009F6F8C"/>
    <w:rsid w:val="009F7884"/>
    <w:rsid w:val="00A0001F"/>
    <w:rsid w:val="00A000C5"/>
    <w:rsid w:val="00A0080A"/>
    <w:rsid w:val="00A0089A"/>
    <w:rsid w:val="00A012B0"/>
    <w:rsid w:val="00A01550"/>
    <w:rsid w:val="00A021D9"/>
    <w:rsid w:val="00A029EC"/>
    <w:rsid w:val="00A02BA5"/>
    <w:rsid w:val="00A03216"/>
    <w:rsid w:val="00A03852"/>
    <w:rsid w:val="00A04141"/>
    <w:rsid w:val="00A04F34"/>
    <w:rsid w:val="00A06171"/>
    <w:rsid w:val="00A061E6"/>
    <w:rsid w:val="00A06256"/>
    <w:rsid w:val="00A13752"/>
    <w:rsid w:val="00A14322"/>
    <w:rsid w:val="00A1435E"/>
    <w:rsid w:val="00A1609F"/>
    <w:rsid w:val="00A160FC"/>
    <w:rsid w:val="00A17C7F"/>
    <w:rsid w:val="00A17DA9"/>
    <w:rsid w:val="00A200B9"/>
    <w:rsid w:val="00A2017C"/>
    <w:rsid w:val="00A209EE"/>
    <w:rsid w:val="00A2173C"/>
    <w:rsid w:val="00A223E7"/>
    <w:rsid w:val="00A225CE"/>
    <w:rsid w:val="00A24472"/>
    <w:rsid w:val="00A250D6"/>
    <w:rsid w:val="00A254F3"/>
    <w:rsid w:val="00A26804"/>
    <w:rsid w:val="00A27AB0"/>
    <w:rsid w:val="00A30555"/>
    <w:rsid w:val="00A319C7"/>
    <w:rsid w:val="00A31C6C"/>
    <w:rsid w:val="00A31F4A"/>
    <w:rsid w:val="00A346AD"/>
    <w:rsid w:val="00A34D65"/>
    <w:rsid w:val="00A35D70"/>
    <w:rsid w:val="00A36C37"/>
    <w:rsid w:val="00A40BE7"/>
    <w:rsid w:val="00A4268F"/>
    <w:rsid w:val="00A42B52"/>
    <w:rsid w:val="00A4434D"/>
    <w:rsid w:val="00A44401"/>
    <w:rsid w:val="00A4452D"/>
    <w:rsid w:val="00A463C6"/>
    <w:rsid w:val="00A464A2"/>
    <w:rsid w:val="00A46FAA"/>
    <w:rsid w:val="00A47939"/>
    <w:rsid w:val="00A479B2"/>
    <w:rsid w:val="00A5013B"/>
    <w:rsid w:val="00A51F3E"/>
    <w:rsid w:val="00A52845"/>
    <w:rsid w:val="00A5311C"/>
    <w:rsid w:val="00A53497"/>
    <w:rsid w:val="00A53AFB"/>
    <w:rsid w:val="00A543E0"/>
    <w:rsid w:val="00A54586"/>
    <w:rsid w:val="00A547B7"/>
    <w:rsid w:val="00A54B22"/>
    <w:rsid w:val="00A55F1E"/>
    <w:rsid w:val="00A569CA"/>
    <w:rsid w:val="00A56C60"/>
    <w:rsid w:val="00A56D40"/>
    <w:rsid w:val="00A57625"/>
    <w:rsid w:val="00A605F3"/>
    <w:rsid w:val="00A62DA8"/>
    <w:rsid w:val="00A63136"/>
    <w:rsid w:val="00A63B9F"/>
    <w:rsid w:val="00A6514C"/>
    <w:rsid w:val="00A6652B"/>
    <w:rsid w:val="00A66BF7"/>
    <w:rsid w:val="00A66E08"/>
    <w:rsid w:val="00A66FD1"/>
    <w:rsid w:val="00A7213C"/>
    <w:rsid w:val="00A72AB7"/>
    <w:rsid w:val="00A736ED"/>
    <w:rsid w:val="00A74E88"/>
    <w:rsid w:val="00A75C97"/>
    <w:rsid w:val="00A778EB"/>
    <w:rsid w:val="00A818DF"/>
    <w:rsid w:val="00A8218D"/>
    <w:rsid w:val="00A82472"/>
    <w:rsid w:val="00A8262B"/>
    <w:rsid w:val="00A829F1"/>
    <w:rsid w:val="00A82F4C"/>
    <w:rsid w:val="00A86958"/>
    <w:rsid w:val="00A87888"/>
    <w:rsid w:val="00A87DFD"/>
    <w:rsid w:val="00A903A3"/>
    <w:rsid w:val="00A90794"/>
    <w:rsid w:val="00A90B58"/>
    <w:rsid w:val="00A90D51"/>
    <w:rsid w:val="00A91930"/>
    <w:rsid w:val="00A92807"/>
    <w:rsid w:val="00A9306B"/>
    <w:rsid w:val="00A937CB"/>
    <w:rsid w:val="00A93A25"/>
    <w:rsid w:val="00A943DA"/>
    <w:rsid w:val="00A95549"/>
    <w:rsid w:val="00A95789"/>
    <w:rsid w:val="00A9642B"/>
    <w:rsid w:val="00AA0B31"/>
    <w:rsid w:val="00AA0CE7"/>
    <w:rsid w:val="00AA1083"/>
    <w:rsid w:val="00AA2888"/>
    <w:rsid w:val="00AA3BA5"/>
    <w:rsid w:val="00AA3CD9"/>
    <w:rsid w:val="00AA4585"/>
    <w:rsid w:val="00AA46A7"/>
    <w:rsid w:val="00AA4F35"/>
    <w:rsid w:val="00AA5204"/>
    <w:rsid w:val="00AA5582"/>
    <w:rsid w:val="00AA5AD7"/>
    <w:rsid w:val="00AA6D8B"/>
    <w:rsid w:val="00AA7797"/>
    <w:rsid w:val="00AB06A7"/>
    <w:rsid w:val="00AB0B46"/>
    <w:rsid w:val="00AB16E8"/>
    <w:rsid w:val="00AB2C90"/>
    <w:rsid w:val="00AB3479"/>
    <w:rsid w:val="00AB4F6A"/>
    <w:rsid w:val="00AB544C"/>
    <w:rsid w:val="00AB7192"/>
    <w:rsid w:val="00AB742D"/>
    <w:rsid w:val="00AC0DC4"/>
    <w:rsid w:val="00AC1A34"/>
    <w:rsid w:val="00AC2195"/>
    <w:rsid w:val="00AC2DBE"/>
    <w:rsid w:val="00AC32D1"/>
    <w:rsid w:val="00AC713C"/>
    <w:rsid w:val="00AC7CFC"/>
    <w:rsid w:val="00AD2158"/>
    <w:rsid w:val="00AD3361"/>
    <w:rsid w:val="00AD45F5"/>
    <w:rsid w:val="00AD6590"/>
    <w:rsid w:val="00AD6BC2"/>
    <w:rsid w:val="00AD7540"/>
    <w:rsid w:val="00AD7DB1"/>
    <w:rsid w:val="00AE16F7"/>
    <w:rsid w:val="00AE16FF"/>
    <w:rsid w:val="00AE241F"/>
    <w:rsid w:val="00AE4C66"/>
    <w:rsid w:val="00AE6764"/>
    <w:rsid w:val="00AF0A0E"/>
    <w:rsid w:val="00AF0D7A"/>
    <w:rsid w:val="00AF0F1E"/>
    <w:rsid w:val="00AF11F5"/>
    <w:rsid w:val="00AF12DA"/>
    <w:rsid w:val="00AF184F"/>
    <w:rsid w:val="00AF1911"/>
    <w:rsid w:val="00AF2D95"/>
    <w:rsid w:val="00AF3A46"/>
    <w:rsid w:val="00AF5F78"/>
    <w:rsid w:val="00AF79B3"/>
    <w:rsid w:val="00B00369"/>
    <w:rsid w:val="00B01644"/>
    <w:rsid w:val="00B024D4"/>
    <w:rsid w:val="00B02F39"/>
    <w:rsid w:val="00B032C5"/>
    <w:rsid w:val="00B037EF"/>
    <w:rsid w:val="00B05EBB"/>
    <w:rsid w:val="00B07076"/>
    <w:rsid w:val="00B07B64"/>
    <w:rsid w:val="00B11699"/>
    <w:rsid w:val="00B117BA"/>
    <w:rsid w:val="00B11D7D"/>
    <w:rsid w:val="00B13823"/>
    <w:rsid w:val="00B13ED6"/>
    <w:rsid w:val="00B13F27"/>
    <w:rsid w:val="00B1471A"/>
    <w:rsid w:val="00B15075"/>
    <w:rsid w:val="00B1512A"/>
    <w:rsid w:val="00B15E6F"/>
    <w:rsid w:val="00B168BB"/>
    <w:rsid w:val="00B1757C"/>
    <w:rsid w:val="00B2045D"/>
    <w:rsid w:val="00B21751"/>
    <w:rsid w:val="00B220B1"/>
    <w:rsid w:val="00B22355"/>
    <w:rsid w:val="00B23424"/>
    <w:rsid w:val="00B23E99"/>
    <w:rsid w:val="00B2463A"/>
    <w:rsid w:val="00B246E1"/>
    <w:rsid w:val="00B25DFD"/>
    <w:rsid w:val="00B313D4"/>
    <w:rsid w:val="00B318C5"/>
    <w:rsid w:val="00B31BCF"/>
    <w:rsid w:val="00B321AD"/>
    <w:rsid w:val="00B33778"/>
    <w:rsid w:val="00B3377A"/>
    <w:rsid w:val="00B35B51"/>
    <w:rsid w:val="00B36387"/>
    <w:rsid w:val="00B4025F"/>
    <w:rsid w:val="00B40B51"/>
    <w:rsid w:val="00B41EFC"/>
    <w:rsid w:val="00B42D39"/>
    <w:rsid w:val="00B42D89"/>
    <w:rsid w:val="00B43416"/>
    <w:rsid w:val="00B44F58"/>
    <w:rsid w:val="00B4556A"/>
    <w:rsid w:val="00B460EF"/>
    <w:rsid w:val="00B46615"/>
    <w:rsid w:val="00B46CFA"/>
    <w:rsid w:val="00B475E8"/>
    <w:rsid w:val="00B47DB4"/>
    <w:rsid w:val="00B501E7"/>
    <w:rsid w:val="00B50DD5"/>
    <w:rsid w:val="00B5127A"/>
    <w:rsid w:val="00B516F7"/>
    <w:rsid w:val="00B52974"/>
    <w:rsid w:val="00B5297C"/>
    <w:rsid w:val="00B53381"/>
    <w:rsid w:val="00B5439F"/>
    <w:rsid w:val="00B546F8"/>
    <w:rsid w:val="00B54DB6"/>
    <w:rsid w:val="00B558E6"/>
    <w:rsid w:val="00B55F4C"/>
    <w:rsid w:val="00B57E2C"/>
    <w:rsid w:val="00B57EA6"/>
    <w:rsid w:val="00B61BB8"/>
    <w:rsid w:val="00B61CE7"/>
    <w:rsid w:val="00B62B9A"/>
    <w:rsid w:val="00B6403F"/>
    <w:rsid w:val="00B643CD"/>
    <w:rsid w:val="00B64488"/>
    <w:rsid w:val="00B651FC"/>
    <w:rsid w:val="00B655CA"/>
    <w:rsid w:val="00B6578C"/>
    <w:rsid w:val="00B6669E"/>
    <w:rsid w:val="00B66B80"/>
    <w:rsid w:val="00B67D5E"/>
    <w:rsid w:val="00B70134"/>
    <w:rsid w:val="00B7062D"/>
    <w:rsid w:val="00B72309"/>
    <w:rsid w:val="00B732C4"/>
    <w:rsid w:val="00B73A37"/>
    <w:rsid w:val="00B7408D"/>
    <w:rsid w:val="00B7414C"/>
    <w:rsid w:val="00B74DC2"/>
    <w:rsid w:val="00B75478"/>
    <w:rsid w:val="00B75B8A"/>
    <w:rsid w:val="00B76E7F"/>
    <w:rsid w:val="00B77AF1"/>
    <w:rsid w:val="00B804FA"/>
    <w:rsid w:val="00B807C0"/>
    <w:rsid w:val="00B80D33"/>
    <w:rsid w:val="00B81DF2"/>
    <w:rsid w:val="00B82474"/>
    <w:rsid w:val="00B8451E"/>
    <w:rsid w:val="00B848A7"/>
    <w:rsid w:val="00B84DC3"/>
    <w:rsid w:val="00B85675"/>
    <w:rsid w:val="00B86532"/>
    <w:rsid w:val="00B86596"/>
    <w:rsid w:val="00B87B79"/>
    <w:rsid w:val="00B90A68"/>
    <w:rsid w:val="00B90D0F"/>
    <w:rsid w:val="00B9181A"/>
    <w:rsid w:val="00B92967"/>
    <w:rsid w:val="00B93183"/>
    <w:rsid w:val="00B9350D"/>
    <w:rsid w:val="00B93796"/>
    <w:rsid w:val="00B94015"/>
    <w:rsid w:val="00B9437E"/>
    <w:rsid w:val="00B9483E"/>
    <w:rsid w:val="00B9514D"/>
    <w:rsid w:val="00B9749F"/>
    <w:rsid w:val="00B979B9"/>
    <w:rsid w:val="00BA19BF"/>
    <w:rsid w:val="00BA2F30"/>
    <w:rsid w:val="00BA3204"/>
    <w:rsid w:val="00BA3A49"/>
    <w:rsid w:val="00BA4942"/>
    <w:rsid w:val="00BA6245"/>
    <w:rsid w:val="00BA6AC3"/>
    <w:rsid w:val="00BA720C"/>
    <w:rsid w:val="00BA7753"/>
    <w:rsid w:val="00BB069B"/>
    <w:rsid w:val="00BB07DC"/>
    <w:rsid w:val="00BB137D"/>
    <w:rsid w:val="00BB2009"/>
    <w:rsid w:val="00BB3238"/>
    <w:rsid w:val="00BB3A0F"/>
    <w:rsid w:val="00BB4E5F"/>
    <w:rsid w:val="00BB5752"/>
    <w:rsid w:val="00BB6465"/>
    <w:rsid w:val="00BB6541"/>
    <w:rsid w:val="00BC0024"/>
    <w:rsid w:val="00BC06D2"/>
    <w:rsid w:val="00BC0C41"/>
    <w:rsid w:val="00BC3BE0"/>
    <w:rsid w:val="00BC640A"/>
    <w:rsid w:val="00BC6E30"/>
    <w:rsid w:val="00BC6F8B"/>
    <w:rsid w:val="00BC6FA0"/>
    <w:rsid w:val="00BC7847"/>
    <w:rsid w:val="00BD0233"/>
    <w:rsid w:val="00BD0600"/>
    <w:rsid w:val="00BD211C"/>
    <w:rsid w:val="00BD2703"/>
    <w:rsid w:val="00BD2CA9"/>
    <w:rsid w:val="00BD35F8"/>
    <w:rsid w:val="00BD3A67"/>
    <w:rsid w:val="00BD637F"/>
    <w:rsid w:val="00BD6FFE"/>
    <w:rsid w:val="00BD7C43"/>
    <w:rsid w:val="00BE0816"/>
    <w:rsid w:val="00BE0E90"/>
    <w:rsid w:val="00BE18A3"/>
    <w:rsid w:val="00BE2331"/>
    <w:rsid w:val="00BE2E31"/>
    <w:rsid w:val="00BE3D22"/>
    <w:rsid w:val="00BE4944"/>
    <w:rsid w:val="00BF19C4"/>
    <w:rsid w:val="00BF2B65"/>
    <w:rsid w:val="00BF3978"/>
    <w:rsid w:val="00BF3ECC"/>
    <w:rsid w:val="00BF553E"/>
    <w:rsid w:val="00BF5B0F"/>
    <w:rsid w:val="00BF6339"/>
    <w:rsid w:val="00BF6BE8"/>
    <w:rsid w:val="00BF726A"/>
    <w:rsid w:val="00BF7441"/>
    <w:rsid w:val="00BF7B2E"/>
    <w:rsid w:val="00BF7C43"/>
    <w:rsid w:val="00BF7DA9"/>
    <w:rsid w:val="00C006F4"/>
    <w:rsid w:val="00C00AE6"/>
    <w:rsid w:val="00C00C3E"/>
    <w:rsid w:val="00C01408"/>
    <w:rsid w:val="00C01E96"/>
    <w:rsid w:val="00C01ED4"/>
    <w:rsid w:val="00C026E6"/>
    <w:rsid w:val="00C03863"/>
    <w:rsid w:val="00C0444F"/>
    <w:rsid w:val="00C04D84"/>
    <w:rsid w:val="00C0782E"/>
    <w:rsid w:val="00C10769"/>
    <w:rsid w:val="00C107A2"/>
    <w:rsid w:val="00C10A6D"/>
    <w:rsid w:val="00C13C6A"/>
    <w:rsid w:val="00C14522"/>
    <w:rsid w:val="00C14AAC"/>
    <w:rsid w:val="00C14AC7"/>
    <w:rsid w:val="00C14C24"/>
    <w:rsid w:val="00C15F24"/>
    <w:rsid w:val="00C16144"/>
    <w:rsid w:val="00C165C0"/>
    <w:rsid w:val="00C16605"/>
    <w:rsid w:val="00C207E1"/>
    <w:rsid w:val="00C208BE"/>
    <w:rsid w:val="00C20FB6"/>
    <w:rsid w:val="00C2112C"/>
    <w:rsid w:val="00C228AE"/>
    <w:rsid w:val="00C245AB"/>
    <w:rsid w:val="00C24FC6"/>
    <w:rsid w:val="00C25081"/>
    <w:rsid w:val="00C250F3"/>
    <w:rsid w:val="00C25E57"/>
    <w:rsid w:val="00C30C93"/>
    <w:rsid w:val="00C30D11"/>
    <w:rsid w:val="00C3228C"/>
    <w:rsid w:val="00C33F2E"/>
    <w:rsid w:val="00C33F49"/>
    <w:rsid w:val="00C34765"/>
    <w:rsid w:val="00C34D4D"/>
    <w:rsid w:val="00C35268"/>
    <w:rsid w:val="00C352E2"/>
    <w:rsid w:val="00C36283"/>
    <w:rsid w:val="00C374ED"/>
    <w:rsid w:val="00C37724"/>
    <w:rsid w:val="00C37B01"/>
    <w:rsid w:val="00C37DD1"/>
    <w:rsid w:val="00C402B2"/>
    <w:rsid w:val="00C40830"/>
    <w:rsid w:val="00C40A0C"/>
    <w:rsid w:val="00C41595"/>
    <w:rsid w:val="00C43E5C"/>
    <w:rsid w:val="00C44026"/>
    <w:rsid w:val="00C44856"/>
    <w:rsid w:val="00C45779"/>
    <w:rsid w:val="00C46097"/>
    <w:rsid w:val="00C47EF7"/>
    <w:rsid w:val="00C52575"/>
    <w:rsid w:val="00C52AA0"/>
    <w:rsid w:val="00C52D03"/>
    <w:rsid w:val="00C53493"/>
    <w:rsid w:val="00C5366B"/>
    <w:rsid w:val="00C55714"/>
    <w:rsid w:val="00C57277"/>
    <w:rsid w:val="00C60D5D"/>
    <w:rsid w:val="00C61108"/>
    <w:rsid w:val="00C6142A"/>
    <w:rsid w:val="00C6373F"/>
    <w:rsid w:val="00C63D0C"/>
    <w:rsid w:val="00C640ED"/>
    <w:rsid w:val="00C641FD"/>
    <w:rsid w:val="00C644AA"/>
    <w:rsid w:val="00C64D18"/>
    <w:rsid w:val="00C651DF"/>
    <w:rsid w:val="00C65E13"/>
    <w:rsid w:val="00C67859"/>
    <w:rsid w:val="00C67F35"/>
    <w:rsid w:val="00C67F6C"/>
    <w:rsid w:val="00C71113"/>
    <w:rsid w:val="00C714AA"/>
    <w:rsid w:val="00C71A10"/>
    <w:rsid w:val="00C7566B"/>
    <w:rsid w:val="00C76379"/>
    <w:rsid w:val="00C765AF"/>
    <w:rsid w:val="00C76B28"/>
    <w:rsid w:val="00C76FA4"/>
    <w:rsid w:val="00C814D4"/>
    <w:rsid w:val="00C82B8E"/>
    <w:rsid w:val="00C84193"/>
    <w:rsid w:val="00C86EA2"/>
    <w:rsid w:val="00C872E7"/>
    <w:rsid w:val="00C904B2"/>
    <w:rsid w:val="00C90A00"/>
    <w:rsid w:val="00C914F3"/>
    <w:rsid w:val="00C91750"/>
    <w:rsid w:val="00C931DE"/>
    <w:rsid w:val="00C93253"/>
    <w:rsid w:val="00C943D5"/>
    <w:rsid w:val="00C947F6"/>
    <w:rsid w:val="00C94A6B"/>
    <w:rsid w:val="00CA1064"/>
    <w:rsid w:val="00CA21BE"/>
    <w:rsid w:val="00CA32D5"/>
    <w:rsid w:val="00CA345F"/>
    <w:rsid w:val="00CA3503"/>
    <w:rsid w:val="00CA3BF9"/>
    <w:rsid w:val="00CA3DFE"/>
    <w:rsid w:val="00CA4073"/>
    <w:rsid w:val="00CA4EBB"/>
    <w:rsid w:val="00CA58B8"/>
    <w:rsid w:val="00CA594F"/>
    <w:rsid w:val="00CA7619"/>
    <w:rsid w:val="00CB02F6"/>
    <w:rsid w:val="00CB1587"/>
    <w:rsid w:val="00CB17FF"/>
    <w:rsid w:val="00CB1B3D"/>
    <w:rsid w:val="00CB5D90"/>
    <w:rsid w:val="00CB690A"/>
    <w:rsid w:val="00CC009C"/>
    <w:rsid w:val="00CC0121"/>
    <w:rsid w:val="00CC04F3"/>
    <w:rsid w:val="00CC0C62"/>
    <w:rsid w:val="00CC1794"/>
    <w:rsid w:val="00CC17F9"/>
    <w:rsid w:val="00CC249A"/>
    <w:rsid w:val="00CC267B"/>
    <w:rsid w:val="00CC30B3"/>
    <w:rsid w:val="00CC312A"/>
    <w:rsid w:val="00CC4CF4"/>
    <w:rsid w:val="00CC5433"/>
    <w:rsid w:val="00CC552E"/>
    <w:rsid w:val="00CC5D2A"/>
    <w:rsid w:val="00CC5DC3"/>
    <w:rsid w:val="00CC6673"/>
    <w:rsid w:val="00CC6A9E"/>
    <w:rsid w:val="00CC6DB0"/>
    <w:rsid w:val="00CC79F6"/>
    <w:rsid w:val="00CD0103"/>
    <w:rsid w:val="00CD1792"/>
    <w:rsid w:val="00CD184D"/>
    <w:rsid w:val="00CD18CB"/>
    <w:rsid w:val="00CD1F3C"/>
    <w:rsid w:val="00CD23A0"/>
    <w:rsid w:val="00CD51A8"/>
    <w:rsid w:val="00CD7666"/>
    <w:rsid w:val="00CE3BF3"/>
    <w:rsid w:val="00CE4B6F"/>
    <w:rsid w:val="00CE4B76"/>
    <w:rsid w:val="00CE5191"/>
    <w:rsid w:val="00CE5882"/>
    <w:rsid w:val="00CE6625"/>
    <w:rsid w:val="00CE743A"/>
    <w:rsid w:val="00CF0B45"/>
    <w:rsid w:val="00CF0CAD"/>
    <w:rsid w:val="00CF27D6"/>
    <w:rsid w:val="00CF36FA"/>
    <w:rsid w:val="00CF3709"/>
    <w:rsid w:val="00CF40D8"/>
    <w:rsid w:val="00CF4B11"/>
    <w:rsid w:val="00CF5530"/>
    <w:rsid w:val="00CF5853"/>
    <w:rsid w:val="00D0200E"/>
    <w:rsid w:val="00D024A3"/>
    <w:rsid w:val="00D0435D"/>
    <w:rsid w:val="00D04467"/>
    <w:rsid w:val="00D05CEC"/>
    <w:rsid w:val="00D05D2F"/>
    <w:rsid w:val="00D062E3"/>
    <w:rsid w:val="00D079B6"/>
    <w:rsid w:val="00D108D9"/>
    <w:rsid w:val="00D10DE9"/>
    <w:rsid w:val="00D11531"/>
    <w:rsid w:val="00D1316E"/>
    <w:rsid w:val="00D13B6F"/>
    <w:rsid w:val="00D13EDA"/>
    <w:rsid w:val="00D143D5"/>
    <w:rsid w:val="00D15AC8"/>
    <w:rsid w:val="00D16AC6"/>
    <w:rsid w:val="00D171D4"/>
    <w:rsid w:val="00D178E0"/>
    <w:rsid w:val="00D20290"/>
    <w:rsid w:val="00D206B5"/>
    <w:rsid w:val="00D222CC"/>
    <w:rsid w:val="00D222F2"/>
    <w:rsid w:val="00D23119"/>
    <w:rsid w:val="00D2351A"/>
    <w:rsid w:val="00D24C11"/>
    <w:rsid w:val="00D25A10"/>
    <w:rsid w:val="00D25AC8"/>
    <w:rsid w:val="00D26C30"/>
    <w:rsid w:val="00D26FB0"/>
    <w:rsid w:val="00D270E7"/>
    <w:rsid w:val="00D27915"/>
    <w:rsid w:val="00D313AE"/>
    <w:rsid w:val="00D329EC"/>
    <w:rsid w:val="00D33907"/>
    <w:rsid w:val="00D33CAC"/>
    <w:rsid w:val="00D33DE0"/>
    <w:rsid w:val="00D3498A"/>
    <w:rsid w:val="00D34E61"/>
    <w:rsid w:val="00D361E8"/>
    <w:rsid w:val="00D36AB2"/>
    <w:rsid w:val="00D37511"/>
    <w:rsid w:val="00D379F4"/>
    <w:rsid w:val="00D37ABC"/>
    <w:rsid w:val="00D40268"/>
    <w:rsid w:val="00D40A34"/>
    <w:rsid w:val="00D40E94"/>
    <w:rsid w:val="00D413DB"/>
    <w:rsid w:val="00D41C55"/>
    <w:rsid w:val="00D426E4"/>
    <w:rsid w:val="00D4382D"/>
    <w:rsid w:val="00D44AC2"/>
    <w:rsid w:val="00D45F09"/>
    <w:rsid w:val="00D47528"/>
    <w:rsid w:val="00D479D4"/>
    <w:rsid w:val="00D47D51"/>
    <w:rsid w:val="00D50C49"/>
    <w:rsid w:val="00D50E21"/>
    <w:rsid w:val="00D51150"/>
    <w:rsid w:val="00D51723"/>
    <w:rsid w:val="00D51FED"/>
    <w:rsid w:val="00D53690"/>
    <w:rsid w:val="00D5472F"/>
    <w:rsid w:val="00D54838"/>
    <w:rsid w:val="00D5485D"/>
    <w:rsid w:val="00D55D64"/>
    <w:rsid w:val="00D5691E"/>
    <w:rsid w:val="00D57657"/>
    <w:rsid w:val="00D57BC8"/>
    <w:rsid w:val="00D60394"/>
    <w:rsid w:val="00D61095"/>
    <w:rsid w:val="00D61AB1"/>
    <w:rsid w:val="00D63B92"/>
    <w:rsid w:val="00D6606F"/>
    <w:rsid w:val="00D662F1"/>
    <w:rsid w:val="00D667BB"/>
    <w:rsid w:val="00D6685E"/>
    <w:rsid w:val="00D66935"/>
    <w:rsid w:val="00D66F32"/>
    <w:rsid w:val="00D67595"/>
    <w:rsid w:val="00D67753"/>
    <w:rsid w:val="00D677D0"/>
    <w:rsid w:val="00D67E78"/>
    <w:rsid w:val="00D67F4B"/>
    <w:rsid w:val="00D718FF"/>
    <w:rsid w:val="00D7250A"/>
    <w:rsid w:val="00D73AAC"/>
    <w:rsid w:val="00D73CD1"/>
    <w:rsid w:val="00D73E05"/>
    <w:rsid w:val="00D7476C"/>
    <w:rsid w:val="00D74944"/>
    <w:rsid w:val="00D74ACD"/>
    <w:rsid w:val="00D754B8"/>
    <w:rsid w:val="00D7596E"/>
    <w:rsid w:val="00D776EB"/>
    <w:rsid w:val="00D80179"/>
    <w:rsid w:val="00D801E3"/>
    <w:rsid w:val="00D80E5F"/>
    <w:rsid w:val="00D80F5D"/>
    <w:rsid w:val="00D8237C"/>
    <w:rsid w:val="00D826EC"/>
    <w:rsid w:val="00D83E27"/>
    <w:rsid w:val="00D8418A"/>
    <w:rsid w:val="00D8466E"/>
    <w:rsid w:val="00D847F4"/>
    <w:rsid w:val="00D84B5E"/>
    <w:rsid w:val="00D8712F"/>
    <w:rsid w:val="00D90BCE"/>
    <w:rsid w:val="00D92149"/>
    <w:rsid w:val="00D92582"/>
    <w:rsid w:val="00D92956"/>
    <w:rsid w:val="00D96407"/>
    <w:rsid w:val="00D96601"/>
    <w:rsid w:val="00D97B65"/>
    <w:rsid w:val="00DA0626"/>
    <w:rsid w:val="00DA1735"/>
    <w:rsid w:val="00DA18AD"/>
    <w:rsid w:val="00DA3A72"/>
    <w:rsid w:val="00DA51F0"/>
    <w:rsid w:val="00DA5E17"/>
    <w:rsid w:val="00DA7E9A"/>
    <w:rsid w:val="00DB0C88"/>
    <w:rsid w:val="00DB0D8C"/>
    <w:rsid w:val="00DB13BA"/>
    <w:rsid w:val="00DB1534"/>
    <w:rsid w:val="00DB1621"/>
    <w:rsid w:val="00DB4A95"/>
    <w:rsid w:val="00DB5DEB"/>
    <w:rsid w:val="00DB6AF0"/>
    <w:rsid w:val="00DB7F56"/>
    <w:rsid w:val="00DC11D8"/>
    <w:rsid w:val="00DC1356"/>
    <w:rsid w:val="00DC13B9"/>
    <w:rsid w:val="00DC1887"/>
    <w:rsid w:val="00DC19E8"/>
    <w:rsid w:val="00DC3C55"/>
    <w:rsid w:val="00DC441E"/>
    <w:rsid w:val="00DC4C56"/>
    <w:rsid w:val="00DC682D"/>
    <w:rsid w:val="00DC7274"/>
    <w:rsid w:val="00DC749F"/>
    <w:rsid w:val="00DC7BC1"/>
    <w:rsid w:val="00DD0ECE"/>
    <w:rsid w:val="00DD13D2"/>
    <w:rsid w:val="00DD1795"/>
    <w:rsid w:val="00DD19B5"/>
    <w:rsid w:val="00DD19C4"/>
    <w:rsid w:val="00DD2461"/>
    <w:rsid w:val="00DD24C1"/>
    <w:rsid w:val="00DD3158"/>
    <w:rsid w:val="00DD4158"/>
    <w:rsid w:val="00DD4999"/>
    <w:rsid w:val="00DD49BA"/>
    <w:rsid w:val="00DD55F5"/>
    <w:rsid w:val="00DD5695"/>
    <w:rsid w:val="00DD6422"/>
    <w:rsid w:val="00DD6E97"/>
    <w:rsid w:val="00DD72A0"/>
    <w:rsid w:val="00DD77C5"/>
    <w:rsid w:val="00DE1F51"/>
    <w:rsid w:val="00DE23FD"/>
    <w:rsid w:val="00DE3764"/>
    <w:rsid w:val="00DE4BFC"/>
    <w:rsid w:val="00DE5B25"/>
    <w:rsid w:val="00DE6795"/>
    <w:rsid w:val="00DE680D"/>
    <w:rsid w:val="00DE73B0"/>
    <w:rsid w:val="00DE7B22"/>
    <w:rsid w:val="00DF1501"/>
    <w:rsid w:val="00DF16BF"/>
    <w:rsid w:val="00DF195B"/>
    <w:rsid w:val="00DF2215"/>
    <w:rsid w:val="00DF4424"/>
    <w:rsid w:val="00DF63E5"/>
    <w:rsid w:val="00DF7504"/>
    <w:rsid w:val="00DF7FFB"/>
    <w:rsid w:val="00E008BA"/>
    <w:rsid w:val="00E00BEC"/>
    <w:rsid w:val="00E012DA"/>
    <w:rsid w:val="00E0135F"/>
    <w:rsid w:val="00E02956"/>
    <w:rsid w:val="00E0365F"/>
    <w:rsid w:val="00E03682"/>
    <w:rsid w:val="00E047DA"/>
    <w:rsid w:val="00E04BE1"/>
    <w:rsid w:val="00E04DD7"/>
    <w:rsid w:val="00E05100"/>
    <w:rsid w:val="00E05E1C"/>
    <w:rsid w:val="00E1062A"/>
    <w:rsid w:val="00E10FA5"/>
    <w:rsid w:val="00E11175"/>
    <w:rsid w:val="00E114E8"/>
    <w:rsid w:val="00E11844"/>
    <w:rsid w:val="00E136EA"/>
    <w:rsid w:val="00E14704"/>
    <w:rsid w:val="00E1490F"/>
    <w:rsid w:val="00E15100"/>
    <w:rsid w:val="00E15815"/>
    <w:rsid w:val="00E15F82"/>
    <w:rsid w:val="00E16401"/>
    <w:rsid w:val="00E16838"/>
    <w:rsid w:val="00E16B6E"/>
    <w:rsid w:val="00E204BE"/>
    <w:rsid w:val="00E231D1"/>
    <w:rsid w:val="00E2408A"/>
    <w:rsid w:val="00E24736"/>
    <w:rsid w:val="00E24835"/>
    <w:rsid w:val="00E252E1"/>
    <w:rsid w:val="00E2595B"/>
    <w:rsid w:val="00E25DCB"/>
    <w:rsid w:val="00E26978"/>
    <w:rsid w:val="00E26A00"/>
    <w:rsid w:val="00E273D3"/>
    <w:rsid w:val="00E30009"/>
    <w:rsid w:val="00E30C2C"/>
    <w:rsid w:val="00E31693"/>
    <w:rsid w:val="00E31A2F"/>
    <w:rsid w:val="00E33DF8"/>
    <w:rsid w:val="00E3423C"/>
    <w:rsid w:val="00E34DBD"/>
    <w:rsid w:val="00E3578D"/>
    <w:rsid w:val="00E36689"/>
    <w:rsid w:val="00E40242"/>
    <w:rsid w:val="00E40AD3"/>
    <w:rsid w:val="00E437C5"/>
    <w:rsid w:val="00E44332"/>
    <w:rsid w:val="00E4681C"/>
    <w:rsid w:val="00E473A7"/>
    <w:rsid w:val="00E50190"/>
    <w:rsid w:val="00E50AEF"/>
    <w:rsid w:val="00E5116B"/>
    <w:rsid w:val="00E554FA"/>
    <w:rsid w:val="00E559E9"/>
    <w:rsid w:val="00E56640"/>
    <w:rsid w:val="00E6057E"/>
    <w:rsid w:val="00E61067"/>
    <w:rsid w:val="00E61653"/>
    <w:rsid w:val="00E61A6C"/>
    <w:rsid w:val="00E622E2"/>
    <w:rsid w:val="00E62364"/>
    <w:rsid w:val="00E64465"/>
    <w:rsid w:val="00E659D2"/>
    <w:rsid w:val="00E67332"/>
    <w:rsid w:val="00E673BF"/>
    <w:rsid w:val="00E72154"/>
    <w:rsid w:val="00E72B4C"/>
    <w:rsid w:val="00E74740"/>
    <w:rsid w:val="00E75007"/>
    <w:rsid w:val="00E75217"/>
    <w:rsid w:val="00E75366"/>
    <w:rsid w:val="00E76ADC"/>
    <w:rsid w:val="00E77304"/>
    <w:rsid w:val="00E8008D"/>
    <w:rsid w:val="00E802B6"/>
    <w:rsid w:val="00E80A20"/>
    <w:rsid w:val="00E80AD5"/>
    <w:rsid w:val="00E81873"/>
    <w:rsid w:val="00E82700"/>
    <w:rsid w:val="00E83DB6"/>
    <w:rsid w:val="00E840F5"/>
    <w:rsid w:val="00E84972"/>
    <w:rsid w:val="00E84D60"/>
    <w:rsid w:val="00E84E78"/>
    <w:rsid w:val="00E85BBD"/>
    <w:rsid w:val="00E8613A"/>
    <w:rsid w:val="00E86E5B"/>
    <w:rsid w:val="00E90478"/>
    <w:rsid w:val="00E93788"/>
    <w:rsid w:val="00E93824"/>
    <w:rsid w:val="00E9394A"/>
    <w:rsid w:val="00E94005"/>
    <w:rsid w:val="00E95057"/>
    <w:rsid w:val="00E9522C"/>
    <w:rsid w:val="00E961D6"/>
    <w:rsid w:val="00E96885"/>
    <w:rsid w:val="00E96CC0"/>
    <w:rsid w:val="00E96DBF"/>
    <w:rsid w:val="00E97F4D"/>
    <w:rsid w:val="00EA120C"/>
    <w:rsid w:val="00EA2D3C"/>
    <w:rsid w:val="00EA3AA7"/>
    <w:rsid w:val="00EA4295"/>
    <w:rsid w:val="00EA4EE6"/>
    <w:rsid w:val="00EA718E"/>
    <w:rsid w:val="00EA7DCA"/>
    <w:rsid w:val="00EA7F0C"/>
    <w:rsid w:val="00EB0D93"/>
    <w:rsid w:val="00EB14C5"/>
    <w:rsid w:val="00EB3840"/>
    <w:rsid w:val="00EB3D29"/>
    <w:rsid w:val="00EB4C67"/>
    <w:rsid w:val="00EB57EE"/>
    <w:rsid w:val="00EB66EC"/>
    <w:rsid w:val="00EB749B"/>
    <w:rsid w:val="00EB7779"/>
    <w:rsid w:val="00EB7BEE"/>
    <w:rsid w:val="00EB7FD7"/>
    <w:rsid w:val="00EC15C5"/>
    <w:rsid w:val="00EC1CF9"/>
    <w:rsid w:val="00EC4D16"/>
    <w:rsid w:val="00EC4F25"/>
    <w:rsid w:val="00EC5317"/>
    <w:rsid w:val="00EC5619"/>
    <w:rsid w:val="00EC7786"/>
    <w:rsid w:val="00ED0CDB"/>
    <w:rsid w:val="00ED1EB7"/>
    <w:rsid w:val="00ED1F19"/>
    <w:rsid w:val="00ED1F5B"/>
    <w:rsid w:val="00ED225F"/>
    <w:rsid w:val="00ED3FCD"/>
    <w:rsid w:val="00ED6721"/>
    <w:rsid w:val="00ED677B"/>
    <w:rsid w:val="00ED6F14"/>
    <w:rsid w:val="00ED758A"/>
    <w:rsid w:val="00ED7673"/>
    <w:rsid w:val="00EE01E0"/>
    <w:rsid w:val="00EE14E6"/>
    <w:rsid w:val="00EE19AA"/>
    <w:rsid w:val="00EE1F24"/>
    <w:rsid w:val="00EE2370"/>
    <w:rsid w:val="00EE2664"/>
    <w:rsid w:val="00EE296D"/>
    <w:rsid w:val="00EE356C"/>
    <w:rsid w:val="00EE4CBE"/>
    <w:rsid w:val="00EE55A7"/>
    <w:rsid w:val="00EE635D"/>
    <w:rsid w:val="00EE67BB"/>
    <w:rsid w:val="00EE6DDB"/>
    <w:rsid w:val="00EE7ED0"/>
    <w:rsid w:val="00EF15F4"/>
    <w:rsid w:val="00EF18EE"/>
    <w:rsid w:val="00EF20AB"/>
    <w:rsid w:val="00EF21D4"/>
    <w:rsid w:val="00EF47DF"/>
    <w:rsid w:val="00EF5964"/>
    <w:rsid w:val="00EF6872"/>
    <w:rsid w:val="00EF7200"/>
    <w:rsid w:val="00EF7C10"/>
    <w:rsid w:val="00EF7F9A"/>
    <w:rsid w:val="00F0148E"/>
    <w:rsid w:val="00F02317"/>
    <w:rsid w:val="00F025A6"/>
    <w:rsid w:val="00F02E75"/>
    <w:rsid w:val="00F04402"/>
    <w:rsid w:val="00F047C9"/>
    <w:rsid w:val="00F06184"/>
    <w:rsid w:val="00F06263"/>
    <w:rsid w:val="00F065E4"/>
    <w:rsid w:val="00F0719B"/>
    <w:rsid w:val="00F07A95"/>
    <w:rsid w:val="00F07F78"/>
    <w:rsid w:val="00F11A70"/>
    <w:rsid w:val="00F121D8"/>
    <w:rsid w:val="00F121DC"/>
    <w:rsid w:val="00F130B0"/>
    <w:rsid w:val="00F134A6"/>
    <w:rsid w:val="00F13A87"/>
    <w:rsid w:val="00F14ABB"/>
    <w:rsid w:val="00F14DDD"/>
    <w:rsid w:val="00F15EE4"/>
    <w:rsid w:val="00F162D0"/>
    <w:rsid w:val="00F16FDB"/>
    <w:rsid w:val="00F17507"/>
    <w:rsid w:val="00F179AB"/>
    <w:rsid w:val="00F201CB"/>
    <w:rsid w:val="00F20975"/>
    <w:rsid w:val="00F22BCC"/>
    <w:rsid w:val="00F22CAE"/>
    <w:rsid w:val="00F22F48"/>
    <w:rsid w:val="00F241BF"/>
    <w:rsid w:val="00F243FE"/>
    <w:rsid w:val="00F24E36"/>
    <w:rsid w:val="00F258CC"/>
    <w:rsid w:val="00F26DAE"/>
    <w:rsid w:val="00F3066C"/>
    <w:rsid w:val="00F3154B"/>
    <w:rsid w:val="00F318B9"/>
    <w:rsid w:val="00F319D4"/>
    <w:rsid w:val="00F31F9E"/>
    <w:rsid w:val="00F32B5A"/>
    <w:rsid w:val="00F36835"/>
    <w:rsid w:val="00F37360"/>
    <w:rsid w:val="00F378CE"/>
    <w:rsid w:val="00F4127A"/>
    <w:rsid w:val="00F42C87"/>
    <w:rsid w:val="00F4551C"/>
    <w:rsid w:val="00F464F8"/>
    <w:rsid w:val="00F475DD"/>
    <w:rsid w:val="00F47794"/>
    <w:rsid w:val="00F50EFC"/>
    <w:rsid w:val="00F527AF"/>
    <w:rsid w:val="00F539CA"/>
    <w:rsid w:val="00F53C4D"/>
    <w:rsid w:val="00F53FAD"/>
    <w:rsid w:val="00F54B7F"/>
    <w:rsid w:val="00F55B6C"/>
    <w:rsid w:val="00F57F80"/>
    <w:rsid w:val="00F60094"/>
    <w:rsid w:val="00F6631A"/>
    <w:rsid w:val="00F66E5F"/>
    <w:rsid w:val="00F6753B"/>
    <w:rsid w:val="00F705B0"/>
    <w:rsid w:val="00F7064A"/>
    <w:rsid w:val="00F71B79"/>
    <w:rsid w:val="00F72F7B"/>
    <w:rsid w:val="00F73047"/>
    <w:rsid w:val="00F73282"/>
    <w:rsid w:val="00F73FB6"/>
    <w:rsid w:val="00F74BD7"/>
    <w:rsid w:val="00F75398"/>
    <w:rsid w:val="00F760B0"/>
    <w:rsid w:val="00F762AF"/>
    <w:rsid w:val="00F76487"/>
    <w:rsid w:val="00F77703"/>
    <w:rsid w:val="00F81F86"/>
    <w:rsid w:val="00F828D2"/>
    <w:rsid w:val="00F84DE8"/>
    <w:rsid w:val="00F859AF"/>
    <w:rsid w:val="00F86013"/>
    <w:rsid w:val="00F86185"/>
    <w:rsid w:val="00F86B54"/>
    <w:rsid w:val="00F875CB"/>
    <w:rsid w:val="00F904B8"/>
    <w:rsid w:val="00F919EC"/>
    <w:rsid w:val="00F92872"/>
    <w:rsid w:val="00F9632A"/>
    <w:rsid w:val="00FA0A8D"/>
    <w:rsid w:val="00FA15A9"/>
    <w:rsid w:val="00FA17B3"/>
    <w:rsid w:val="00FA1C68"/>
    <w:rsid w:val="00FA1D1C"/>
    <w:rsid w:val="00FA2DD6"/>
    <w:rsid w:val="00FA32EE"/>
    <w:rsid w:val="00FA33D6"/>
    <w:rsid w:val="00FA3A48"/>
    <w:rsid w:val="00FA4044"/>
    <w:rsid w:val="00FA4452"/>
    <w:rsid w:val="00FA4F1B"/>
    <w:rsid w:val="00FA6E53"/>
    <w:rsid w:val="00FA71EC"/>
    <w:rsid w:val="00FB03FB"/>
    <w:rsid w:val="00FB0A66"/>
    <w:rsid w:val="00FB0BF6"/>
    <w:rsid w:val="00FB14A8"/>
    <w:rsid w:val="00FB20BE"/>
    <w:rsid w:val="00FB27F1"/>
    <w:rsid w:val="00FB3E4E"/>
    <w:rsid w:val="00FB3F6A"/>
    <w:rsid w:val="00FB486D"/>
    <w:rsid w:val="00FB4935"/>
    <w:rsid w:val="00FB498B"/>
    <w:rsid w:val="00FB55A4"/>
    <w:rsid w:val="00FB6F11"/>
    <w:rsid w:val="00FB72F9"/>
    <w:rsid w:val="00FB7E5F"/>
    <w:rsid w:val="00FC1123"/>
    <w:rsid w:val="00FC2686"/>
    <w:rsid w:val="00FC435A"/>
    <w:rsid w:val="00FC5206"/>
    <w:rsid w:val="00FC5653"/>
    <w:rsid w:val="00FC68B4"/>
    <w:rsid w:val="00FD0413"/>
    <w:rsid w:val="00FD07FA"/>
    <w:rsid w:val="00FD2F62"/>
    <w:rsid w:val="00FD364E"/>
    <w:rsid w:val="00FD4353"/>
    <w:rsid w:val="00FD4BF2"/>
    <w:rsid w:val="00FD5DBB"/>
    <w:rsid w:val="00FD6F27"/>
    <w:rsid w:val="00FD75C1"/>
    <w:rsid w:val="00FE2501"/>
    <w:rsid w:val="00FE32DD"/>
    <w:rsid w:val="00FE436B"/>
    <w:rsid w:val="00FE4759"/>
    <w:rsid w:val="00FE5B3E"/>
    <w:rsid w:val="00FE5D89"/>
    <w:rsid w:val="00FE69BC"/>
    <w:rsid w:val="00FF0182"/>
    <w:rsid w:val="00FF080C"/>
    <w:rsid w:val="00FF1E58"/>
    <w:rsid w:val="00FF2F8F"/>
    <w:rsid w:val="00FF3132"/>
    <w:rsid w:val="00FF3279"/>
    <w:rsid w:val="00FF3FF7"/>
    <w:rsid w:val="00FF547A"/>
    <w:rsid w:val="01163927"/>
    <w:rsid w:val="01D80AB5"/>
    <w:rsid w:val="01DD76B2"/>
    <w:rsid w:val="01FB654B"/>
    <w:rsid w:val="027247DA"/>
    <w:rsid w:val="045A400C"/>
    <w:rsid w:val="04912FF1"/>
    <w:rsid w:val="04CE7382"/>
    <w:rsid w:val="05022274"/>
    <w:rsid w:val="05326089"/>
    <w:rsid w:val="0635540F"/>
    <w:rsid w:val="06507D9A"/>
    <w:rsid w:val="06E06FE7"/>
    <w:rsid w:val="06F07798"/>
    <w:rsid w:val="07BB0801"/>
    <w:rsid w:val="07E977D8"/>
    <w:rsid w:val="096D5E58"/>
    <w:rsid w:val="097E3F6B"/>
    <w:rsid w:val="0C486458"/>
    <w:rsid w:val="0DAA0DAA"/>
    <w:rsid w:val="0DE4298E"/>
    <w:rsid w:val="0FF355E4"/>
    <w:rsid w:val="106818B3"/>
    <w:rsid w:val="119569CB"/>
    <w:rsid w:val="12C32E09"/>
    <w:rsid w:val="12D30A06"/>
    <w:rsid w:val="13522A32"/>
    <w:rsid w:val="136C587B"/>
    <w:rsid w:val="14A71A37"/>
    <w:rsid w:val="14AC7246"/>
    <w:rsid w:val="14F45F3E"/>
    <w:rsid w:val="15EE1FF9"/>
    <w:rsid w:val="166A5B68"/>
    <w:rsid w:val="17DF2F52"/>
    <w:rsid w:val="1A007E22"/>
    <w:rsid w:val="1A61165B"/>
    <w:rsid w:val="1A912F86"/>
    <w:rsid w:val="1ABC2FAC"/>
    <w:rsid w:val="1AFF76B9"/>
    <w:rsid w:val="1B8C252E"/>
    <w:rsid w:val="1B9D2D63"/>
    <w:rsid w:val="1CA70821"/>
    <w:rsid w:val="1D46765E"/>
    <w:rsid w:val="1F63408D"/>
    <w:rsid w:val="20234E60"/>
    <w:rsid w:val="20E912A7"/>
    <w:rsid w:val="2131692D"/>
    <w:rsid w:val="21EE1EF1"/>
    <w:rsid w:val="228E21F5"/>
    <w:rsid w:val="229F601F"/>
    <w:rsid w:val="23861B4A"/>
    <w:rsid w:val="24E8005B"/>
    <w:rsid w:val="279832D5"/>
    <w:rsid w:val="29C53533"/>
    <w:rsid w:val="2A143559"/>
    <w:rsid w:val="2AB415E5"/>
    <w:rsid w:val="2AE90FC7"/>
    <w:rsid w:val="2B3503F1"/>
    <w:rsid w:val="2BE84AEF"/>
    <w:rsid w:val="2DC57E64"/>
    <w:rsid w:val="2E616940"/>
    <w:rsid w:val="2F184A75"/>
    <w:rsid w:val="30272B68"/>
    <w:rsid w:val="30DE2B4C"/>
    <w:rsid w:val="31071073"/>
    <w:rsid w:val="32492497"/>
    <w:rsid w:val="32A45B47"/>
    <w:rsid w:val="350358A7"/>
    <w:rsid w:val="35B6731E"/>
    <w:rsid w:val="36E72EAA"/>
    <w:rsid w:val="372F41DA"/>
    <w:rsid w:val="377F4E35"/>
    <w:rsid w:val="39151DF4"/>
    <w:rsid w:val="394B39F3"/>
    <w:rsid w:val="39CC2C38"/>
    <w:rsid w:val="3BBD163D"/>
    <w:rsid w:val="3BD40162"/>
    <w:rsid w:val="3D920CAF"/>
    <w:rsid w:val="3E4C4CA0"/>
    <w:rsid w:val="3F01089D"/>
    <w:rsid w:val="3FED20CE"/>
    <w:rsid w:val="405558D5"/>
    <w:rsid w:val="411B1783"/>
    <w:rsid w:val="4170029D"/>
    <w:rsid w:val="4272105D"/>
    <w:rsid w:val="42A759A7"/>
    <w:rsid w:val="43895548"/>
    <w:rsid w:val="43970158"/>
    <w:rsid w:val="4439504D"/>
    <w:rsid w:val="447857F2"/>
    <w:rsid w:val="44D138AA"/>
    <w:rsid w:val="45F24A42"/>
    <w:rsid w:val="46DE01FD"/>
    <w:rsid w:val="472649FE"/>
    <w:rsid w:val="47A54FDD"/>
    <w:rsid w:val="4CFD1540"/>
    <w:rsid w:val="4FCB70FE"/>
    <w:rsid w:val="50004EC1"/>
    <w:rsid w:val="50E8595E"/>
    <w:rsid w:val="50EA2180"/>
    <w:rsid w:val="517E44B5"/>
    <w:rsid w:val="52367029"/>
    <w:rsid w:val="52A17928"/>
    <w:rsid w:val="53827904"/>
    <w:rsid w:val="555D134F"/>
    <w:rsid w:val="56040903"/>
    <w:rsid w:val="563E7E63"/>
    <w:rsid w:val="56515B8A"/>
    <w:rsid w:val="56BD584E"/>
    <w:rsid w:val="56D01F0E"/>
    <w:rsid w:val="572B56E4"/>
    <w:rsid w:val="57E0757A"/>
    <w:rsid w:val="58285073"/>
    <w:rsid w:val="585D23F7"/>
    <w:rsid w:val="590C33B7"/>
    <w:rsid w:val="59F96AC6"/>
    <w:rsid w:val="5B585898"/>
    <w:rsid w:val="5BD9402C"/>
    <w:rsid w:val="5CE643C3"/>
    <w:rsid w:val="5E3D42E9"/>
    <w:rsid w:val="5ECD7481"/>
    <w:rsid w:val="5F0D0B74"/>
    <w:rsid w:val="5F134D44"/>
    <w:rsid w:val="5F3B08E4"/>
    <w:rsid w:val="5FBB761D"/>
    <w:rsid w:val="60230B8C"/>
    <w:rsid w:val="607F2C56"/>
    <w:rsid w:val="611B0FC9"/>
    <w:rsid w:val="61D95824"/>
    <w:rsid w:val="6297119E"/>
    <w:rsid w:val="62DF501D"/>
    <w:rsid w:val="636F0714"/>
    <w:rsid w:val="63A47F08"/>
    <w:rsid w:val="64556721"/>
    <w:rsid w:val="64920149"/>
    <w:rsid w:val="65ED1AB4"/>
    <w:rsid w:val="661C6615"/>
    <w:rsid w:val="68E57277"/>
    <w:rsid w:val="699A2F3C"/>
    <w:rsid w:val="69D37CE4"/>
    <w:rsid w:val="6B555848"/>
    <w:rsid w:val="6B673A57"/>
    <w:rsid w:val="6C3F0BCE"/>
    <w:rsid w:val="6E9F1D47"/>
    <w:rsid w:val="6EB80153"/>
    <w:rsid w:val="6F5647C4"/>
    <w:rsid w:val="6FA563BB"/>
    <w:rsid w:val="70076BD5"/>
    <w:rsid w:val="70102E1B"/>
    <w:rsid w:val="736D18EF"/>
    <w:rsid w:val="73D71CE4"/>
    <w:rsid w:val="74881B01"/>
    <w:rsid w:val="748D3F79"/>
    <w:rsid w:val="752F3FE0"/>
    <w:rsid w:val="762C293A"/>
    <w:rsid w:val="765516A9"/>
    <w:rsid w:val="76AA33CB"/>
    <w:rsid w:val="77104A51"/>
    <w:rsid w:val="78095107"/>
    <w:rsid w:val="78AE3DA8"/>
    <w:rsid w:val="78ED4486"/>
    <w:rsid w:val="792E5723"/>
    <w:rsid w:val="793F4724"/>
    <w:rsid w:val="79461634"/>
    <w:rsid w:val="7A3D333D"/>
    <w:rsid w:val="7B186FD6"/>
    <w:rsid w:val="7B68731F"/>
    <w:rsid w:val="7BB57B66"/>
    <w:rsid w:val="7BC70A0F"/>
    <w:rsid w:val="7D795600"/>
    <w:rsid w:val="7DF81C91"/>
    <w:rsid w:val="7E4B777B"/>
    <w:rsid w:val="7EBA2175"/>
    <w:rsid w:val="7EF33A62"/>
    <w:rsid w:val="7F1342AE"/>
    <w:rsid w:val="7F5E6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5"/>
    <w:qFormat/>
    <w:uiPriority w:val="0"/>
    <w:pPr>
      <w:keepNext/>
      <w:outlineLvl w:val="0"/>
    </w:pPr>
    <w:rPr>
      <w:rFonts w:ascii="宋体"/>
      <w:sz w:val="28"/>
    </w:rPr>
  </w:style>
  <w:style w:type="paragraph" w:styleId="4">
    <w:name w:val="heading 2"/>
    <w:basedOn w:val="1"/>
    <w:next w:val="1"/>
    <w:link w:val="59"/>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paragraph" w:styleId="6">
    <w:name w:val="heading 4"/>
    <w:basedOn w:val="1"/>
    <w:next w:val="1"/>
    <w:semiHidden/>
    <w:unhideWhenUsed/>
    <w:qFormat/>
    <w:uiPriority w:val="0"/>
    <w:pPr>
      <w:widowControl/>
      <w:spacing w:after="120" w:line="252" w:lineRule="auto"/>
      <w:jc w:val="left"/>
      <w:outlineLvl w:val="3"/>
    </w:pPr>
    <w:rPr>
      <w:rFonts w:asciiTheme="majorHAnsi" w:hAnsiTheme="majorHAnsi" w:eastAsiaTheme="majorEastAsia" w:cstheme="majorBidi"/>
      <w:caps/>
      <w:spacing w:val="10"/>
      <w:kern w:val="0"/>
      <w:szCs w:val="22"/>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List 3"/>
    <w:basedOn w:val="1"/>
    <w:qFormat/>
    <w:uiPriority w:val="0"/>
    <w:pPr>
      <w:ind w:left="100" w:leftChars="400" w:hanging="200" w:hangingChars="200"/>
    </w:pPr>
  </w:style>
  <w:style w:type="paragraph" w:styleId="8">
    <w:name w:val="toc 7"/>
    <w:basedOn w:val="1"/>
    <w:next w:val="1"/>
    <w:qFormat/>
    <w:uiPriority w:val="0"/>
    <w:pPr>
      <w:ind w:left="2520" w:leftChars="1200"/>
    </w:pPr>
    <w:rPr>
      <w:szCs w:val="24"/>
    </w:rPr>
  </w:style>
  <w:style w:type="paragraph" w:styleId="9">
    <w:name w:val="Normal Indent"/>
    <w:basedOn w:val="1"/>
    <w:qFormat/>
    <w:uiPriority w:val="99"/>
    <w:pPr>
      <w:ind w:firstLine="420"/>
    </w:pPr>
  </w:style>
  <w:style w:type="paragraph" w:styleId="10">
    <w:name w:val="caption"/>
    <w:basedOn w:val="1"/>
    <w:next w:val="1"/>
    <w:qFormat/>
    <w:uiPriority w:val="0"/>
    <w:rPr>
      <w:rFonts w:ascii="Arial" w:hAnsi="Arial" w:eastAsia="黑体" w:cs="Arial"/>
      <w:sz w:val="20"/>
    </w:rPr>
  </w:style>
  <w:style w:type="paragraph" w:styleId="11">
    <w:name w:val="Document Map"/>
    <w:basedOn w:val="1"/>
    <w:link w:val="63"/>
    <w:unhideWhenUsed/>
    <w:qFormat/>
    <w:uiPriority w:val="99"/>
    <w:rPr>
      <w:rFonts w:ascii="宋体"/>
      <w:sz w:val="18"/>
      <w:szCs w:val="18"/>
    </w:rPr>
  </w:style>
  <w:style w:type="paragraph" w:styleId="12">
    <w:name w:val="toa heading"/>
    <w:basedOn w:val="1"/>
    <w:next w:val="1"/>
    <w:unhideWhenUsed/>
    <w:qFormat/>
    <w:uiPriority w:val="99"/>
    <w:pPr>
      <w:spacing w:before="120"/>
    </w:pPr>
    <w:rPr>
      <w:rFonts w:ascii="Cambria" w:hAnsi="Cambria" w:cs="Times New Roman"/>
      <w:sz w:val="24"/>
    </w:rPr>
  </w:style>
  <w:style w:type="paragraph" w:styleId="13">
    <w:name w:val="annotation text"/>
    <w:basedOn w:val="1"/>
    <w:semiHidden/>
    <w:unhideWhenUsed/>
    <w:qFormat/>
    <w:uiPriority w:val="99"/>
    <w:pPr>
      <w:jc w:val="left"/>
    </w:pPr>
  </w:style>
  <w:style w:type="paragraph" w:styleId="14">
    <w:name w:val="Body Text Indent"/>
    <w:basedOn w:val="1"/>
    <w:next w:val="9"/>
    <w:qFormat/>
    <w:uiPriority w:val="0"/>
    <w:pPr>
      <w:autoSpaceDE w:val="0"/>
      <w:autoSpaceDN w:val="0"/>
      <w:adjustRightInd w:val="0"/>
      <w:spacing w:line="360" w:lineRule="auto"/>
      <w:ind w:firstLine="480"/>
      <w:jc w:val="left"/>
    </w:pPr>
    <w:rPr>
      <w:rFonts w:ascii="宋体" w:hAnsi="宋体"/>
      <w:kern w:val="0"/>
      <w:sz w:val="24"/>
    </w:rPr>
  </w:style>
  <w:style w:type="paragraph" w:styleId="15">
    <w:name w:val="List 2"/>
    <w:basedOn w:val="1"/>
    <w:qFormat/>
    <w:uiPriority w:val="0"/>
    <w:pPr>
      <w:ind w:left="100" w:leftChars="200" w:hanging="200" w:hangingChars="200"/>
    </w:pPr>
  </w:style>
  <w:style w:type="paragraph" w:styleId="16">
    <w:name w:val="List Continue"/>
    <w:basedOn w:val="1"/>
    <w:qFormat/>
    <w:uiPriority w:val="0"/>
    <w:pPr>
      <w:spacing w:after="120"/>
      <w:ind w:left="420" w:leftChars="200"/>
    </w:pPr>
  </w:style>
  <w:style w:type="paragraph" w:styleId="17">
    <w:name w:val="toc 5"/>
    <w:basedOn w:val="1"/>
    <w:next w:val="1"/>
    <w:qFormat/>
    <w:uiPriority w:val="0"/>
    <w:pPr>
      <w:ind w:left="1680" w:leftChars="800"/>
    </w:pPr>
    <w:rPr>
      <w:szCs w:val="24"/>
    </w:rPr>
  </w:style>
  <w:style w:type="paragraph" w:styleId="18">
    <w:name w:val="toc 3"/>
    <w:basedOn w:val="1"/>
    <w:next w:val="1"/>
    <w:qFormat/>
    <w:uiPriority w:val="39"/>
    <w:pPr>
      <w:tabs>
        <w:tab w:val="right" w:leader="dot" w:pos="9629"/>
      </w:tabs>
      <w:ind w:left="357" w:leftChars="170" w:firstLine="2" w:firstLineChars="1"/>
    </w:pPr>
  </w:style>
  <w:style w:type="paragraph" w:styleId="19">
    <w:name w:val="Plain Text"/>
    <w:basedOn w:val="1"/>
    <w:qFormat/>
    <w:uiPriority w:val="0"/>
    <w:rPr>
      <w:rFonts w:ascii="宋体" w:hAnsi="Courier New"/>
      <w:szCs w:val="22"/>
    </w:rPr>
  </w:style>
  <w:style w:type="paragraph" w:styleId="20">
    <w:name w:val="toc 8"/>
    <w:basedOn w:val="1"/>
    <w:next w:val="1"/>
    <w:qFormat/>
    <w:uiPriority w:val="0"/>
    <w:pPr>
      <w:ind w:left="2940" w:leftChars="1400"/>
    </w:pPr>
    <w:rPr>
      <w:szCs w:val="24"/>
    </w:rPr>
  </w:style>
  <w:style w:type="paragraph" w:styleId="21">
    <w:name w:val="Date"/>
    <w:basedOn w:val="1"/>
    <w:next w:val="1"/>
    <w:link w:val="62"/>
    <w:qFormat/>
    <w:uiPriority w:val="0"/>
    <w:rPr>
      <w:sz w:val="28"/>
    </w:rPr>
  </w:style>
  <w:style w:type="paragraph" w:styleId="22">
    <w:name w:val="Body Text Indent 2"/>
    <w:basedOn w:val="1"/>
    <w:qFormat/>
    <w:uiPriority w:val="0"/>
    <w:pPr>
      <w:spacing w:after="120" w:line="480" w:lineRule="auto"/>
      <w:ind w:left="420" w:leftChars="200"/>
    </w:pPr>
  </w:style>
  <w:style w:type="paragraph" w:styleId="23">
    <w:name w:val="Balloon Text"/>
    <w:basedOn w:val="1"/>
    <w:qFormat/>
    <w:uiPriority w:val="0"/>
    <w:rPr>
      <w:sz w:val="18"/>
      <w:szCs w:val="18"/>
    </w:rPr>
  </w:style>
  <w:style w:type="paragraph" w:styleId="24">
    <w:name w:val="footer"/>
    <w:basedOn w:val="1"/>
    <w:link w:val="60"/>
    <w:qFormat/>
    <w:uiPriority w:val="99"/>
    <w:pPr>
      <w:tabs>
        <w:tab w:val="center" w:pos="4153"/>
        <w:tab w:val="right" w:pos="8306"/>
      </w:tabs>
      <w:snapToGrid w:val="0"/>
      <w:jc w:val="left"/>
    </w:pPr>
    <w:rPr>
      <w:sz w:val="18"/>
    </w:rPr>
  </w:style>
  <w:style w:type="paragraph" w:styleId="25">
    <w:name w:val="header"/>
    <w:basedOn w:val="1"/>
    <w:next w:val="1"/>
    <w:link w:val="6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26">
    <w:name w:val="toc 1"/>
    <w:basedOn w:val="1"/>
    <w:next w:val="1"/>
    <w:qFormat/>
    <w:uiPriority w:val="39"/>
    <w:pPr>
      <w:tabs>
        <w:tab w:val="left" w:pos="840"/>
        <w:tab w:val="right" w:leader="dot" w:pos="9629"/>
      </w:tabs>
    </w:pPr>
    <w:rPr>
      <w:rFonts w:ascii="FangSong_GB2312" w:eastAsia="FangSong_GB2312"/>
    </w:rPr>
  </w:style>
  <w:style w:type="paragraph" w:styleId="27">
    <w:name w:val="toc 4"/>
    <w:basedOn w:val="1"/>
    <w:next w:val="1"/>
    <w:qFormat/>
    <w:uiPriority w:val="0"/>
    <w:pPr>
      <w:ind w:left="1260" w:leftChars="600"/>
    </w:pPr>
    <w:rPr>
      <w:szCs w:val="24"/>
    </w:rPr>
  </w:style>
  <w:style w:type="paragraph" w:styleId="28">
    <w:name w:val="Subtitle"/>
    <w:basedOn w:val="1"/>
    <w:next w:val="1"/>
    <w:link w:val="64"/>
    <w:qFormat/>
    <w:uiPriority w:val="11"/>
    <w:pPr>
      <w:spacing w:before="240" w:after="60" w:line="312" w:lineRule="auto"/>
      <w:jc w:val="center"/>
      <w:outlineLvl w:val="1"/>
    </w:pPr>
    <w:rPr>
      <w:rFonts w:ascii="Cambria" w:hAnsi="Cambria"/>
      <w:b/>
      <w:bCs/>
      <w:kern w:val="28"/>
      <w:sz w:val="32"/>
      <w:szCs w:val="32"/>
    </w:rPr>
  </w:style>
  <w:style w:type="paragraph" w:styleId="29">
    <w:name w:val="List"/>
    <w:basedOn w:val="1"/>
    <w:qFormat/>
    <w:uiPriority w:val="0"/>
    <w:pPr>
      <w:ind w:left="200" w:hanging="200" w:hangingChars="200"/>
    </w:pPr>
  </w:style>
  <w:style w:type="paragraph" w:styleId="30">
    <w:name w:val="toc 6"/>
    <w:basedOn w:val="1"/>
    <w:next w:val="1"/>
    <w:qFormat/>
    <w:uiPriority w:val="0"/>
    <w:pPr>
      <w:ind w:left="2100" w:leftChars="1000"/>
    </w:pPr>
    <w:rPr>
      <w:szCs w:val="24"/>
    </w:rPr>
  </w:style>
  <w:style w:type="paragraph" w:styleId="31">
    <w:name w:val="List 5"/>
    <w:basedOn w:val="1"/>
    <w:qFormat/>
    <w:uiPriority w:val="0"/>
    <w:pPr>
      <w:ind w:left="100" w:leftChars="800" w:hanging="200" w:hangingChars="200"/>
    </w:pPr>
  </w:style>
  <w:style w:type="paragraph" w:styleId="32">
    <w:name w:val="toc 2"/>
    <w:basedOn w:val="1"/>
    <w:next w:val="1"/>
    <w:qFormat/>
    <w:uiPriority w:val="39"/>
    <w:pPr>
      <w:tabs>
        <w:tab w:val="right" w:leader="dot" w:pos="9629"/>
      </w:tabs>
    </w:pPr>
  </w:style>
  <w:style w:type="paragraph" w:styleId="33">
    <w:name w:val="toc 9"/>
    <w:basedOn w:val="1"/>
    <w:next w:val="1"/>
    <w:qFormat/>
    <w:uiPriority w:val="0"/>
    <w:pPr>
      <w:ind w:left="3360" w:leftChars="1600"/>
    </w:pPr>
    <w:rPr>
      <w:szCs w:val="24"/>
    </w:rPr>
  </w:style>
  <w:style w:type="paragraph" w:styleId="34">
    <w:name w:val="List 4"/>
    <w:basedOn w:val="1"/>
    <w:qFormat/>
    <w:uiPriority w:val="0"/>
    <w:pPr>
      <w:ind w:left="100" w:leftChars="600" w:hanging="200" w:hangingChars="200"/>
    </w:pPr>
  </w:style>
  <w:style w:type="paragraph" w:styleId="35">
    <w:name w:val="List Continue 2"/>
    <w:basedOn w:val="1"/>
    <w:qFormat/>
    <w:uiPriority w:val="0"/>
    <w:pPr>
      <w:spacing w:after="120"/>
      <w:ind w:left="840" w:leftChars="400"/>
    </w:pPr>
  </w:style>
  <w:style w:type="paragraph" w:styleId="3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7">
    <w:name w:val="List Continue 3"/>
    <w:basedOn w:val="1"/>
    <w:qFormat/>
    <w:uiPriority w:val="0"/>
    <w:pPr>
      <w:spacing w:after="120"/>
      <w:ind w:left="1260" w:leftChars="600"/>
    </w:pPr>
  </w:style>
  <w:style w:type="paragraph" w:styleId="38">
    <w:name w:val="Body Text First Indent"/>
    <w:basedOn w:val="2"/>
    <w:qFormat/>
    <w:uiPriority w:val="0"/>
    <w:pPr>
      <w:ind w:firstLine="420" w:firstLineChars="100"/>
    </w:pPr>
  </w:style>
  <w:style w:type="paragraph" w:styleId="39">
    <w:name w:val="Body Text First Indent 2"/>
    <w:basedOn w:val="14"/>
    <w:qFormat/>
    <w:uiPriority w:val="0"/>
    <w:pPr>
      <w:autoSpaceDE/>
      <w:autoSpaceDN/>
      <w:adjustRightInd/>
      <w:spacing w:after="120" w:line="240" w:lineRule="auto"/>
      <w:ind w:left="420" w:leftChars="200" w:firstLine="420" w:firstLineChars="200"/>
      <w:jc w:val="both"/>
    </w:pPr>
    <w:rPr>
      <w:rFonts w:ascii="Times New Roman" w:hAnsi="Times New Roman"/>
      <w:kern w:val="2"/>
      <w:sz w:val="21"/>
    </w:rPr>
  </w:style>
  <w:style w:type="table" w:styleId="41">
    <w:name w:val="Table Grid"/>
    <w:basedOn w:val="4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qFormat/>
    <w:uiPriority w:val="22"/>
    <w:rPr>
      <w:b/>
      <w:bCs/>
    </w:rPr>
  </w:style>
  <w:style w:type="character" w:styleId="44">
    <w:name w:val="page number"/>
    <w:basedOn w:val="42"/>
    <w:qFormat/>
    <w:uiPriority w:val="0"/>
  </w:style>
  <w:style w:type="character" w:styleId="45">
    <w:name w:val="FollowedHyperlink"/>
    <w:basedOn w:val="42"/>
    <w:semiHidden/>
    <w:unhideWhenUsed/>
    <w:qFormat/>
    <w:uiPriority w:val="99"/>
    <w:rPr>
      <w:color w:val="800080"/>
      <w:u w:val="none"/>
    </w:rPr>
  </w:style>
  <w:style w:type="character" w:styleId="46">
    <w:name w:val="Emphasis"/>
    <w:basedOn w:val="42"/>
    <w:qFormat/>
    <w:uiPriority w:val="20"/>
    <w:rPr>
      <w:b/>
      <w:bCs/>
    </w:rPr>
  </w:style>
  <w:style w:type="character" w:styleId="47">
    <w:name w:val="HTML Definition"/>
    <w:basedOn w:val="42"/>
    <w:semiHidden/>
    <w:unhideWhenUsed/>
    <w:qFormat/>
    <w:uiPriority w:val="99"/>
  </w:style>
  <w:style w:type="character" w:styleId="48">
    <w:name w:val="HTML Typewriter"/>
    <w:basedOn w:val="42"/>
    <w:semiHidden/>
    <w:unhideWhenUsed/>
    <w:qFormat/>
    <w:uiPriority w:val="99"/>
    <w:rPr>
      <w:rFonts w:hint="default" w:ascii="monospace" w:hAnsi="monospace" w:eastAsia="monospace" w:cs="monospace"/>
      <w:sz w:val="20"/>
    </w:rPr>
  </w:style>
  <w:style w:type="character" w:styleId="49">
    <w:name w:val="HTML Acronym"/>
    <w:basedOn w:val="42"/>
    <w:semiHidden/>
    <w:unhideWhenUsed/>
    <w:qFormat/>
    <w:uiPriority w:val="99"/>
    <w:rPr>
      <w:bdr w:val="none" w:color="auto" w:sz="0" w:space="0"/>
    </w:rPr>
  </w:style>
  <w:style w:type="character" w:styleId="50">
    <w:name w:val="HTML Variable"/>
    <w:basedOn w:val="42"/>
    <w:semiHidden/>
    <w:unhideWhenUsed/>
    <w:qFormat/>
    <w:uiPriority w:val="99"/>
  </w:style>
  <w:style w:type="character" w:styleId="51">
    <w:name w:val="Hyperlink"/>
    <w:basedOn w:val="42"/>
    <w:qFormat/>
    <w:uiPriority w:val="99"/>
    <w:rPr>
      <w:color w:val="0000FF"/>
      <w:u w:val="single"/>
    </w:rPr>
  </w:style>
  <w:style w:type="character" w:styleId="52">
    <w:name w:val="HTML Code"/>
    <w:basedOn w:val="42"/>
    <w:semiHidden/>
    <w:unhideWhenUsed/>
    <w:qFormat/>
    <w:uiPriority w:val="99"/>
    <w:rPr>
      <w:rFonts w:hint="default" w:ascii="monospace" w:hAnsi="monospace" w:eastAsia="monospace" w:cs="monospace"/>
      <w:sz w:val="20"/>
    </w:rPr>
  </w:style>
  <w:style w:type="character" w:styleId="53">
    <w:name w:val="HTML Cite"/>
    <w:basedOn w:val="42"/>
    <w:semiHidden/>
    <w:unhideWhenUsed/>
    <w:qFormat/>
    <w:uiPriority w:val="99"/>
  </w:style>
  <w:style w:type="character" w:styleId="54">
    <w:name w:val="HTML Keyboard"/>
    <w:basedOn w:val="42"/>
    <w:semiHidden/>
    <w:unhideWhenUsed/>
    <w:qFormat/>
    <w:uiPriority w:val="99"/>
    <w:rPr>
      <w:rFonts w:ascii="monospace" w:hAnsi="monospace" w:eastAsia="monospace" w:cs="monospace"/>
      <w:sz w:val="20"/>
    </w:rPr>
  </w:style>
  <w:style w:type="character" w:styleId="55">
    <w:name w:val="HTML Sample"/>
    <w:basedOn w:val="42"/>
    <w:semiHidden/>
    <w:unhideWhenUsed/>
    <w:qFormat/>
    <w:uiPriority w:val="99"/>
    <w:rPr>
      <w:rFonts w:hint="default" w:ascii="monospace" w:hAnsi="monospace" w:eastAsia="monospace" w:cs="monospace"/>
      <w:sz w:val="0"/>
      <w:szCs w:val="0"/>
      <w:bdr w:val="single" w:color="auto" w:sz="2" w:space="0"/>
    </w:rPr>
  </w:style>
  <w:style w:type="paragraph" w:customStyle="1" w:styleId="56">
    <w:name w:val="正文缩进1"/>
    <w:basedOn w:val="1"/>
    <w:qFormat/>
    <w:uiPriority w:val="0"/>
    <w:pPr>
      <w:ind w:firstLine="200" w:firstLineChars="200"/>
    </w:pPr>
  </w:style>
  <w:style w:type="paragraph" w:customStyle="1" w:styleId="5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8">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character" w:customStyle="1" w:styleId="59">
    <w:name w:val="标题 2 Char"/>
    <w:link w:val="4"/>
    <w:qFormat/>
    <w:uiPriority w:val="0"/>
    <w:rPr>
      <w:rFonts w:ascii="Arial" w:hAnsi="Arial" w:eastAsia="黑体"/>
      <w:b/>
      <w:bCs/>
      <w:kern w:val="2"/>
      <w:sz w:val="32"/>
      <w:szCs w:val="32"/>
      <w:lang w:val="en-US" w:eastAsia="zh-CN" w:bidi="ar-SA"/>
    </w:rPr>
  </w:style>
  <w:style w:type="character" w:customStyle="1" w:styleId="60">
    <w:name w:val="页脚 Char"/>
    <w:link w:val="24"/>
    <w:qFormat/>
    <w:uiPriority w:val="99"/>
    <w:rPr>
      <w:kern w:val="2"/>
      <w:sz w:val="18"/>
    </w:rPr>
  </w:style>
  <w:style w:type="character" w:customStyle="1" w:styleId="61">
    <w:name w:val="页眉 Char"/>
    <w:link w:val="25"/>
    <w:qFormat/>
    <w:uiPriority w:val="0"/>
    <w:rPr>
      <w:kern w:val="2"/>
      <w:sz w:val="18"/>
      <w:szCs w:val="18"/>
    </w:rPr>
  </w:style>
  <w:style w:type="character" w:customStyle="1" w:styleId="62">
    <w:name w:val="日期 Char"/>
    <w:link w:val="21"/>
    <w:qFormat/>
    <w:uiPriority w:val="0"/>
    <w:rPr>
      <w:kern w:val="2"/>
      <w:sz w:val="28"/>
    </w:rPr>
  </w:style>
  <w:style w:type="character" w:customStyle="1" w:styleId="63">
    <w:name w:val="文档结构图 Char"/>
    <w:link w:val="11"/>
    <w:semiHidden/>
    <w:qFormat/>
    <w:uiPriority w:val="99"/>
    <w:rPr>
      <w:rFonts w:ascii="宋体"/>
      <w:kern w:val="2"/>
      <w:sz w:val="18"/>
      <w:szCs w:val="18"/>
    </w:rPr>
  </w:style>
  <w:style w:type="character" w:customStyle="1" w:styleId="64">
    <w:name w:val="副标题 Char"/>
    <w:link w:val="28"/>
    <w:qFormat/>
    <w:uiPriority w:val="11"/>
    <w:rPr>
      <w:rFonts w:ascii="Cambria" w:hAnsi="Cambria" w:cs="Times New Roman"/>
      <w:b/>
      <w:bCs/>
      <w:kern w:val="28"/>
      <w:sz w:val="32"/>
      <w:szCs w:val="32"/>
    </w:rPr>
  </w:style>
  <w:style w:type="character" w:customStyle="1" w:styleId="65">
    <w:name w:val="标题 1 Char"/>
    <w:link w:val="3"/>
    <w:qFormat/>
    <w:uiPriority w:val="0"/>
    <w:rPr>
      <w:rFonts w:ascii="宋体"/>
      <w:kern w:val="2"/>
      <w:sz w:val="28"/>
    </w:rPr>
  </w:style>
  <w:style w:type="paragraph" w:customStyle="1" w:styleId="66">
    <w:name w:val="F00"/>
    <w:basedOn w:val="1"/>
    <w:qFormat/>
    <w:uiPriority w:val="0"/>
    <w:pPr>
      <w:tabs>
        <w:tab w:val="left" w:pos="2235"/>
      </w:tabs>
      <w:spacing w:line="500" w:lineRule="exact"/>
      <w:ind w:firstLine="353" w:firstLineChars="147"/>
    </w:pPr>
    <w:rPr>
      <w:rFonts w:ascii="宋体" w:hAnsi="宋体"/>
      <w:sz w:val="24"/>
      <w:szCs w:val="24"/>
    </w:rPr>
  </w:style>
  <w:style w:type="paragraph" w:customStyle="1" w:styleId="67">
    <w:name w:val="Char"/>
    <w:basedOn w:val="1"/>
    <w:qFormat/>
    <w:uiPriority w:val="0"/>
    <w:rPr>
      <w:rFonts w:ascii="FangSong_GB2312" w:eastAsia="FangSong_GB2312"/>
      <w:b/>
      <w:sz w:val="32"/>
      <w:szCs w:val="32"/>
    </w:rPr>
  </w:style>
  <w:style w:type="paragraph" w:styleId="68">
    <w:name w:val="List Paragraph"/>
    <w:basedOn w:val="1"/>
    <w:qFormat/>
    <w:uiPriority w:val="34"/>
    <w:pPr>
      <w:ind w:firstLine="420" w:firstLineChars="200"/>
    </w:pPr>
    <w:rPr>
      <w:szCs w:val="24"/>
    </w:rPr>
  </w:style>
  <w:style w:type="paragraph" w:customStyle="1" w:styleId="69">
    <w:name w:val="Char1"/>
    <w:basedOn w:val="1"/>
    <w:qFormat/>
    <w:uiPriority w:val="0"/>
    <w:pPr>
      <w:widowControl/>
      <w:spacing w:after="160" w:line="240" w:lineRule="exact"/>
      <w:jc w:val="left"/>
    </w:pPr>
  </w:style>
  <w:style w:type="paragraph" w:customStyle="1" w:styleId="70">
    <w:name w:val="表格内容"/>
    <w:basedOn w:val="1"/>
    <w:qFormat/>
    <w:uiPriority w:val="0"/>
    <w:pPr>
      <w:tabs>
        <w:tab w:val="left" w:pos="0"/>
      </w:tabs>
      <w:jc w:val="center"/>
    </w:pPr>
    <w:rPr>
      <w:rFonts w:ascii="宋体" w:hAnsi="宋体"/>
      <w:sz w:val="24"/>
      <w:szCs w:val="24"/>
    </w:rPr>
  </w:style>
  <w:style w:type="paragraph" w:customStyle="1" w:styleId="7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2">
    <w:name w:val="case3"/>
    <w:basedOn w:val="1"/>
    <w:qFormat/>
    <w:uiPriority w:val="0"/>
    <w:pPr>
      <w:widowControl/>
      <w:spacing w:before="100" w:beforeAutospacing="1" w:after="100" w:afterAutospacing="1" w:line="390" w:lineRule="atLeast"/>
      <w:jc w:val="left"/>
    </w:pPr>
    <w:rPr>
      <w:color w:val="000000"/>
      <w:kern w:val="0"/>
      <w:szCs w:val="21"/>
    </w:rPr>
  </w:style>
  <w:style w:type="table" w:customStyle="1" w:styleId="73">
    <w:name w:val="网格型1"/>
    <w:basedOn w:val="4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4">
    <w:name w:val="Heading #2|1"/>
    <w:basedOn w:val="1"/>
    <w:qFormat/>
    <w:uiPriority w:val="0"/>
    <w:pPr>
      <w:widowControl w:val="0"/>
      <w:shd w:val="clear" w:color="auto" w:fill="auto"/>
      <w:spacing w:after="580" w:line="634"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76">
    <w:name w:val="Body text|2"/>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paragraph" w:customStyle="1" w:styleId="77">
    <w:name w:val="Table Paragraph"/>
    <w:basedOn w:val="1"/>
    <w:qFormat/>
    <w:uiPriority w:val="1"/>
    <w:pPr>
      <w:autoSpaceDE w:val="0"/>
      <w:autoSpaceDN w:val="0"/>
      <w:jc w:val="left"/>
    </w:pPr>
    <w:rPr>
      <w:rFonts w:ascii="Noto Sans CJK JP Regular" w:hAnsi="Noto Sans CJK JP Regular" w:eastAsia="Noto Sans CJK JP Regular" w:cs="Noto Sans CJK JP Regular"/>
      <w:kern w:val="0"/>
      <w:sz w:val="22"/>
      <w:szCs w:val="22"/>
      <w:lang w:val="zh-CN" w:bidi="zh-CN"/>
    </w:rPr>
  </w:style>
  <w:style w:type="paragraph" w:customStyle="1" w:styleId="78">
    <w:name w:val="Table Text"/>
    <w:basedOn w:val="1"/>
    <w:semiHidden/>
    <w:qFormat/>
    <w:uiPriority w:val="0"/>
    <w:rPr>
      <w:rFonts w:ascii="宋体" w:hAnsi="宋体" w:cs="宋体"/>
      <w:sz w:val="19"/>
      <w:szCs w:val="19"/>
      <w:lang w:eastAsia="en-US"/>
    </w:rPr>
  </w:style>
  <w:style w:type="paragraph" w:customStyle="1" w:styleId="79">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table" w:customStyle="1" w:styleId="80">
    <w:name w:val="Table Normal"/>
    <w:semiHidden/>
    <w:unhideWhenUsed/>
    <w:qFormat/>
    <w:uiPriority w:val="0"/>
    <w:rPr>
      <w:rFonts w:ascii="Arial" w:hAnsi="Arial" w:cs="Arial"/>
    </w:rPr>
    <w:tblPr>
      <w:tblCellMar>
        <w:top w:w="0" w:type="dxa"/>
        <w:left w:w="0" w:type="dxa"/>
        <w:bottom w:w="0" w:type="dxa"/>
        <w:right w:w="0" w:type="dxa"/>
      </w:tblCellMar>
    </w:tblPr>
  </w:style>
  <w:style w:type="paragraph" w:customStyle="1" w:styleId="81">
    <w:name w:val="列出段落1"/>
    <w:basedOn w:val="1"/>
    <w:unhideWhenUsed/>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58</Pages>
  <Words>24572</Words>
  <Characters>26067</Characters>
  <Lines>70</Lines>
  <Paragraphs>63</Paragraphs>
  <TotalTime>0</TotalTime>
  <ScaleCrop>false</ScaleCrop>
  <LinksUpToDate>false</LinksUpToDate>
  <CharactersWithSpaces>27319</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2019-04-04T03:39:00Z</dcterms:created>
  <dc:creator>hxw</dc:creator>
  <cp:lastModifiedBy>任沛菘</cp:lastModifiedBy>
  <cp:lastPrinted>2020-05-19T08:50:00Z</cp:lastPrinted>
  <dcterms:modified xsi:type="dcterms:W3CDTF">2024-06-14T07:06:15Z</dcterms:modified>
  <dc:title>政府采购招标文件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E0DE85AD84B44E4BBE86226A7850D7DB</vt:lpwstr>
  </property>
</Properties>
</file>