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sz w:val="80"/>
          <w:szCs w:val="80"/>
        </w:rPr>
      </w:pPr>
    </w:p>
    <w:p>
      <w:pPr>
        <w:ind w:firstLine="539"/>
        <w:jc w:val="center"/>
        <w:rPr>
          <w:rFonts w:ascii="宋体" w:hAnsi="宋体" w:cs="宋体"/>
          <w:sz w:val="80"/>
          <w:szCs w:val="80"/>
        </w:rPr>
      </w:pPr>
    </w:p>
    <w:p>
      <w:pPr>
        <w:ind w:firstLine="539"/>
        <w:jc w:val="center"/>
        <w:rPr>
          <w:rFonts w:ascii="宋体" w:hAnsi="宋体" w:cs="宋体"/>
          <w:sz w:val="80"/>
          <w:szCs w:val="80"/>
        </w:rPr>
      </w:pPr>
      <w:r>
        <w:rPr>
          <w:rFonts w:hint="eastAsia" w:ascii="宋体" w:hAnsi="宋体" w:cs="宋体"/>
          <w:sz w:val="80"/>
          <w:szCs w:val="80"/>
        </w:rPr>
        <w:t>政府采购</w:t>
      </w:r>
    </w:p>
    <w:p>
      <w:pPr>
        <w:ind w:firstLine="539"/>
        <w:jc w:val="center"/>
        <w:rPr>
          <w:rFonts w:ascii="宋体" w:hAnsi="宋体" w:cs="宋体"/>
          <w:sz w:val="80"/>
          <w:szCs w:val="80"/>
        </w:rPr>
      </w:pPr>
      <w:r>
        <w:rPr>
          <w:rFonts w:hint="eastAsia" w:ascii="宋体" w:hAnsi="宋体" w:cs="宋体"/>
          <w:sz w:val="80"/>
          <w:szCs w:val="80"/>
        </w:rPr>
        <w:t>竞争性谈判文件</w:t>
      </w:r>
    </w:p>
    <w:p>
      <w:pPr>
        <w:ind w:firstLine="3520" w:firstLineChars="1100"/>
        <w:rPr>
          <w:rFonts w:ascii="宋体" w:hAnsi="宋体" w:cs="宋体"/>
          <w:sz w:val="32"/>
          <w:szCs w:val="32"/>
        </w:rPr>
      </w:pPr>
    </w:p>
    <w:p>
      <w:pPr>
        <w:ind w:firstLine="3520" w:firstLineChars="1100"/>
        <w:rPr>
          <w:rFonts w:ascii="宋体" w:hAnsi="宋体" w:cs="宋体"/>
          <w:sz w:val="32"/>
          <w:szCs w:val="32"/>
        </w:rPr>
      </w:pPr>
    </w:p>
    <w:p>
      <w:pPr>
        <w:spacing w:line="480" w:lineRule="auto"/>
        <w:jc w:val="center"/>
        <w:rPr>
          <w:rFonts w:ascii="宋体" w:hAnsi="宋体" w:cs="宋体"/>
          <w:bCs/>
          <w:sz w:val="48"/>
          <w:szCs w:val="48"/>
        </w:rPr>
      </w:pPr>
      <w:r>
        <w:rPr>
          <w:rFonts w:hint="eastAsia" w:ascii="宋体" w:hAnsi="宋体" w:cs="宋体"/>
          <w:bCs/>
          <w:sz w:val="48"/>
          <w:szCs w:val="48"/>
        </w:rPr>
        <w:t>(货物类)</w:t>
      </w:r>
    </w:p>
    <w:p>
      <w:pPr>
        <w:ind w:firstLine="1920" w:firstLineChars="400"/>
        <w:rPr>
          <w:rFonts w:ascii="宋体" w:hAnsi="宋体" w:cs="宋体"/>
          <w:sz w:val="48"/>
          <w:szCs w:val="48"/>
        </w:rPr>
      </w:pPr>
    </w:p>
    <w:p>
      <w:pPr>
        <w:rPr>
          <w:rFonts w:ascii="宋体" w:hAnsi="宋体" w:cs="宋体"/>
          <w:sz w:val="48"/>
          <w:szCs w:val="48"/>
        </w:rPr>
      </w:pPr>
    </w:p>
    <w:p>
      <w:pPr>
        <w:ind w:left="2883" w:leftChars="608" w:hanging="1606" w:hangingChars="500"/>
        <w:rPr>
          <w:rFonts w:hint="eastAsia" w:ascii="宋体" w:hAnsi="宋体" w:eastAsia="宋体" w:cs="宋体"/>
          <w:b/>
          <w:bCs/>
          <w:sz w:val="32"/>
          <w:lang w:eastAsia="zh-CN"/>
        </w:rPr>
      </w:pPr>
      <w:r>
        <w:rPr>
          <w:rFonts w:hint="eastAsia" w:ascii="宋体" w:hAnsi="宋体" w:cs="宋体"/>
          <w:b/>
          <w:bCs/>
          <w:sz w:val="32"/>
        </w:rPr>
        <w:t>项目名称：</w:t>
      </w:r>
      <w:r>
        <w:rPr>
          <w:rFonts w:hint="eastAsia" w:ascii="宋体" w:hAnsi="宋体" w:cs="宋体"/>
          <w:b/>
          <w:bCs/>
          <w:sz w:val="32"/>
          <w:lang w:eastAsia="zh-CN"/>
        </w:rPr>
        <w:t>江西旅游商贸职业学院旅游学院多功能考试中心设备采购项目</w:t>
      </w:r>
    </w:p>
    <w:p>
      <w:pPr>
        <w:ind w:firstLine="1285" w:firstLineChars="400"/>
        <w:rPr>
          <w:rFonts w:hint="default" w:ascii="宋体" w:hAnsi="宋体" w:eastAsia="宋体" w:cs="宋体"/>
          <w:b/>
          <w:bCs/>
          <w:sz w:val="32"/>
          <w:lang w:val="en-US" w:eastAsia="zh-CN"/>
        </w:rPr>
      </w:pPr>
      <w:r>
        <w:rPr>
          <w:rFonts w:hint="eastAsia" w:ascii="宋体" w:hAnsi="宋体" w:cs="宋体"/>
          <w:b/>
          <w:bCs/>
          <w:sz w:val="32"/>
        </w:rPr>
        <w:t>项目编号：JXTC2024200220</w:t>
      </w:r>
      <w:r>
        <w:rPr>
          <w:rFonts w:hint="eastAsia" w:ascii="宋体" w:hAnsi="宋体" w:cs="宋体"/>
          <w:b/>
          <w:bCs/>
          <w:sz w:val="32"/>
          <w:lang w:val="en-US" w:eastAsia="zh-CN"/>
        </w:rPr>
        <w:t>C1</w:t>
      </w:r>
      <w:r>
        <w:rPr>
          <w:rFonts w:hint="eastAsia" w:ascii="宋体" w:hAnsi="宋体" w:cs="宋体"/>
          <w:b/>
          <w:bCs/>
          <w:sz w:val="32"/>
          <w:lang w:val="en-US" w:eastAsia="zh-CN"/>
        </w:rPr>
        <w:br w:type="textWrapping"/>
      </w:r>
    </w:p>
    <w:p>
      <w:pPr>
        <w:spacing w:line="480" w:lineRule="auto"/>
        <w:rPr>
          <w:rFonts w:ascii="宋体" w:hAnsi="宋体" w:cs="宋体"/>
          <w:sz w:val="48"/>
        </w:rPr>
      </w:pPr>
    </w:p>
    <w:p>
      <w:pPr>
        <w:spacing w:line="480" w:lineRule="auto"/>
        <w:jc w:val="center"/>
        <w:rPr>
          <w:rFonts w:ascii="宋体" w:hAnsi="宋体" w:cs="宋体"/>
          <w:sz w:val="48"/>
        </w:rPr>
      </w:pPr>
    </w:p>
    <w:p>
      <w:pPr>
        <w:spacing w:line="480" w:lineRule="auto"/>
        <w:jc w:val="center"/>
        <w:rPr>
          <w:rFonts w:ascii="宋体" w:hAnsi="宋体" w:cs="宋体"/>
          <w:b/>
          <w:sz w:val="36"/>
        </w:rPr>
      </w:pPr>
      <w:r>
        <w:rPr>
          <w:rFonts w:hint="eastAsia" w:ascii="宋体" w:hAnsi="宋体" w:cs="宋体"/>
          <w:b/>
          <w:sz w:val="36"/>
        </w:rPr>
        <w:t>江西省机电设备招标有限公司</w:t>
      </w:r>
    </w:p>
    <w:p>
      <w:pPr>
        <w:spacing w:line="480" w:lineRule="auto"/>
        <w:jc w:val="center"/>
        <w:rPr>
          <w:rFonts w:ascii="宋体" w:hAnsi="宋体" w:cs="宋体"/>
          <w:b/>
          <w:sz w:val="36"/>
        </w:rPr>
      </w:pPr>
      <w:r>
        <w:rPr>
          <w:rFonts w:hint="eastAsia" w:ascii="宋体" w:hAnsi="宋体" w:cs="宋体"/>
          <w:b/>
          <w:sz w:val="36"/>
        </w:rPr>
        <w:t xml:space="preserve">中国 </w:t>
      </w:r>
      <w:r>
        <w:rPr>
          <w:rFonts w:hint="eastAsia" w:ascii="宋体" w:hAnsi="宋体" w:cs="宋体"/>
          <w:b/>
          <w:sz w:val="24"/>
        </w:rPr>
        <w:sym w:font="Symbol" w:char="F0B7"/>
      </w:r>
      <w:r>
        <w:rPr>
          <w:rFonts w:hint="eastAsia" w:ascii="宋体" w:hAnsi="宋体" w:cs="宋体"/>
          <w:b/>
          <w:sz w:val="36"/>
        </w:rPr>
        <w:t xml:space="preserve"> 南昌</w:t>
      </w:r>
      <w:r>
        <w:rPr>
          <w:rFonts w:hint="eastAsia" w:ascii="宋体" w:hAnsi="宋体" w:cs="宋体"/>
          <w:b/>
          <w:sz w:val="36"/>
        </w:rPr>
        <w:br w:type="page"/>
      </w:r>
    </w:p>
    <w:p>
      <w:pPr>
        <w:adjustRightInd w:val="0"/>
        <w:snapToGrid w:val="0"/>
        <w:spacing w:line="560" w:lineRule="exact"/>
        <w:ind w:left="-2" w:firstLine="538"/>
        <w:jc w:val="center"/>
        <w:rPr>
          <w:rFonts w:ascii="宋体" w:hAnsi="宋体" w:cs="宋体"/>
          <w:bCs/>
          <w:sz w:val="52"/>
        </w:rPr>
      </w:pPr>
      <w:r>
        <w:rPr>
          <w:rFonts w:hint="eastAsia" w:ascii="宋体" w:hAnsi="宋体" w:cs="宋体"/>
          <w:bCs/>
          <w:sz w:val="52"/>
        </w:rPr>
        <w:t>目   录</w:t>
      </w:r>
    </w:p>
    <w:p>
      <w:pPr>
        <w:pStyle w:val="15"/>
        <w:ind w:firstLine="420"/>
        <w:rPr>
          <w:rFonts w:ascii="宋体" w:hAnsi="宋体" w:cs="宋体"/>
          <w:szCs w:val="22"/>
        </w:rPr>
      </w:pPr>
      <w:r>
        <w:rPr>
          <w:rStyle w:val="31"/>
          <w:rFonts w:hint="eastAsia" w:ascii="宋体" w:hAnsi="宋体" w:cs="宋体"/>
          <w:b w:val="0"/>
          <w:color w:val="auto"/>
          <w:shd w:val="pct10" w:color="auto" w:fill="FFFFFF"/>
        </w:rPr>
        <w:fldChar w:fldCharType="begin"/>
      </w:r>
      <w:r>
        <w:rPr>
          <w:rStyle w:val="31"/>
          <w:rFonts w:hint="eastAsia" w:ascii="宋体" w:hAnsi="宋体" w:cs="宋体"/>
          <w:b w:val="0"/>
          <w:color w:val="auto"/>
          <w:shd w:val="pct10" w:color="auto" w:fill="FFFFFF"/>
        </w:rPr>
        <w:instrText xml:space="preserve"> TOC \o "1-3" \h \z \u </w:instrText>
      </w:r>
      <w:r>
        <w:rPr>
          <w:rStyle w:val="31"/>
          <w:rFonts w:hint="eastAsia" w:ascii="宋体" w:hAnsi="宋体" w:cs="宋体"/>
          <w:b w:val="0"/>
          <w:color w:val="auto"/>
          <w:shd w:val="pct10" w:color="auto" w:fill="FFFFFF"/>
        </w:rPr>
        <w:fldChar w:fldCharType="separate"/>
      </w:r>
      <w:r>
        <w:fldChar w:fldCharType="begin"/>
      </w:r>
      <w:r>
        <w:instrText xml:space="preserve"> HYPERLINK \l "_Toc501638120" </w:instrText>
      </w:r>
      <w:r>
        <w:fldChar w:fldCharType="separate"/>
      </w:r>
      <w:r>
        <w:rPr>
          <w:rStyle w:val="31"/>
          <w:rFonts w:hint="eastAsia" w:ascii="宋体" w:hAnsi="宋体" w:cs="宋体"/>
          <w:bCs/>
          <w:color w:val="auto"/>
        </w:rPr>
        <w:t>第一章　谈判邀请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_Toc501638120 \h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pPr>
        <w:pStyle w:val="15"/>
        <w:rPr>
          <w:rFonts w:ascii="宋体" w:hAnsi="宋体" w:cs="宋体"/>
          <w:szCs w:val="22"/>
        </w:rPr>
      </w:pPr>
      <w:r>
        <w:fldChar w:fldCharType="begin"/>
      </w:r>
      <w:r>
        <w:instrText xml:space="preserve"> HYPERLINK \l "_Toc501638121" </w:instrText>
      </w:r>
      <w:r>
        <w:fldChar w:fldCharType="separate"/>
      </w:r>
      <w:r>
        <w:rPr>
          <w:rStyle w:val="31"/>
          <w:rFonts w:hint="eastAsia" w:ascii="宋体" w:hAnsi="宋体" w:cs="宋体"/>
          <w:bCs/>
          <w:color w:val="auto"/>
        </w:rPr>
        <w:t>第二章  供应商须知</w:t>
      </w:r>
      <w:r>
        <w:rPr>
          <w:rFonts w:hint="eastAsia" w:ascii="宋体" w:hAnsi="宋体" w:cs="宋体"/>
          <w:szCs w:val="22"/>
        </w:rPr>
        <w:tab/>
      </w:r>
      <w:r>
        <w:rPr>
          <w:rFonts w:hint="eastAsia" w:ascii="宋体" w:hAnsi="宋体" w:cs="宋体"/>
        </w:rPr>
        <w:fldChar w:fldCharType="begin"/>
      </w:r>
      <w:r>
        <w:rPr>
          <w:rFonts w:hint="eastAsia" w:ascii="宋体" w:hAnsi="宋体" w:cs="宋体"/>
        </w:rPr>
        <w:instrText xml:space="preserve"> PAGEREF _Toc501638121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"_Toc501638122" </w:instrText>
      </w:r>
      <w:r>
        <w:fldChar w:fldCharType="separate"/>
      </w:r>
      <w:r>
        <w:rPr>
          <w:rStyle w:val="31"/>
          <w:rFonts w:hint="eastAsia" w:ascii="宋体" w:hAnsi="宋体" w:cs="宋体"/>
          <w:color w:val="auto"/>
        </w:rPr>
        <w:t>一、</w:t>
      </w:r>
      <w:r>
        <w:rPr>
          <w:rFonts w:hint="eastAsia" w:ascii="宋体" w:hAnsi="宋体" w:cs="宋体"/>
          <w:szCs w:val="22"/>
        </w:rPr>
        <w:tab/>
      </w:r>
      <w:r>
        <w:rPr>
          <w:rStyle w:val="31"/>
          <w:rFonts w:hint="eastAsia" w:ascii="宋体" w:hAnsi="宋体" w:cs="宋体"/>
          <w:color w:val="auto"/>
        </w:rPr>
        <w:t>供应商须知前附表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_Toc501638122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"_Toc501638123" </w:instrText>
      </w:r>
      <w:r>
        <w:fldChar w:fldCharType="separate"/>
      </w:r>
      <w:r>
        <w:rPr>
          <w:rStyle w:val="31"/>
          <w:rFonts w:hint="eastAsia" w:ascii="宋体" w:hAnsi="宋体" w:cs="宋体"/>
          <w:color w:val="auto"/>
        </w:rPr>
        <w:t>二、说明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_Toc501638123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"_Toc501638124" </w:instrText>
      </w:r>
      <w:r>
        <w:fldChar w:fldCharType="separate"/>
      </w:r>
      <w:r>
        <w:rPr>
          <w:rStyle w:val="31"/>
          <w:rFonts w:hint="eastAsia" w:ascii="宋体" w:hAnsi="宋体" w:cs="宋体"/>
          <w:color w:val="auto"/>
        </w:rPr>
        <w:t>三、 谈判文件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_Toc501638124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"_Toc501638125" </w:instrText>
      </w:r>
      <w:r>
        <w:fldChar w:fldCharType="separate"/>
      </w:r>
      <w:r>
        <w:rPr>
          <w:rStyle w:val="31"/>
          <w:rFonts w:hint="eastAsia" w:ascii="宋体" w:hAnsi="宋体" w:cs="宋体"/>
          <w:color w:val="auto"/>
        </w:rPr>
        <w:t>四、 响应文件的编制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_Toc501638125 \h </w:instrText>
      </w:r>
      <w:r>
        <w:rPr>
          <w:rFonts w:hint="eastAsia" w:ascii="宋体" w:hAnsi="宋体" w:cs="宋体"/>
        </w:rPr>
        <w:fldChar w:fldCharType="separate"/>
      </w:r>
      <w:r>
        <w:rPr>
          <w:rFonts w:hint="eastAsia" w:ascii="宋体" w:hAnsi="宋体" w:cs="宋体"/>
        </w:rPr>
        <w:t>12</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"_Toc501638126" </w:instrText>
      </w:r>
      <w:r>
        <w:fldChar w:fldCharType="separate"/>
      </w:r>
      <w:r>
        <w:rPr>
          <w:rStyle w:val="31"/>
          <w:rFonts w:hint="eastAsia" w:ascii="宋体" w:hAnsi="宋体" w:cs="宋体"/>
          <w:color w:val="auto"/>
        </w:rPr>
        <w:t>五、 响应文件的递交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_Toc501638126 \h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"_Toc501638127" </w:instrText>
      </w:r>
      <w:r>
        <w:fldChar w:fldCharType="separate"/>
      </w:r>
      <w:r>
        <w:rPr>
          <w:rStyle w:val="31"/>
          <w:rFonts w:hint="eastAsia" w:ascii="宋体" w:hAnsi="宋体" w:cs="宋体"/>
          <w:color w:val="auto"/>
        </w:rPr>
        <w:t>六、 谈判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_Toc501638127 \h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"_Toc501638128" </w:instrText>
      </w:r>
      <w:r>
        <w:fldChar w:fldCharType="separate"/>
      </w:r>
      <w:r>
        <w:rPr>
          <w:rStyle w:val="31"/>
          <w:rFonts w:hint="eastAsia" w:ascii="宋体" w:hAnsi="宋体" w:cs="宋体"/>
          <w:color w:val="auto"/>
        </w:rPr>
        <w:t>七、推荐成交候选供应商、确定成交供应商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_Toc501638128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"_Toc501638129" </w:instrText>
      </w:r>
      <w:r>
        <w:fldChar w:fldCharType="separate"/>
      </w:r>
      <w:r>
        <w:rPr>
          <w:rStyle w:val="31"/>
          <w:rFonts w:hint="eastAsia" w:ascii="宋体" w:hAnsi="宋体" w:cs="宋体"/>
          <w:color w:val="auto"/>
        </w:rPr>
        <w:t>八、成交结果公告、成交通知书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_Toc501638129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"_Toc501638130" </w:instrText>
      </w:r>
      <w:r>
        <w:fldChar w:fldCharType="separate"/>
      </w:r>
      <w:r>
        <w:rPr>
          <w:rStyle w:val="31"/>
          <w:rFonts w:hint="eastAsia" w:ascii="宋体" w:hAnsi="宋体" w:cs="宋体"/>
          <w:color w:val="auto"/>
        </w:rPr>
        <w:t>九、履约保证金、签订合同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_Toc501638130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"_Toc501638131" </w:instrText>
      </w:r>
      <w:r>
        <w:fldChar w:fldCharType="separate"/>
      </w:r>
      <w:r>
        <w:rPr>
          <w:rStyle w:val="31"/>
          <w:rFonts w:hint="eastAsia" w:ascii="宋体" w:hAnsi="宋体" w:cs="宋体"/>
          <w:color w:val="auto"/>
        </w:rPr>
        <w:t>十、询问和质疑</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_Toc501638131 \h </w:instrText>
      </w:r>
      <w:r>
        <w:rPr>
          <w:rFonts w:hint="eastAsia" w:ascii="宋体" w:hAnsi="宋体" w:cs="宋体"/>
        </w:rPr>
        <w:fldChar w:fldCharType="separate"/>
      </w:r>
      <w:r>
        <w:rPr>
          <w:rFonts w:hint="eastAsia" w:ascii="宋体" w:hAnsi="宋体" w:cs="宋体"/>
        </w:rPr>
        <w:t>18</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"_Toc501638132" </w:instrText>
      </w:r>
      <w:r>
        <w:fldChar w:fldCharType="separate"/>
      </w:r>
      <w:r>
        <w:rPr>
          <w:rStyle w:val="31"/>
          <w:rFonts w:hint="eastAsia" w:ascii="宋体" w:hAnsi="宋体" w:cs="宋体"/>
          <w:color w:val="auto"/>
        </w:rPr>
        <w:t>十一、采购代理服务费</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_Toc501638132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"_Toc501638133" </w:instrText>
      </w:r>
      <w:r>
        <w:fldChar w:fldCharType="separate"/>
      </w:r>
      <w:r>
        <w:rPr>
          <w:rStyle w:val="31"/>
          <w:rFonts w:hint="eastAsia" w:ascii="宋体" w:hAnsi="宋体" w:cs="宋体"/>
          <w:color w:val="auto"/>
        </w:rPr>
        <w:t>十二、附则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_Toc501638133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pPr>
        <w:pStyle w:val="15"/>
        <w:rPr>
          <w:rFonts w:ascii="宋体" w:hAnsi="宋体" w:cs="宋体"/>
          <w:szCs w:val="22"/>
        </w:rPr>
      </w:pPr>
      <w:r>
        <w:fldChar w:fldCharType="begin"/>
      </w:r>
      <w:r>
        <w:instrText xml:space="preserve"> HYPERLINK \l "_Toc501638134" </w:instrText>
      </w:r>
      <w:r>
        <w:fldChar w:fldCharType="separate"/>
      </w:r>
      <w:r>
        <w:rPr>
          <w:rStyle w:val="31"/>
          <w:rFonts w:hint="eastAsia" w:ascii="宋体" w:hAnsi="宋体" w:cs="宋体"/>
          <w:bCs/>
          <w:color w:val="auto"/>
        </w:rPr>
        <w:t>第三章　</w:t>
      </w:r>
      <w:r>
        <w:rPr>
          <w:rStyle w:val="31"/>
          <w:rFonts w:hint="eastAsia" w:ascii="宋体" w:hAnsi="宋体" w:cs="宋体"/>
          <w:color w:val="auto"/>
        </w:rPr>
        <w:t>拟签订的合同文本</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_Toc501638134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pPr>
        <w:pStyle w:val="15"/>
        <w:rPr>
          <w:rFonts w:ascii="宋体" w:hAnsi="宋体" w:cs="宋体"/>
          <w:szCs w:val="22"/>
        </w:rPr>
      </w:pPr>
      <w:r>
        <w:fldChar w:fldCharType="begin"/>
      </w:r>
      <w:r>
        <w:instrText xml:space="preserve"> HYPERLINK \l "_Toc501638135" </w:instrText>
      </w:r>
      <w:r>
        <w:fldChar w:fldCharType="separate"/>
      </w:r>
      <w:r>
        <w:rPr>
          <w:rStyle w:val="31"/>
          <w:rFonts w:hint="eastAsia" w:ascii="宋体" w:hAnsi="宋体" w:cs="宋体"/>
          <w:bCs/>
          <w:color w:val="auto"/>
        </w:rPr>
        <w:t>第四章  响应文件格式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_Toc501638135 \h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"_Toc501638136" </w:instrText>
      </w:r>
      <w:r>
        <w:fldChar w:fldCharType="separate"/>
      </w:r>
      <w:r>
        <w:rPr>
          <w:rStyle w:val="31"/>
          <w:rFonts w:hint="eastAsia" w:ascii="宋体" w:hAnsi="宋体" w:cs="宋体"/>
          <w:color w:val="auto"/>
        </w:rPr>
        <w:t>1. 谈判响应书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_Toc501638136 \h </w:instrText>
      </w:r>
      <w:r>
        <w:rPr>
          <w:rFonts w:hint="eastAsia" w:ascii="宋体" w:hAnsi="宋体" w:cs="宋体"/>
        </w:rPr>
        <w:fldChar w:fldCharType="separate"/>
      </w:r>
      <w:r>
        <w:rPr>
          <w:rFonts w:hint="eastAsia" w:ascii="宋体" w:hAnsi="宋体" w:cs="宋体"/>
        </w:rPr>
        <w:t>25</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"_Toc501638137" </w:instrText>
      </w:r>
      <w:r>
        <w:fldChar w:fldCharType="separate"/>
      </w:r>
      <w:r>
        <w:rPr>
          <w:rStyle w:val="31"/>
          <w:rFonts w:hint="eastAsia" w:ascii="宋体" w:hAnsi="宋体" w:cs="宋体"/>
          <w:color w:val="auto"/>
        </w:rPr>
        <w:t>2．报价表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_Toc501638137 \h </w:instrText>
      </w:r>
      <w:r>
        <w:rPr>
          <w:rFonts w:hint="eastAsia" w:ascii="宋体" w:hAnsi="宋体" w:cs="宋体"/>
        </w:rPr>
        <w:fldChar w:fldCharType="separate"/>
      </w:r>
      <w:r>
        <w:rPr>
          <w:rFonts w:hint="eastAsia" w:ascii="宋体" w:hAnsi="宋体" w:cs="宋体"/>
        </w:rPr>
        <w:t>26</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"_Toc501638138" </w:instrText>
      </w:r>
      <w:r>
        <w:fldChar w:fldCharType="separate"/>
      </w:r>
      <w:r>
        <w:rPr>
          <w:rStyle w:val="31"/>
          <w:rFonts w:hint="eastAsia" w:ascii="宋体" w:hAnsi="宋体" w:cs="宋体"/>
          <w:color w:val="auto"/>
        </w:rPr>
        <w:t>3．分项报价表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_Toc501638138 \h </w:instrText>
      </w:r>
      <w:r>
        <w:rPr>
          <w:rFonts w:hint="eastAsia" w:ascii="宋体" w:hAnsi="宋体" w:cs="宋体"/>
        </w:rPr>
        <w:fldChar w:fldCharType="separate"/>
      </w:r>
      <w:r>
        <w:rPr>
          <w:rFonts w:hint="eastAsia" w:ascii="宋体" w:hAnsi="宋体" w:cs="宋体"/>
        </w:rPr>
        <w:t>27</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"_Toc501638139" </w:instrText>
      </w:r>
      <w:r>
        <w:fldChar w:fldCharType="separate"/>
      </w:r>
      <w:r>
        <w:rPr>
          <w:rStyle w:val="31"/>
          <w:rFonts w:hint="eastAsia" w:ascii="宋体" w:hAnsi="宋体" w:cs="宋体"/>
          <w:color w:val="auto"/>
        </w:rPr>
        <w:t>4. 技术规格响应/偏离表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_Toc501638139 \h </w:instrText>
      </w:r>
      <w:r>
        <w:rPr>
          <w:rFonts w:hint="eastAsia" w:ascii="宋体" w:hAnsi="宋体" w:cs="宋体"/>
        </w:rPr>
        <w:fldChar w:fldCharType="separate"/>
      </w:r>
      <w:r>
        <w:rPr>
          <w:rFonts w:hint="eastAsia" w:ascii="宋体" w:hAnsi="宋体" w:cs="宋体"/>
        </w:rPr>
        <w:t>28</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"_Toc501638140" </w:instrText>
      </w:r>
      <w:r>
        <w:fldChar w:fldCharType="separate"/>
      </w:r>
      <w:r>
        <w:rPr>
          <w:rStyle w:val="31"/>
          <w:rFonts w:hint="eastAsia" w:ascii="宋体" w:hAnsi="宋体" w:cs="宋体"/>
          <w:color w:val="auto"/>
        </w:rPr>
        <w:t>5. 商务条款响应/偏离表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_Toc501638140 \h </w:instrText>
      </w:r>
      <w:r>
        <w:rPr>
          <w:rFonts w:hint="eastAsia" w:ascii="宋体" w:hAnsi="宋体" w:cs="宋体"/>
        </w:rPr>
        <w:fldChar w:fldCharType="separate"/>
      </w:r>
      <w:r>
        <w:rPr>
          <w:rFonts w:hint="eastAsia" w:ascii="宋体" w:hAnsi="宋体" w:cs="宋体"/>
        </w:rPr>
        <w:t>29</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"_Toc501638141" </w:instrText>
      </w:r>
      <w:r>
        <w:fldChar w:fldCharType="separate"/>
      </w:r>
      <w:r>
        <w:rPr>
          <w:rStyle w:val="31"/>
          <w:rFonts w:hint="eastAsia" w:ascii="宋体" w:hAnsi="宋体" w:cs="宋体"/>
          <w:color w:val="auto"/>
        </w:rPr>
        <w:t>6. 其他证明资料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_Toc501638141 \h </w:instrText>
      </w:r>
      <w:r>
        <w:rPr>
          <w:rFonts w:hint="eastAsia" w:ascii="宋体" w:hAnsi="宋体" w:cs="宋体"/>
        </w:rPr>
        <w:fldChar w:fldCharType="separate"/>
      </w:r>
      <w:r>
        <w:rPr>
          <w:rFonts w:hint="eastAsia" w:ascii="宋体" w:hAnsi="宋体" w:cs="宋体"/>
        </w:rPr>
        <w:t>30</w:t>
      </w:r>
      <w:r>
        <w:rPr>
          <w:rFonts w:hint="eastAsia" w:ascii="宋体" w:hAnsi="宋体" w:cs="宋体"/>
        </w:rPr>
        <w:fldChar w:fldCharType="end"/>
      </w:r>
      <w:r>
        <w:rPr>
          <w:rFonts w:hint="eastAsia" w:ascii="宋体" w:hAnsi="宋体" w:cs="宋体"/>
        </w:rPr>
        <w:fldChar w:fldCharType="end"/>
      </w:r>
    </w:p>
    <w:p>
      <w:pPr>
        <w:pStyle w:val="15"/>
        <w:rPr>
          <w:rFonts w:ascii="宋体" w:hAnsi="宋体" w:cs="宋体"/>
          <w:szCs w:val="22"/>
        </w:rPr>
      </w:pPr>
      <w:r>
        <w:fldChar w:fldCharType="begin"/>
      </w:r>
      <w:r>
        <w:instrText xml:space="preserve"> HYPERLINK \l "_Toc501638142" </w:instrText>
      </w:r>
      <w:r>
        <w:fldChar w:fldCharType="separate"/>
      </w:r>
      <w:r>
        <w:rPr>
          <w:rStyle w:val="31"/>
          <w:rFonts w:hint="eastAsia" w:ascii="宋体" w:hAnsi="宋体" w:cs="宋体"/>
          <w:b w:val="0"/>
          <w:color w:val="auto"/>
        </w:rPr>
        <w:t>7、为落实政府采购政策供应商须提供的证明材料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_Toc501638142 \h </w:instrText>
      </w:r>
      <w:r>
        <w:rPr>
          <w:rFonts w:hint="eastAsia" w:ascii="宋体" w:hAnsi="宋体" w:cs="宋体"/>
        </w:rPr>
        <w:fldChar w:fldCharType="separate"/>
      </w:r>
      <w:r>
        <w:rPr>
          <w:rFonts w:hint="eastAsia" w:ascii="宋体" w:hAnsi="宋体" w:cs="宋体"/>
        </w:rPr>
        <w:t>32</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"_Toc501638147" </w:instrText>
      </w:r>
      <w:r>
        <w:fldChar w:fldCharType="separate"/>
      </w:r>
      <w:r>
        <w:rPr>
          <w:rStyle w:val="31"/>
          <w:rFonts w:hint="eastAsia" w:ascii="宋体" w:hAnsi="宋体" w:cs="宋体"/>
          <w:color w:val="auto"/>
        </w:rPr>
        <w:t>8.技术文件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_Toc501638147 \h </w:instrText>
      </w:r>
      <w:r>
        <w:rPr>
          <w:rFonts w:hint="eastAsia" w:ascii="宋体" w:hAnsi="宋体" w:cs="宋体"/>
        </w:rPr>
        <w:fldChar w:fldCharType="separate"/>
      </w:r>
      <w:r>
        <w:rPr>
          <w:rFonts w:hint="eastAsia" w:ascii="宋体" w:hAnsi="宋体" w:cs="宋体"/>
        </w:rPr>
        <w:t>36</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"_Toc501638148" </w:instrText>
      </w:r>
      <w:r>
        <w:fldChar w:fldCharType="separate"/>
      </w:r>
      <w:r>
        <w:rPr>
          <w:rStyle w:val="31"/>
          <w:rFonts w:hint="eastAsia" w:ascii="宋体" w:hAnsi="宋体" w:cs="宋体"/>
          <w:color w:val="auto"/>
        </w:rPr>
        <w:t>9.资格证明文件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_Toc501638148 \h </w:instrText>
      </w:r>
      <w:r>
        <w:rPr>
          <w:rFonts w:hint="eastAsia" w:ascii="宋体" w:hAnsi="宋体" w:cs="宋体"/>
        </w:rPr>
        <w:fldChar w:fldCharType="separate"/>
      </w:r>
      <w:r>
        <w:rPr>
          <w:rFonts w:hint="eastAsia" w:ascii="宋体" w:hAnsi="宋体" w:cs="宋体"/>
        </w:rPr>
        <w:t>37</w:t>
      </w:r>
      <w:r>
        <w:rPr>
          <w:rFonts w:hint="eastAsia" w:ascii="宋体" w:hAnsi="宋体" w:cs="宋体"/>
        </w:rPr>
        <w:fldChar w:fldCharType="end"/>
      </w:r>
      <w:r>
        <w:rPr>
          <w:rFonts w:hint="eastAsia" w:ascii="宋体" w:hAnsi="宋体" w:cs="宋体"/>
        </w:rPr>
        <w:fldChar w:fldCharType="end"/>
      </w:r>
    </w:p>
    <w:p>
      <w:pPr>
        <w:pStyle w:val="15"/>
        <w:rPr>
          <w:rFonts w:ascii="宋体" w:hAnsi="宋体" w:cs="宋体"/>
          <w:szCs w:val="22"/>
        </w:rPr>
      </w:pPr>
      <w:r>
        <w:fldChar w:fldCharType="begin"/>
      </w:r>
      <w:r>
        <w:instrText xml:space="preserve"> HYPERLINK \l "_Toc501638149" </w:instrText>
      </w:r>
      <w:r>
        <w:fldChar w:fldCharType="separate"/>
      </w:r>
      <w:r>
        <w:rPr>
          <w:rStyle w:val="31"/>
          <w:rFonts w:hint="eastAsia" w:ascii="宋体" w:hAnsi="宋体" w:cs="宋体"/>
          <w:bCs/>
          <w:color w:val="auto"/>
        </w:rPr>
        <w:t>第五章  采购需求一览表及采购要求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_Toc501638149 \h </w:instrText>
      </w:r>
      <w:r>
        <w:rPr>
          <w:rFonts w:hint="eastAsia" w:ascii="宋体" w:hAnsi="宋体" w:cs="宋体"/>
        </w:rPr>
        <w:fldChar w:fldCharType="separate"/>
      </w:r>
      <w:r>
        <w:rPr>
          <w:rFonts w:hint="eastAsia" w:ascii="宋体" w:hAnsi="宋体" w:cs="宋体"/>
        </w:rPr>
        <w:t>43</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"_Toc501638150" </w:instrText>
      </w:r>
      <w:r>
        <w:fldChar w:fldCharType="separate"/>
      </w:r>
      <w:r>
        <w:rPr>
          <w:rStyle w:val="31"/>
          <w:rFonts w:hint="eastAsia" w:ascii="宋体" w:hAnsi="宋体" w:cs="宋体"/>
          <w:color w:val="auto"/>
        </w:rPr>
        <w:t>一、采购需求一览表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_Toc501638150 \h </w:instrText>
      </w:r>
      <w:r>
        <w:rPr>
          <w:rFonts w:hint="eastAsia" w:ascii="宋体" w:hAnsi="宋体" w:cs="宋体"/>
        </w:rPr>
        <w:fldChar w:fldCharType="separate"/>
      </w:r>
      <w:r>
        <w:rPr>
          <w:rFonts w:hint="eastAsia" w:ascii="宋体" w:hAnsi="宋体" w:cs="宋体"/>
        </w:rPr>
        <w:t>43</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"_Toc501638151" </w:instrText>
      </w:r>
      <w:r>
        <w:fldChar w:fldCharType="separate"/>
      </w:r>
      <w:r>
        <w:rPr>
          <w:rStyle w:val="31"/>
          <w:rFonts w:hint="eastAsia" w:ascii="宋体" w:hAnsi="宋体" w:cs="宋体"/>
          <w:color w:val="auto"/>
        </w:rPr>
        <w:t>二、采购要求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_Toc501638151 \h </w:instrText>
      </w:r>
      <w:r>
        <w:rPr>
          <w:rFonts w:hint="eastAsia" w:ascii="宋体" w:hAnsi="宋体" w:cs="宋体"/>
        </w:rPr>
        <w:fldChar w:fldCharType="separate"/>
      </w:r>
      <w:r>
        <w:rPr>
          <w:rFonts w:hint="eastAsia" w:ascii="宋体" w:hAnsi="宋体" w:cs="宋体"/>
        </w:rPr>
        <w:t>44</w:t>
      </w:r>
      <w:r>
        <w:rPr>
          <w:rFonts w:hint="eastAsia" w:ascii="宋体" w:hAnsi="宋体" w:cs="宋体"/>
        </w:rPr>
        <w:fldChar w:fldCharType="end"/>
      </w:r>
      <w:r>
        <w:rPr>
          <w:rFonts w:hint="eastAsia" w:ascii="宋体" w:hAnsi="宋体" w:cs="宋体"/>
        </w:rPr>
        <w:fldChar w:fldCharType="end"/>
      </w:r>
    </w:p>
    <w:p>
      <w:pPr>
        <w:pStyle w:val="15"/>
        <w:ind w:firstLine="420"/>
        <w:rPr>
          <w:rStyle w:val="31"/>
          <w:rFonts w:ascii="宋体" w:hAnsi="宋体" w:cs="宋体"/>
          <w:b w:val="0"/>
          <w:color w:val="auto"/>
        </w:rPr>
      </w:pPr>
      <w:r>
        <w:rPr>
          <w:rStyle w:val="31"/>
          <w:rFonts w:hint="eastAsia" w:ascii="宋体" w:hAnsi="宋体" w:cs="宋体"/>
          <w:b w:val="0"/>
          <w:color w:val="auto"/>
          <w:shd w:val="pct10" w:color="auto" w:fill="FFFFFF"/>
        </w:rPr>
        <w:fldChar w:fldCharType="end"/>
      </w:r>
    </w:p>
    <w:p>
      <w:pPr>
        <w:pStyle w:val="15"/>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widowControl/>
        <w:jc w:val="left"/>
        <w:rPr>
          <w:rFonts w:ascii="宋体" w:hAnsi="宋体" w:cs="宋体"/>
        </w:rPr>
      </w:pPr>
      <w:r>
        <w:rPr>
          <w:rFonts w:hint="eastAsia" w:ascii="宋体" w:hAnsi="宋体" w:cs="宋体"/>
        </w:rPr>
        <w:br w:type="page"/>
      </w:r>
    </w:p>
    <w:p>
      <w:pPr>
        <w:pStyle w:val="3"/>
        <w:jc w:val="center"/>
        <w:rPr>
          <w:rFonts w:hAnsi="宋体" w:cs="宋体"/>
          <w:b/>
          <w:bCs/>
          <w:sz w:val="32"/>
        </w:rPr>
      </w:pPr>
      <w:bookmarkStart w:id="0" w:name="_Toc501638120"/>
      <w:r>
        <w:rPr>
          <w:rFonts w:hint="eastAsia" w:hAnsi="宋体" w:cs="宋体"/>
          <w:b/>
          <w:bCs/>
          <w:sz w:val="32"/>
        </w:rPr>
        <w:t>第一章　谈判邀请</w:t>
      </w:r>
      <w:bookmarkEnd w:id="0"/>
    </w:p>
    <w:p>
      <w:pPr>
        <w:spacing w:line="360" w:lineRule="auto"/>
        <w:rPr>
          <w:rFonts w:ascii="宋体" w:hAnsi="宋体" w:cs="宋体"/>
        </w:rPr>
      </w:pP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本项目的潜在供应商应在江西省公共资源交易网上报名和下载获取谈判文件及其它资料。并于 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8</w:t>
      </w:r>
      <w:r>
        <w:rPr>
          <w:rFonts w:hint="eastAsia" w:ascii="宋体" w:hAnsi="宋体" w:cs="宋体"/>
          <w:sz w:val="24"/>
          <w:szCs w:val="24"/>
        </w:rPr>
        <w:t>月</w:t>
      </w:r>
      <w:r>
        <w:rPr>
          <w:rFonts w:hint="eastAsia" w:ascii="宋体" w:hAnsi="宋体" w:cs="宋体"/>
          <w:sz w:val="24"/>
          <w:szCs w:val="24"/>
          <w:lang w:val="en-US" w:eastAsia="zh-CN"/>
        </w:rPr>
        <w:t>7</w:t>
      </w:r>
      <w:r>
        <w:rPr>
          <w:rFonts w:hint="eastAsia" w:ascii="宋体" w:hAnsi="宋体" w:cs="宋体"/>
          <w:sz w:val="24"/>
          <w:szCs w:val="24"/>
        </w:rPr>
        <w:t>日</w:t>
      </w:r>
      <w:r>
        <w:rPr>
          <w:rFonts w:hint="eastAsia" w:ascii="宋体" w:hAnsi="宋体" w:cs="宋体"/>
          <w:sz w:val="24"/>
          <w:szCs w:val="24"/>
          <w:lang w:val="en-US" w:eastAsia="zh-CN"/>
        </w:rPr>
        <w:t>09</w:t>
      </w:r>
      <w:r>
        <w:rPr>
          <w:rFonts w:hint="eastAsia" w:ascii="宋体" w:hAnsi="宋体" w:cs="宋体"/>
          <w:sz w:val="24"/>
          <w:szCs w:val="24"/>
        </w:rPr>
        <w:t>点</w:t>
      </w:r>
      <w:r>
        <w:rPr>
          <w:rFonts w:hint="eastAsia" w:ascii="宋体" w:hAnsi="宋体" w:cs="宋体"/>
          <w:sz w:val="24"/>
          <w:szCs w:val="24"/>
          <w:lang w:val="en-US" w:eastAsia="zh-CN"/>
        </w:rPr>
        <w:t>0</w:t>
      </w:r>
      <w:r>
        <w:rPr>
          <w:rFonts w:hint="eastAsia" w:ascii="宋体" w:hAnsi="宋体" w:cs="宋体"/>
          <w:sz w:val="24"/>
          <w:szCs w:val="24"/>
        </w:rPr>
        <w:t>0分（北京时间）前提交响应文件。</w:t>
      </w:r>
    </w:p>
    <w:p>
      <w:pPr>
        <w:spacing w:line="360" w:lineRule="auto"/>
        <w:rPr>
          <w:rFonts w:ascii="宋体" w:hAnsi="宋体" w:cs="宋体"/>
          <w:sz w:val="24"/>
          <w:szCs w:val="24"/>
        </w:rPr>
      </w:pPr>
    </w:p>
    <w:p>
      <w:pPr>
        <w:pStyle w:val="4"/>
        <w:spacing w:before="0" w:after="0" w:line="360" w:lineRule="auto"/>
        <w:rPr>
          <w:rFonts w:ascii="宋体" w:hAnsi="宋体" w:eastAsia="宋体" w:cs="宋体"/>
          <w:b w:val="0"/>
          <w:sz w:val="24"/>
          <w:szCs w:val="24"/>
        </w:rPr>
      </w:pPr>
      <w:bookmarkStart w:id="1" w:name="_Toc35393621"/>
      <w:bookmarkStart w:id="2" w:name="_Toc28359079"/>
      <w:bookmarkStart w:id="3" w:name="_Toc27129"/>
      <w:bookmarkStart w:id="4" w:name="_Toc28359002"/>
      <w:bookmarkStart w:id="5" w:name="_Toc35393790"/>
      <w:bookmarkStart w:id="6" w:name="_Hlk24379207"/>
      <w:r>
        <w:rPr>
          <w:rFonts w:hint="eastAsia" w:ascii="宋体" w:hAnsi="宋体" w:eastAsia="宋体" w:cs="宋体"/>
          <w:b w:val="0"/>
          <w:sz w:val="24"/>
          <w:szCs w:val="24"/>
        </w:rPr>
        <w:t>一、项目基本情况</w:t>
      </w:r>
      <w:bookmarkEnd w:id="1"/>
      <w:bookmarkEnd w:id="2"/>
      <w:bookmarkEnd w:id="3"/>
      <w:bookmarkEnd w:id="4"/>
      <w:bookmarkEnd w:id="5"/>
    </w:p>
    <w:p>
      <w:pPr>
        <w:pStyle w:val="4"/>
        <w:spacing w:before="0" w:after="0" w:line="360" w:lineRule="auto"/>
        <w:rPr>
          <w:rFonts w:hint="eastAsia" w:ascii="宋体" w:hAnsi="宋体" w:eastAsia="宋体" w:cs="宋体"/>
          <w:b w:val="0"/>
          <w:sz w:val="24"/>
          <w:szCs w:val="24"/>
          <w:lang w:eastAsia="zh-CN"/>
        </w:rPr>
      </w:pPr>
      <w:r>
        <w:rPr>
          <w:rFonts w:hint="eastAsia" w:ascii="宋体" w:hAnsi="宋体" w:eastAsia="宋体" w:cs="宋体"/>
          <w:b w:val="0"/>
          <w:sz w:val="24"/>
          <w:szCs w:val="24"/>
        </w:rPr>
        <w:t>项目名称：</w:t>
      </w:r>
      <w:r>
        <w:rPr>
          <w:rFonts w:hint="eastAsia" w:ascii="宋体" w:hAnsi="宋体" w:eastAsia="宋体" w:cs="宋体"/>
          <w:b w:val="0"/>
          <w:sz w:val="24"/>
          <w:szCs w:val="24"/>
          <w:lang w:eastAsia="zh-CN"/>
        </w:rPr>
        <w:t>江西旅游商贸职业学院旅游学院多功能考试中心设备采购项目</w:t>
      </w:r>
    </w:p>
    <w:p>
      <w:pPr>
        <w:pStyle w:val="4"/>
        <w:spacing w:before="0" w:after="0" w:line="360" w:lineRule="auto"/>
        <w:rPr>
          <w:rFonts w:hint="default"/>
          <w:lang w:val="en-US" w:eastAsia="zh-CN"/>
        </w:rPr>
      </w:pPr>
      <w:r>
        <w:rPr>
          <w:rFonts w:hint="eastAsia" w:ascii="宋体" w:hAnsi="宋体" w:eastAsia="宋体" w:cs="宋体"/>
          <w:b w:val="0"/>
          <w:sz w:val="24"/>
          <w:szCs w:val="24"/>
        </w:rPr>
        <w:t>项目编号：JXTC2024200220</w:t>
      </w:r>
      <w:r>
        <w:rPr>
          <w:rFonts w:hint="eastAsia" w:ascii="宋体" w:hAnsi="宋体" w:eastAsia="宋体" w:cs="宋体"/>
          <w:b w:val="0"/>
          <w:sz w:val="24"/>
          <w:szCs w:val="24"/>
          <w:lang w:val="en-US" w:eastAsia="zh-CN"/>
        </w:rPr>
        <w:t>C1</w:t>
      </w:r>
    </w:p>
    <w:bookmarkEnd w:id="6"/>
    <w:p>
      <w:pPr>
        <w:spacing w:line="360" w:lineRule="auto"/>
        <w:rPr>
          <w:rFonts w:ascii="宋体" w:hAnsi="宋体" w:cs="宋体"/>
          <w:sz w:val="24"/>
          <w:szCs w:val="24"/>
        </w:rPr>
      </w:pPr>
      <w:r>
        <w:rPr>
          <w:rFonts w:hint="eastAsia" w:ascii="宋体" w:hAnsi="宋体" w:cs="宋体"/>
          <w:sz w:val="24"/>
          <w:szCs w:val="24"/>
        </w:rPr>
        <w:t>预算金额：</w:t>
      </w:r>
      <w:r>
        <w:rPr>
          <w:rFonts w:hint="eastAsia" w:ascii="宋体" w:hAnsi="宋体" w:cs="宋体"/>
          <w:sz w:val="24"/>
          <w:szCs w:val="24"/>
          <w:lang w:val="en-US" w:eastAsia="zh-CN"/>
        </w:rPr>
        <w:t>228</w:t>
      </w:r>
      <w:r>
        <w:rPr>
          <w:rFonts w:hint="eastAsia" w:ascii="宋体" w:hAnsi="宋体" w:cs="宋体"/>
          <w:sz w:val="24"/>
          <w:szCs w:val="24"/>
        </w:rPr>
        <w:t>万元人民币</w:t>
      </w:r>
    </w:p>
    <w:p>
      <w:pPr>
        <w:spacing w:line="360" w:lineRule="auto"/>
        <w:rPr>
          <w:rFonts w:ascii="宋体" w:hAnsi="宋体" w:cs="宋体"/>
          <w:sz w:val="24"/>
          <w:szCs w:val="24"/>
        </w:rPr>
      </w:pPr>
      <w:r>
        <w:rPr>
          <w:rFonts w:hint="eastAsia" w:ascii="宋体" w:hAnsi="宋体" w:cs="宋体"/>
          <w:sz w:val="24"/>
          <w:szCs w:val="24"/>
        </w:rPr>
        <w:t>采购需求：</w:t>
      </w:r>
    </w:p>
    <w:tbl>
      <w:tblPr>
        <w:tblStyle w:val="20"/>
        <w:tblW w:w="811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527"/>
        <w:gridCol w:w="2118"/>
        <w:gridCol w:w="826"/>
        <w:gridCol w:w="827"/>
        <w:gridCol w:w="18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2527"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采购条目编号</w:t>
            </w:r>
          </w:p>
        </w:tc>
        <w:tc>
          <w:tcPr>
            <w:tcW w:w="2118"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采购条目名称</w:t>
            </w:r>
          </w:p>
        </w:tc>
        <w:tc>
          <w:tcPr>
            <w:tcW w:w="826"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数量</w:t>
            </w:r>
          </w:p>
        </w:tc>
        <w:tc>
          <w:tcPr>
            <w:tcW w:w="827"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单位</w:t>
            </w:r>
          </w:p>
        </w:tc>
        <w:tc>
          <w:tcPr>
            <w:tcW w:w="1821" w:type="dxa"/>
            <w:shd w:val="clear" w:color="auto" w:fill="auto"/>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采购预算</w:t>
            </w:r>
          </w:p>
          <w:p>
            <w:pPr>
              <w:widowControl/>
              <w:spacing w:line="360" w:lineRule="auto"/>
              <w:jc w:val="center"/>
              <w:rPr>
                <w:rFonts w:ascii="宋体" w:hAnsi="宋体" w:cs="宋体"/>
                <w:sz w:val="24"/>
                <w:szCs w:val="24"/>
              </w:rPr>
            </w:pPr>
            <w:r>
              <w:rPr>
                <w:rFonts w:hint="eastAsia" w:ascii="宋体" w:hAnsi="宋体" w:cs="宋体"/>
                <w:kern w:val="0"/>
                <w:sz w:val="24"/>
                <w:szCs w:val="24"/>
              </w:rPr>
              <w:t>（人民币）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2527" w:type="dxa"/>
            <w:shd w:val="clear" w:color="auto" w:fill="auto"/>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赣购2024J001120078</w:t>
            </w:r>
          </w:p>
        </w:tc>
        <w:tc>
          <w:tcPr>
            <w:tcW w:w="2118" w:type="dxa"/>
            <w:shd w:val="clear" w:color="auto" w:fill="auto"/>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旅游学院多功能考试中心设备采购</w:t>
            </w:r>
          </w:p>
        </w:tc>
        <w:tc>
          <w:tcPr>
            <w:tcW w:w="826" w:type="dxa"/>
            <w:shd w:val="clear" w:color="auto" w:fill="auto"/>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w:t>
            </w:r>
          </w:p>
        </w:tc>
        <w:tc>
          <w:tcPr>
            <w:tcW w:w="827" w:type="dxa"/>
            <w:shd w:val="clear" w:color="auto" w:fill="auto"/>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批</w:t>
            </w:r>
          </w:p>
        </w:tc>
        <w:tc>
          <w:tcPr>
            <w:tcW w:w="1821" w:type="dxa"/>
            <w:shd w:val="clear" w:color="auto" w:fill="auto"/>
            <w:vAlign w:val="center"/>
          </w:tcPr>
          <w:p>
            <w:pPr>
              <w:widowControl/>
              <w:spacing w:line="360" w:lineRule="auto"/>
              <w:jc w:val="center"/>
              <w:rPr>
                <w:rFonts w:hint="eastAsia" w:ascii="宋体" w:hAnsi="宋体" w:cs="宋体"/>
                <w:kern w:val="0"/>
                <w:sz w:val="24"/>
                <w:szCs w:val="24"/>
              </w:rPr>
            </w:pPr>
            <w:r>
              <w:rPr>
                <w:rFonts w:hint="eastAsia" w:ascii="宋体" w:hAnsi="宋体" w:cs="宋体"/>
                <w:sz w:val="24"/>
                <w:szCs w:val="24"/>
                <w:lang w:val="en-US" w:eastAsia="zh-CN"/>
              </w:rPr>
              <w:t>228</w:t>
            </w:r>
            <w:r>
              <w:rPr>
                <w:rFonts w:hint="eastAsia" w:ascii="宋体" w:hAnsi="宋体" w:cs="宋体"/>
                <w:sz w:val="24"/>
                <w:szCs w:val="24"/>
              </w:rPr>
              <w:t>万元</w:t>
            </w:r>
          </w:p>
        </w:tc>
      </w:tr>
    </w:tbl>
    <w:p>
      <w:pPr>
        <w:spacing w:line="360" w:lineRule="auto"/>
        <w:ind w:firstLine="480" w:firstLineChars="200"/>
        <w:rPr>
          <w:rFonts w:hint="eastAsia" w:ascii="宋体" w:hAnsi="宋体" w:cs="宋体"/>
          <w:sz w:val="24"/>
          <w:szCs w:val="24"/>
        </w:rPr>
      </w:pPr>
      <w:r>
        <w:rPr>
          <w:rFonts w:hint="eastAsia" w:ascii="宋体" w:hAnsi="宋体" w:cs="宋体"/>
          <w:sz w:val="24"/>
          <w:szCs w:val="24"/>
        </w:rPr>
        <w:t>合同履行期限：</w:t>
      </w:r>
      <w:r>
        <w:rPr>
          <w:rFonts w:hint="eastAsia" w:ascii="宋体" w:hAnsi="宋体" w:cs="宋体"/>
          <w:sz w:val="24"/>
          <w:szCs w:val="24"/>
          <w:lang w:val="en-US" w:eastAsia="zh-CN"/>
        </w:rPr>
        <w:t>合同签订之日起90个日历日</w:t>
      </w:r>
      <w:r>
        <w:rPr>
          <w:rFonts w:hint="eastAsia" w:ascii="宋体" w:hAnsi="宋体" w:cs="宋体"/>
          <w:sz w:val="24"/>
          <w:szCs w:val="24"/>
        </w:rPr>
        <w:t>完成交付并验收合格。</w:t>
      </w:r>
    </w:p>
    <w:p>
      <w:pPr>
        <w:spacing w:line="360" w:lineRule="auto"/>
        <w:ind w:firstLine="480" w:firstLineChars="200"/>
        <w:rPr>
          <w:rFonts w:ascii="宋体" w:hAnsi="宋体" w:cs="宋体"/>
          <w:sz w:val="24"/>
          <w:szCs w:val="24"/>
        </w:rPr>
      </w:pPr>
      <w:r>
        <w:rPr>
          <w:rFonts w:hint="eastAsia" w:ascii="宋体" w:hAnsi="宋体" w:cs="宋体"/>
          <w:sz w:val="24"/>
          <w:szCs w:val="24"/>
        </w:rPr>
        <w:t>本项目（</w:t>
      </w:r>
      <w:r>
        <w:rPr>
          <w:rFonts w:hint="eastAsia" w:ascii="宋体" w:hAnsi="宋体" w:cs="宋体"/>
          <w:i/>
          <w:sz w:val="24"/>
          <w:szCs w:val="24"/>
        </w:rPr>
        <w:t>是/否</w:t>
      </w:r>
      <w:r>
        <w:rPr>
          <w:rFonts w:hint="eastAsia" w:ascii="宋体" w:hAnsi="宋体" w:cs="宋体"/>
          <w:sz w:val="24"/>
          <w:szCs w:val="24"/>
        </w:rPr>
        <w:t>）接受联合体参加谈判：否</w:t>
      </w:r>
    </w:p>
    <w:p>
      <w:pPr>
        <w:pStyle w:val="4"/>
        <w:keepNext w:val="0"/>
        <w:keepLines w:val="0"/>
        <w:spacing w:before="0" w:after="0" w:line="360" w:lineRule="auto"/>
        <w:rPr>
          <w:rFonts w:ascii="宋体" w:hAnsi="宋体" w:eastAsia="宋体" w:cs="宋体"/>
          <w:b w:val="0"/>
          <w:sz w:val="24"/>
          <w:szCs w:val="24"/>
        </w:rPr>
      </w:pPr>
      <w:bookmarkStart w:id="7" w:name="_Toc35393791"/>
      <w:bookmarkStart w:id="8" w:name="_Toc35393622"/>
      <w:bookmarkStart w:id="9" w:name="_Toc26529"/>
      <w:bookmarkStart w:id="10" w:name="_Toc28359003"/>
      <w:bookmarkStart w:id="11" w:name="_Toc28359080"/>
      <w:r>
        <w:rPr>
          <w:rFonts w:hint="eastAsia" w:ascii="宋体" w:hAnsi="宋体" w:eastAsia="宋体" w:cs="宋体"/>
          <w:b w:val="0"/>
          <w:sz w:val="24"/>
          <w:szCs w:val="24"/>
        </w:rPr>
        <w:t>二、申请人的资格要求</w:t>
      </w:r>
      <w:bookmarkEnd w:id="7"/>
      <w:bookmarkEnd w:id="8"/>
      <w:bookmarkEnd w:id="9"/>
      <w:bookmarkEnd w:id="10"/>
      <w:bookmarkEnd w:id="11"/>
    </w:p>
    <w:p>
      <w:pPr>
        <w:spacing w:line="360" w:lineRule="auto"/>
        <w:rPr>
          <w:rFonts w:ascii="宋体" w:hAnsi="宋体" w:cs="宋体"/>
          <w:sz w:val="24"/>
          <w:szCs w:val="24"/>
        </w:rPr>
      </w:pPr>
      <w:r>
        <w:rPr>
          <w:rFonts w:hint="eastAsia" w:ascii="宋体" w:hAnsi="宋体" w:cs="宋体"/>
          <w:sz w:val="24"/>
          <w:szCs w:val="24"/>
        </w:rPr>
        <w:t>1.满足《中华人民共和国政府采购法》第二十二条规定；</w:t>
      </w:r>
    </w:p>
    <w:p>
      <w:pPr>
        <w:spacing w:line="360" w:lineRule="auto"/>
        <w:rPr>
          <w:rFonts w:ascii="宋体" w:hAnsi="宋体" w:cs="宋体"/>
          <w:sz w:val="24"/>
          <w:szCs w:val="24"/>
        </w:rPr>
      </w:pPr>
      <w:r>
        <w:rPr>
          <w:rFonts w:hint="eastAsia" w:ascii="宋体" w:hAnsi="宋体" w:cs="宋体"/>
          <w:sz w:val="24"/>
          <w:szCs w:val="24"/>
        </w:rPr>
        <w:t>（1）具有独立承担民事责任的能力</w:t>
      </w:r>
    </w:p>
    <w:p>
      <w:pPr>
        <w:spacing w:line="360" w:lineRule="auto"/>
        <w:rPr>
          <w:rFonts w:ascii="宋体" w:hAnsi="宋体" w:cs="宋体"/>
          <w:sz w:val="24"/>
          <w:szCs w:val="24"/>
        </w:rPr>
      </w:pPr>
      <w:r>
        <w:rPr>
          <w:rFonts w:hint="eastAsia" w:ascii="宋体" w:hAnsi="宋体" w:cs="宋体"/>
          <w:sz w:val="24"/>
          <w:szCs w:val="24"/>
        </w:rPr>
        <w:t xml:space="preserve">（2）具有良好的商业信誉和健全的财务会计制度 </w:t>
      </w:r>
    </w:p>
    <w:p>
      <w:pPr>
        <w:spacing w:line="360" w:lineRule="auto"/>
        <w:rPr>
          <w:rFonts w:ascii="宋体" w:hAnsi="宋体" w:cs="宋体"/>
          <w:sz w:val="24"/>
          <w:szCs w:val="24"/>
        </w:rPr>
      </w:pPr>
      <w:r>
        <w:rPr>
          <w:rFonts w:hint="eastAsia" w:ascii="宋体" w:hAnsi="宋体" w:cs="宋体"/>
          <w:sz w:val="24"/>
          <w:szCs w:val="24"/>
        </w:rPr>
        <w:t xml:space="preserve">（3）具有履行合同所必需的设备和专业技术能力 </w:t>
      </w:r>
    </w:p>
    <w:p>
      <w:pPr>
        <w:spacing w:line="360" w:lineRule="auto"/>
        <w:rPr>
          <w:rFonts w:ascii="宋体" w:hAnsi="宋体" w:cs="宋体"/>
          <w:sz w:val="24"/>
          <w:szCs w:val="24"/>
        </w:rPr>
      </w:pPr>
      <w:r>
        <w:rPr>
          <w:rFonts w:hint="eastAsia" w:ascii="宋体" w:hAnsi="宋体" w:cs="宋体"/>
          <w:sz w:val="24"/>
          <w:szCs w:val="24"/>
        </w:rPr>
        <w:t>（4）有依法缴纳税收和社会保障资金的良好记录</w:t>
      </w:r>
    </w:p>
    <w:p>
      <w:pPr>
        <w:spacing w:line="360" w:lineRule="auto"/>
        <w:rPr>
          <w:rFonts w:ascii="宋体" w:hAnsi="宋体" w:cs="宋体"/>
          <w:sz w:val="24"/>
          <w:szCs w:val="24"/>
        </w:rPr>
      </w:pPr>
      <w:r>
        <w:rPr>
          <w:rFonts w:hint="eastAsia" w:ascii="宋体" w:hAnsi="宋体" w:cs="宋体"/>
          <w:sz w:val="24"/>
          <w:szCs w:val="24"/>
        </w:rPr>
        <w:t>（5）参加政府采购活动前三年内,在经营活动中没有重大违法记录</w:t>
      </w:r>
    </w:p>
    <w:p>
      <w:pPr>
        <w:spacing w:line="360" w:lineRule="auto"/>
        <w:jc w:val="left"/>
        <w:rPr>
          <w:rFonts w:ascii="宋体" w:hAnsi="宋体" w:cs="宋体"/>
          <w:sz w:val="24"/>
          <w:szCs w:val="24"/>
        </w:rPr>
      </w:pPr>
      <w:bookmarkStart w:id="12" w:name="_Toc35393623"/>
      <w:bookmarkStart w:id="13" w:name="_Toc28359081"/>
      <w:bookmarkStart w:id="14" w:name="_Toc35393792"/>
      <w:bookmarkStart w:id="15" w:name="_Toc28359004"/>
      <w:r>
        <w:rPr>
          <w:rFonts w:hint="eastAsia" w:ascii="宋体" w:hAnsi="宋体" w:cs="宋体"/>
          <w:sz w:val="24"/>
          <w:szCs w:val="24"/>
        </w:rPr>
        <w:t>（6）法律、行政法规规定的其他条件。</w:t>
      </w:r>
    </w:p>
    <w:p>
      <w:pPr>
        <w:spacing w:line="360" w:lineRule="auto"/>
        <w:rPr>
          <w:rFonts w:ascii="宋体" w:hAnsi="宋体" w:cs="宋体"/>
          <w:sz w:val="24"/>
          <w:szCs w:val="24"/>
        </w:rPr>
      </w:pPr>
      <w:r>
        <w:rPr>
          <w:rFonts w:hint="eastAsia" w:ascii="宋体" w:hAnsi="宋体" w:cs="宋体"/>
          <w:sz w:val="24"/>
          <w:szCs w:val="24"/>
        </w:rPr>
        <w:t>2.单位负责人为同一人或者存在直接控股、管理关系的不同供应商，不得参加同一合同项下的采购活动。</w:t>
      </w: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宋体" w:hAnsi="宋体" w:cs="宋体"/>
          <w:sz w:val="24"/>
          <w:szCs w:val="24"/>
        </w:rPr>
        <w:t>供应商</w:t>
      </w:r>
      <w:r>
        <w:rPr>
          <w:rFonts w:hint="eastAsia" w:asciiTheme="minorEastAsia" w:hAnsiTheme="minorEastAsia" w:eastAsiaTheme="minorEastAsia" w:cstheme="minorEastAsia"/>
          <w:sz w:val="24"/>
          <w:szCs w:val="24"/>
        </w:rPr>
        <w:t>被“信用中国”列入失信被执行人或税收违法黑名单的或被“中国政府采购网”网站列入政府采购严重违法失信行为记录名单（处罚期限尚未届满的），不得参与本项目的政府采购活动。</w:t>
      </w:r>
    </w:p>
    <w:p>
      <w:pPr>
        <w:spacing w:line="360" w:lineRule="auto"/>
        <w:rPr>
          <w:rFonts w:hint="eastAsia" w:ascii="宋体" w:hAnsi="宋体" w:cs="宋体" w:eastAsiaTheme="minorEastAsia"/>
          <w:sz w:val="24"/>
          <w:szCs w:val="24"/>
          <w:lang w:eastAsia="zh-CN"/>
        </w:rPr>
      </w:pPr>
      <w:r>
        <w:rPr>
          <w:rFonts w:hint="eastAsia" w:asciiTheme="minorEastAsia" w:hAnsiTheme="minorEastAsia" w:eastAsiaTheme="minorEastAsia" w:cstheme="minorEastAsia"/>
          <w:sz w:val="24"/>
          <w:szCs w:val="24"/>
        </w:rPr>
        <w:t>4.落实政府采购政策需满足的资格要求：如本项目采购的产品属于政府强制采购节能产品的，必须提供《节能产品政府采购品目清单》的产品。</w:t>
      </w:r>
    </w:p>
    <w:p>
      <w:pPr>
        <w:spacing w:line="360" w:lineRule="auto"/>
        <w:rPr>
          <w:rFonts w:ascii="宋体" w:hAnsi="宋体" w:cs="宋体"/>
          <w:sz w:val="24"/>
          <w:szCs w:val="24"/>
        </w:rPr>
      </w:pPr>
      <w:r>
        <w:rPr>
          <w:rFonts w:hint="eastAsia" w:ascii="宋体" w:hAnsi="宋体" w:cs="宋体"/>
          <w:sz w:val="24"/>
          <w:szCs w:val="24"/>
        </w:rPr>
        <w:t>5.本项目的特定资格要求：为本采购项目提供整体设计、规范编制或者项目管理、监理、检测等服务的，不得参加本项目的政府采购活动。</w:t>
      </w:r>
    </w:p>
    <w:p>
      <w:pPr>
        <w:spacing w:line="360" w:lineRule="auto"/>
        <w:ind w:left="482" w:hanging="482" w:hangingChars="200"/>
        <w:rPr>
          <w:rFonts w:ascii="宋体" w:hAnsi="宋体" w:cs="宋体"/>
          <w:b/>
          <w:bCs/>
          <w:sz w:val="24"/>
          <w:szCs w:val="24"/>
        </w:rPr>
      </w:pPr>
      <w:r>
        <w:rPr>
          <w:rFonts w:hint="eastAsia" w:ascii="宋体" w:hAnsi="宋体" w:cs="宋体"/>
          <w:b/>
          <w:bCs/>
          <w:sz w:val="24"/>
          <w:szCs w:val="24"/>
        </w:rPr>
        <w:t>三、获取</w:t>
      </w:r>
      <w:bookmarkEnd w:id="12"/>
      <w:bookmarkEnd w:id="13"/>
      <w:bookmarkEnd w:id="14"/>
      <w:bookmarkEnd w:id="15"/>
      <w:r>
        <w:rPr>
          <w:rFonts w:hint="eastAsia" w:ascii="宋体" w:hAnsi="宋体" w:cs="宋体"/>
          <w:b/>
          <w:bCs/>
          <w:sz w:val="24"/>
          <w:szCs w:val="24"/>
        </w:rPr>
        <w:t>谈判文件</w:t>
      </w:r>
    </w:p>
    <w:p>
      <w:pPr>
        <w:spacing w:line="360" w:lineRule="auto"/>
        <w:ind w:left="719" w:leftChars="228" w:hanging="240" w:hangingChars="100"/>
        <w:rPr>
          <w:rFonts w:ascii="宋体" w:hAnsi="宋体" w:cs="宋体"/>
          <w:sz w:val="24"/>
          <w:szCs w:val="24"/>
        </w:rPr>
      </w:pPr>
      <w:r>
        <w:rPr>
          <w:rFonts w:hint="eastAsia" w:ascii="宋体" w:hAnsi="宋体" w:cs="宋体"/>
          <w:sz w:val="24"/>
          <w:szCs w:val="24"/>
        </w:rPr>
        <w:t>时间：202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31</w:t>
      </w:r>
      <w:r>
        <w:rPr>
          <w:rFonts w:hint="eastAsia" w:ascii="宋体" w:hAnsi="宋体" w:cs="宋体"/>
          <w:sz w:val="24"/>
          <w:szCs w:val="24"/>
        </w:rPr>
        <w:t>日至202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8</w:t>
      </w:r>
      <w:r>
        <w:rPr>
          <w:rFonts w:hint="eastAsia" w:ascii="宋体" w:hAnsi="宋体" w:cs="宋体"/>
          <w:sz w:val="24"/>
          <w:szCs w:val="24"/>
        </w:rPr>
        <w:t>月</w:t>
      </w:r>
      <w:r>
        <w:rPr>
          <w:rFonts w:hint="eastAsia" w:ascii="宋体" w:hAnsi="宋体" w:cs="宋体"/>
          <w:sz w:val="24"/>
          <w:szCs w:val="24"/>
          <w:lang w:val="en-US" w:eastAsia="zh-CN"/>
        </w:rPr>
        <w:t>5</w:t>
      </w:r>
      <w:r>
        <w:rPr>
          <w:rFonts w:hint="eastAsia" w:ascii="宋体" w:hAnsi="宋体" w:cs="宋体"/>
          <w:sz w:val="24"/>
          <w:szCs w:val="24"/>
        </w:rPr>
        <w:t>日</w:t>
      </w:r>
      <w:r>
        <w:rPr>
          <w:rFonts w:hint="eastAsia" w:ascii="宋体" w:hAnsi="宋体" w:cs="宋体"/>
          <w:kern w:val="0"/>
          <w:sz w:val="24"/>
          <w:szCs w:val="24"/>
        </w:rPr>
        <w:t>；</w:t>
      </w:r>
    </w:p>
    <w:p>
      <w:pPr>
        <w:spacing w:line="360" w:lineRule="auto"/>
        <w:ind w:firstLine="540"/>
        <w:rPr>
          <w:rFonts w:ascii="宋体" w:hAnsi="宋体" w:cs="宋体"/>
          <w:sz w:val="24"/>
          <w:szCs w:val="24"/>
          <w:u w:val="single"/>
        </w:rPr>
      </w:pPr>
      <w:bookmarkStart w:id="16" w:name="_Toc28359005"/>
      <w:bookmarkStart w:id="17" w:name="_Toc28359082"/>
      <w:bookmarkStart w:id="18" w:name="_Toc35393624"/>
      <w:bookmarkStart w:id="19" w:name="_Toc20720"/>
      <w:bookmarkStart w:id="20" w:name="_Toc35393793"/>
      <w:r>
        <w:rPr>
          <w:rFonts w:hint="eastAsia" w:ascii="宋体" w:hAnsi="宋体" w:cs="宋体"/>
          <w:sz w:val="24"/>
          <w:szCs w:val="24"/>
        </w:rPr>
        <w:t>地点：江西省公共资源交易网</w:t>
      </w:r>
      <w:r>
        <w:rPr>
          <w:rFonts w:hint="eastAsia" w:ascii="宋体" w:hAnsi="宋体" w:cs="宋体"/>
          <w:bCs/>
          <w:sz w:val="24"/>
          <w:szCs w:val="24"/>
        </w:rPr>
        <w:t>（网址：</w:t>
      </w:r>
      <w:r>
        <w:rPr>
          <w:rFonts w:hint="eastAsia" w:ascii="宋体" w:hAnsi="宋体" w:cs="宋体"/>
          <w:bCs/>
          <w:sz w:val="24"/>
          <w:szCs w:val="24"/>
          <w:u w:val="single"/>
        </w:rPr>
        <w:t>http://jxsggzy.cn/web/</w:t>
      </w:r>
      <w:r>
        <w:rPr>
          <w:rFonts w:hint="eastAsia" w:ascii="宋体" w:hAnsi="宋体" w:cs="宋体"/>
          <w:bCs/>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方式：网上报名和下载谈判文件。（详见其他补充事宜）</w:t>
      </w:r>
    </w:p>
    <w:p>
      <w:pPr>
        <w:pStyle w:val="4"/>
        <w:spacing w:before="0" w:after="0" w:line="360" w:lineRule="auto"/>
        <w:rPr>
          <w:rFonts w:ascii="宋体" w:hAnsi="宋体" w:eastAsia="宋体" w:cs="宋体"/>
          <w:bCs w:val="0"/>
          <w:sz w:val="24"/>
          <w:szCs w:val="24"/>
        </w:rPr>
      </w:pPr>
      <w:r>
        <w:rPr>
          <w:rFonts w:hint="eastAsia" w:ascii="宋体" w:hAnsi="宋体" w:eastAsia="宋体" w:cs="宋体"/>
          <w:bCs w:val="0"/>
          <w:sz w:val="24"/>
          <w:szCs w:val="24"/>
        </w:rPr>
        <w:t>四、提交响应文件</w:t>
      </w:r>
      <w:bookmarkEnd w:id="16"/>
      <w:bookmarkEnd w:id="17"/>
      <w:r>
        <w:rPr>
          <w:rFonts w:hint="eastAsia" w:ascii="宋体" w:hAnsi="宋体" w:eastAsia="宋体" w:cs="宋体"/>
          <w:bCs w:val="0"/>
          <w:sz w:val="24"/>
          <w:szCs w:val="24"/>
        </w:rPr>
        <w:t>截止时间和地点</w:t>
      </w:r>
      <w:bookmarkEnd w:id="18"/>
      <w:bookmarkEnd w:id="19"/>
      <w:bookmarkEnd w:id="20"/>
    </w:p>
    <w:p>
      <w:pPr>
        <w:spacing w:line="360" w:lineRule="auto"/>
        <w:ind w:firstLine="480" w:firstLineChars="200"/>
        <w:rPr>
          <w:rFonts w:ascii="宋体" w:hAnsi="宋体" w:cs="宋体"/>
          <w:bCs/>
          <w:sz w:val="24"/>
          <w:szCs w:val="24"/>
        </w:rPr>
      </w:pPr>
      <w:r>
        <w:rPr>
          <w:rFonts w:hint="eastAsia" w:ascii="宋体" w:hAnsi="宋体" w:cs="宋体"/>
          <w:bCs/>
          <w:sz w:val="24"/>
          <w:szCs w:val="24"/>
        </w:rPr>
        <w:t>截止时间：202</w:t>
      </w:r>
      <w:r>
        <w:rPr>
          <w:rFonts w:hint="eastAsia" w:ascii="宋体" w:hAnsi="宋体" w:cs="宋体"/>
          <w:bCs/>
          <w:sz w:val="24"/>
          <w:szCs w:val="24"/>
          <w:lang w:val="en-US" w:eastAsia="zh-CN"/>
        </w:rPr>
        <w:t>4</w:t>
      </w:r>
      <w:r>
        <w:rPr>
          <w:rFonts w:hint="eastAsia" w:ascii="宋体" w:hAnsi="宋体" w:cs="宋体"/>
          <w:bCs/>
          <w:sz w:val="24"/>
          <w:szCs w:val="24"/>
        </w:rPr>
        <w:t>年</w:t>
      </w:r>
      <w:r>
        <w:rPr>
          <w:rFonts w:hint="eastAsia" w:ascii="宋体" w:hAnsi="宋体" w:cs="宋体"/>
          <w:bCs/>
          <w:sz w:val="24"/>
          <w:szCs w:val="24"/>
          <w:lang w:val="en-US" w:eastAsia="zh-CN"/>
        </w:rPr>
        <w:t>8</w:t>
      </w:r>
      <w:r>
        <w:rPr>
          <w:rFonts w:hint="eastAsia" w:ascii="宋体" w:hAnsi="宋体" w:cs="宋体"/>
          <w:bCs/>
          <w:sz w:val="24"/>
          <w:szCs w:val="24"/>
        </w:rPr>
        <w:t>月</w:t>
      </w:r>
      <w:r>
        <w:rPr>
          <w:rFonts w:hint="eastAsia" w:ascii="宋体" w:hAnsi="宋体" w:cs="宋体"/>
          <w:bCs/>
          <w:sz w:val="24"/>
          <w:szCs w:val="24"/>
          <w:lang w:val="en-US" w:eastAsia="zh-CN"/>
        </w:rPr>
        <w:t>7</w:t>
      </w:r>
      <w:r>
        <w:rPr>
          <w:rFonts w:hint="eastAsia" w:ascii="宋体" w:hAnsi="宋体" w:cs="宋体"/>
          <w:bCs/>
          <w:sz w:val="24"/>
          <w:szCs w:val="24"/>
        </w:rPr>
        <w:t>日</w:t>
      </w:r>
      <w:r>
        <w:rPr>
          <w:rFonts w:hint="eastAsia" w:ascii="宋体" w:hAnsi="宋体" w:cs="宋体"/>
          <w:bCs/>
          <w:sz w:val="24"/>
          <w:szCs w:val="24"/>
          <w:lang w:val="en-US" w:eastAsia="zh-CN"/>
        </w:rPr>
        <w:t>09</w:t>
      </w:r>
      <w:r>
        <w:rPr>
          <w:rFonts w:hint="eastAsia" w:ascii="宋体" w:hAnsi="宋体" w:cs="宋体"/>
          <w:bCs/>
          <w:sz w:val="24"/>
          <w:szCs w:val="24"/>
        </w:rPr>
        <w:t>点</w:t>
      </w:r>
      <w:r>
        <w:rPr>
          <w:rFonts w:hint="eastAsia" w:ascii="宋体" w:hAnsi="宋体" w:cs="宋体"/>
          <w:bCs/>
          <w:sz w:val="24"/>
          <w:szCs w:val="24"/>
          <w:lang w:val="en-US" w:eastAsia="zh-CN"/>
        </w:rPr>
        <w:t>0</w:t>
      </w:r>
      <w:r>
        <w:rPr>
          <w:rFonts w:hint="eastAsia" w:ascii="宋体" w:hAnsi="宋体" w:cs="宋体"/>
          <w:bCs/>
          <w:sz w:val="24"/>
          <w:szCs w:val="24"/>
        </w:rPr>
        <w:t>0分（北京时间）</w:t>
      </w:r>
    </w:p>
    <w:p>
      <w:pPr>
        <w:spacing w:line="360" w:lineRule="auto"/>
        <w:ind w:firstLine="480" w:firstLineChars="200"/>
        <w:rPr>
          <w:rFonts w:ascii="宋体" w:hAnsi="宋体" w:cs="宋体"/>
          <w:bCs/>
          <w:sz w:val="24"/>
          <w:szCs w:val="24"/>
        </w:rPr>
      </w:pPr>
      <w:r>
        <w:rPr>
          <w:rFonts w:hint="eastAsia" w:ascii="宋体" w:hAnsi="宋体" w:cs="宋体"/>
          <w:bCs/>
          <w:sz w:val="24"/>
          <w:szCs w:val="24"/>
        </w:rPr>
        <w:t>地点：</w:t>
      </w:r>
      <w:r>
        <w:rPr>
          <w:rFonts w:hint="eastAsia" w:ascii="宋体" w:hAnsi="宋体" w:cs="宋体"/>
          <w:sz w:val="24"/>
          <w:szCs w:val="24"/>
        </w:rPr>
        <w:t>江西省南昌市东湖区省府西二路3号发改委综合楼</w:t>
      </w:r>
      <w:r>
        <w:rPr>
          <w:rFonts w:hint="eastAsia" w:ascii="宋体" w:hAnsi="宋体" w:cs="宋体"/>
          <w:sz w:val="24"/>
          <w:szCs w:val="24"/>
          <w:lang w:val="en-US" w:eastAsia="zh-CN"/>
        </w:rPr>
        <w:t>7</w:t>
      </w:r>
      <w:r>
        <w:rPr>
          <w:rFonts w:hint="eastAsia" w:ascii="宋体" w:hAnsi="宋体" w:cs="宋体"/>
          <w:sz w:val="24"/>
          <w:szCs w:val="24"/>
        </w:rPr>
        <w:t>号竞谈(磋)室(</w:t>
      </w:r>
      <w:r>
        <w:rPr>
          <w:rFonts w:hint="eastAsia" w:ascii="宋体" w:hAnsi="宋体" w:cs="宋体"/>
          <w:sz w:val="24"/>
          <w:szCs w:val="24"/>
          <w:lang w:val="en-US" w:eastAsia="zh-CN"/>
        </w:rPr>
        <w:t>7</w:t>
      </w:r>
      <w:r>
        <w:rPr>
          <w:rFonts w:hint="eastAsia" w:ascii="宋体" w:hAnsi="宋体" w:cs="宋体"/>
          <w:sz w:val="24"/>
          <w:szCs w:val="24"/>
        </w:rPr>
        <w:t>楼</w:t>
      </w:r>
      <w:r>
        <w:rPr>
          <w:rFonts w:hint="eastAsia" w:ascii="宋体" w:hAnsi="宋体" w:cs="宋体"/>
          <w:sz w:val="24"/>
          <w:szCs w:val="24"/>
          <w:lang w:val="en-US" w:eastAsia="zh-CN"/>
        </w:rPr>
        <w:t>703</w:t>
      </w:r>
      <w:r>
        <w:rPr>
          <w:rFonts w:hint="eastAsia" w:ascii="宋体" w:hAnsi="宋体" w:cs="宋体"/>
          <w:sz w:val="24"/>
          <w:szCs w:val="24"/>
        </w:rPr>
        <w:t>号)</w:t>
      </w:r>
    </w:p>
    <w:p>
      <w:pPr>
        <w:pStyle w:val="4"/>
        <w:spacing w:before="0" w:after="0" w:line="360" w:lineRule="auto"/>
        <w:rPr>
          <w:rFonts w:ascii="宋体" w:hAnsi="宋体" w:eastAsia="宋体" w:cs="宋体"/>
          <w:bCs w:val="0"/>
          <w:sz w:val="24"/>
          <w:szCs w:val="24"/>
        </w:rPr>
      </w:pPr>
      <w:bookmarkStart w:id="21" w:name="_Toc12960"/>
      <w:bookmarkStart w:id="22" w:name="_Toc35393794"/>
      <w:bookmarkStart w:id="23" w:name="_Toc35393625"/>
      <w:bookmarkStart w:id="24" w:name="_Toc28359084"/>
      <w:bookmarkStart w:id="25" w:name="_Toc28359007"/>
      <w:r>
        <w:rPr>
          <w:rFonts w:hint="eastAsia" w:ascii="宋体" w:hAnsi="宋体" w:eastAsia="宋体" w:cs="宋体"/>
          <w:bCs w:val="0"/>
          <w:sz w:val="24"/>
          <w:szCs w:val="24"/>
        </w:rPr>
        <w:t>五、公告期限</w:t>
      </w:r>
      <w:bookmarkEnd w:id="21"/>
      <w:bookmarkEnd w:id="22"/>
      <w:bookmarkEnd w:id="23"/>
      <w:bookmarkEnd w:id="24"/>
      <w:bookmarkEnd w:id="25"/>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自本公告发布之日起</w:t>
      </w:r>
      <w:r>
        <w:rPr>
          <w:rFonts w:hint="eastAsia" w:ascii="宋体" w:hAnsi="宋体" w:cs="宋体"/>
          <w:kern w:val="0"/>
          <w:sz w:val="24"/>
          <w:szCs w:val="24"/>
          <w:u w:val="single"/>
        </w:rPr>
        <w:t>3</w:t>
      </w:r>
      <w:r>
        <w:rPr>
          <w:rFonts w:hint="eastAsia" w:ascii="宋体" w:hAnsi="宋体" w:cs="宋体"/>
          <w:kern w:val="0"/>
          <w:sz w:val="24"/>
          <w:szCs w:val="24"/>
        </w:rPr>
        <w:t>个工作日。</w:t>
      </w:r>
    </w:p>
    <w:p>
      <w:pPr>
        <w:pStyle w:val="4"/>
        <w:spacing w:before="0" w:after="0" w:line="360" w:lineRule="auto"/>
        <w:rPr>
          <w:rFonts w:ascii="宋体" w:hAnsi="宋体" w:eastAsia="宋体" w:cs="宋体"/>
          <w:bCs w:val="0"/>
          <w:sz w:val="24"/>
          <w:szCs w:val="24"/>
        </w:rPr>
      </w:pPr>
      <w:bookmarkStart w:id="26" w:name="_Toc10090"/>
      <w:bookmarkStart w:id="27" w:name="_Toc35393795"/>
      <w:bookmarkStart w:id="28" w:name="_Toc35393626"/>
      <w:r>
        <w:rPr>
          <w:rFonts w:hint="eastAsia" w:ascii="宋体" w:hAnsi="宋体" w:eastAsia="宋体" w:cs="宋体"/>
          <w:bCs w:val="0"/>
          <w:sz w:val="24"/>
          <w:szCs w:val="24"/>
        </w:rPr>
        <w:t>六、其他补充事宜</w:t>
      </w:r>
      <w:bookmarkEnd w:id="26"/>
      <w:bookmarkEnd w:id="27"/>
      <w:bookmarkEnd w:id="28"/>
    </w:p>
    <w:p>
      <w:pPr>
        <w:spacing w:line="360" w:lineRule="auto"/>
        <w:ind w:firstLine="480" w:firstLineChars="200"/>
        <w:rPr>
          <w:rFonts w:ascii="宋体" w:hAnsi="宋体" w:cs="宋体"/>
          <w:sz w:val="24"/>
          <w:szCs w:val="24"/>
        </w:rPr>
      </w:pPr>
      <w:bookmarkStart w:id="29" w:name="_Toc28359085"/>
      <w:bookmarkStart w:id="30" w:name="_Toc28359008"/>
      <w:bookmarkStart w:id="31" w:name="_Toc25456"/>
      <w:bookmarkStart w:id="32" w:name="_Toc35393627"/>
      <w:bookmarkStart w:id="33" w:name="_Toc35393796"/>
      <w:r>
        <w:rPr>
          <w:rFonts w:hint="eastAsia" w:ascii="宋体" w:hAnsi="宋体" w:cs="宋体"/>
          <w:sz w:val="24"/>
          <w:szCs w:val="24"/>
        </w:rPr>
        <w:t>1、潜在供应商须在江西省公共资源交易网（网址：http://jxsggzy.cn/web/）注册并办理江西省CA数字证书和电子签章。具体要求详见“江西省政府采购网”（网址：http://www.ccgp-jiangxi.gov.cn/web/）。“潜在供应商未使用CA数字证书在江西省公共资源交易系统下载谈判文件的，视为未报名，不得参加本项目的谈判活动。”</w:t>
      </w:r>
      <w:r>
        <w:rPr>
          <w:rFonts w:hint="eastAsia" w:ascii="宋体" w:hAnsi="宋体" w:cs="宋体"/>
          <w:b/>
          <w:bCs/>
          <w:sz w:val="24"/>
          <w:szCs w:val="24"/>
        </w:rPr>
        <w:t>如未办理，导致项目无法正常进行的后果自行承担；</w:t>
      </w:r>
    </w:p>
    <w:p>
      <w:pPr>
        <w:spacing w:line="360" w:lineRule="auto"/>
        <w:ind w:firstLine="480" w:firstLineChars="200"/>
        <w:rPr>
          <w:rFonts w:ascii="宋体" w:hAnsi="宋体" w:cs="宋体"/>
          <w:sz w:val="24"/>
          <w:szCs w:val="24"/>
        </w:rPr>
      </w:pPr>
      <w:r>
        <w:rPr>
          <w:rFonts w:hint="eastAsia" w:ascii="宋体" w:hAnsi="宋体" w:cs="宋体"/>
          <w:sz w:val="24"/>
          <w:szCs w:val="24"/>
        </w:rPr>
        <w:t>2、本项目采购国内产品，不允许提供进口产品参与采购活动；</w:t>
      </w:r>
    </w:p>
    <w:p>
      <w:pPr>
        <w:spacing w:line="400" w:lineRule="exact"/>
        <w:ind w:firstLine="480" w:firstLineChars="200"/>
        <w:jc w:val="left"/>
        <w:rPr>
          <w:rFonts w:ascii="宋体" w:hAnsi="宋体" w:cs="仿宋"/>
          <w:b/>
          <w:bCs/>
          <w:color w:val="0D0D0D"/>
          <w:sz w:val="24"/>
          <w:szCs w:val="24"/>
        </w:rPr>
      </w:pPr>
      <w:r>
        <w:rPr>
          <w:rFonts w:hint="eastAsia" w:ascii="宋体" w:hAnsi="宋体" w:cs="仿宋"/>
          <w:color w:val="0D0D0D"/>
          <w:sz w:val="24"/>
          <w:szCs w:val="24"/>
        </w:rPr>
        <w:t>3、</w:t>
      </w:r>
      <w:r>
        <w:rPr>
          <w:rFonts w:hint="eastAsia" w:ascii="宋体" w:hAnsi="宋体" w:cs="宋体"/>
          <w:sz w:val="24"/>
          <w:szCs w:val="24"/>
        </w:rPr>
        <w:t>本项目是（否）专门面向中小企业采购：否</w:t>
      </w:r>
    </w:p>
    <w:bookmarkEnd w:id="29"/>
    <w:bookmarkEnd w:id="30"/>
    <w:bookmarkEnd w:id="31"/>
    <w:bookmarkEnd w:id="32"/>
    <w:bookmarkEnd w:id="33"/>
    <w:p>
      <w:pPr>
        <w:spacing w:line="400" w:lineRule="exact"/>
        <w:ind w:firstLine="482" w:firstLineChars="200"/>
        <w:jc w:val="left"/>
        <w:rPr>
          <w:rFonts w:hint="eastAsia" w:ascii="宋体" w:hAnsi="宋体" w:eastAsia="宋体" w:cs="宋体"/>
          <w:sz w:val="24"/>
          <w:szCs w:val="24"/>
          <w:highlight w:val="none"/>
          <w:lang w:eastAsia="zh-CN"/>
        </w:rPr>
      </w:pPr>
      <w:r>
        <w:rPr>
          <w:rFonts w:hint="eastAsia" w:ascii="宋体" w:hAnsi="宋体" w:cs="仿宋"/>
          <w:b/>
          <w:bCs/>
          <w:color w:val="0D0D0D"/>
          <w:sz w:val="24"/>
          <w:szCs w:val="24"/>
        </w:rPr>
        <w:t>4、</w:t>
      </w:r>
      <w:r>
        <w:rPr>
          <w:rFonts w:hint="eastAsia" w:ascii="宋体" w:hAnsi="宋体" w:cs="仿宋"/>
          <w:b/>
          <w:bCs/>
          <w:sz w:val="24"/>
          <w:szCs w:val="24"/>
        </w:rPr>
        <w:t>本项目采</w:t>
      </w:r>
      <w:r>
        <w:rPr>
          <w:rFonts w:hint="eastAsia" w:ascii="宋体" w:hAnsi="宋体" w:cs="仿宋"/>
          <w:b/>
          <w:bCs/>
          <w:color w:val="0D0D0D"/>
          <w:sz w:val="24"/>
          <w:szCs w:val="24"/>
        </w:rPr>
        <w:t>用电子化谈判模式，加盖电子签章的电子版响应文件必须在提交响应文件截止时间前上传到江西省公共资源交易网；</w:t>
      </w:r>
    </w:p>
    <w:p>
      <w:pPr>
        <w:spacing w:line="360" w:lineRule="auto"/>
        <w:ind w:firstLine="482" w:firstLineChars="200"/>
        <w:jc w:val="left"/>
        <w:rPr>
          <w:rFonts w:hint="eastAsia" w:ascii="宋体" w:hAnsi="宋体" w:eastAsia="宋体" w:cs="仿宋"/>
          <w:b/>
          <w:bCs/>
          <w:sz w:val="24"/>
          <w:szCs w:val="24"/>
        </w:rPr>
      </w:pPr>
      <w:r>
        <w:rPr>
          <w:rFonts w:hint="eastAsia" w:ascii="宋体" w:hAnsi="宋体" w:cs="仿宋"/>
          <w:b/>
          <w:bCs/>
          <w:sz w:val="24"/>
          <w:szCs w:val="24"/>
        </w:rPr>
        <w:t>5、</w:t>
      </w:r>
      <w:r>
        <w:rPr>
          <w:rFonts w:hint="eastAsia" w:ascii="宋体" w:hAnsi="宋体" w:eastAsia="宋体" w:cs="仿宋"/>
          <w:b/>
          <w:bCs/>
          <w:sz w:val="24"/>
          <w:szCs w:val="24"/>
        </w:rPr>
        <w:t>本项目采用电子化谈判模式，谈判现场不提供网络环境，请供应商自行搭建网络环境进入系统操作，并提前在笔记本电脑下载安装驱动。各供应商需</w:t>
      </w:r>
      <w:r>
        <w:rPr>
          <w:rFonts w:hint="eastAsia" w:ascii="宋体" w:hAnsi="宋体" w:eastAsia="宋体" w:cs="仿宋"/>
          <w:b/>
          <w:bCs/>
          <w:sz w:val="24"/>
          <w:szCs w:val="24"/>
          <w:lang w:val="en-US" w:eastAsia="zh-CN"/>
        </w:rPr>
        <w:t>在系统上</w:t>
      </w:r>
      <w:r>
        <w:rPr>
          <w:rFonts w:hint="eastAsia" w:ascii="宋体" w:hAnsi="宋体" w:eastAsia="宋体" w:cs="仿宋"/>
          <w:b/>
          <w:bCs/>
          <w:sz w:val="24"/>
          <w:szCs w:val="24"/>
        </w:rPr>
        <w:t>报价，二次报价时间为20分钟，20分钟内未完成二次报价的，视为退出谈判。</w:t>
      </w:r>
    </w:p>
    <w:p>
      <w:pPr>
        <w:spacing w:line="360" w:lineRule="auto"/>
        <w:ind w:firstLine="482" w:firstLineChars="200"/>
        <w:jc w:val="left"/>
        <w:rPr>
          <w:rFonts w:ascii="宋体" w:hAnsi="宋体" w:cs="仿宋"/>
          <w:b/>
          <w:bCs/>
          <w:sz w:val="24"/>
          <w:szCs w:val="24"/>
        </w:rPr>
      </w:pPr>
      <w:r>
        <w:rPr>
          <w:rFonts w:hint="eastAsia" w:ascii="宋体" w:hAnsi="宋体" w:cs="仿宋"/>
          <w:b/>
          <w:bCs/>
          <w:sz w:val="24"/>
          <w:szCs w:val="24"/>
          <w:lang w:val="en-US" w:eastAsia="zh-CN"/>
        </w:rPr>
        <w:t>6、</w:t>
      </w:r>
      <w:r>
        <w:rPr>
          <w:rFonts w:hint="eastAsia" w:ascii="宋体" w:hAnsi="宋体" w:cs="仿宋"/>
          <w:b/>
          <w:bCs/>
          <w:sz w:val="24"/>
          <w:szCs w:val="24"/>
        </w:rPr>
        <w:t>本项目采用“不见面开标”系统开标，投标人应在开标截止时间前1小时进入江西省公共资源交易网-不见面开标大厅进行线上签到（具体详见投标人操作手册），否则无法进入后续的开标环节。具体注意事项详见招标文件第二章。</w:t>
      </w:r>
    </w:p>
    <w:p>
      <w:pPr>
        <w:pStyle w:val="4"/>
        <w:spacing w:before="0" w:after="0" w:line="360" w:lineRule="auto"/>
        <w:ind w:firstLine="482" w:firstLineChars="200"/>
        <w:rPr>
          <w:rFonts w:ascii="宋体" w:hAnsi="宋体" w:eastAsia="宋体" w:cs="宋体"/>
          <w:bCs w:val="0"/>
          <w:sz w:val="24"/>
          <w:szCs w:val="24"/>
        </w:rPr>
      </w:pPr>
      <w:r>
        <w:rPr>
          <w:rFonts w:hint="eastAsia" w:ascii="宋体" w:hAnsi="宋体" w:eastAsia="宋体" w:cs="仿宋"/>
          <w:b/>
          <w:bCs/>
          <w:sz w:val="24"/>
          <w:szCs w:val="24"/>
          <w:lang w:val="en-US" w:eastAsia="zh-CN"/>
        </w:rPr>
        <w:t>7、</w:t>
      </w:r>
      <w:r>
        <w:rPr>
          <w:rFonts w:hint="eastAsia" w:ascii="宋体" w:hAnsi="宋体" w:eastAsia="宋体" w:cs="仿宋"/>
          <w:b/>
          <w:bCs/>
          <w:sz w:val="24"/>
          <w:szCs w:val="24"/>
        </w:rPr>
        <w:t>投标人应仔细阅读江西省公共资源交易网（ https://www.jxsggzy.cn/web/）有关不见面开标的内容，如有疑问请联系新点工作人员，联系电话：400-998-0000。</w:t>
      </w:r>
    </w:p>
    <w:p>
      <w:pPr>
        <w:widowControl/>
        <w:spacing w:line="360" w:lineRule="auto"/>
        <w:ind w:firstLine="720" w:firstLineChars="300"/>
        <w:jc w:val="left"/>
        <w:rPr>
          <w:rFonts w:ascii="宋体" w:hAnsi="宋体" w:cs="宋体"/>
          <w:sz w:val="24"/>
          <w:szCs w:val="24"/>
          <w:highlight w:val="none"/>
        </w:rPr>
      </w:pPr>
      <w:r>
        <w:rPr>
          <w:rFonts w:hint="eastAsia" w:ascii="宋体" w:hAnsi="宋体" w:cs="宋体"/>
          <w:sz w:val="24"/>
          <w:szCs w:val="24"/>
          <w:highlight w:val="none"/>
        </w:rPr>
        <w:t>1.采购人信息</w:t>
      </w:r>
    </w:p>
    <w:p>
      <w:pPr>
        <w:spacing w:line="360" w:lineRule="auto"/>
        <w:ind w:left="1079" w:leftChars="371" w:hanging="300" w:hangingChars="125"/>
        <w:jc w:val="left"/>
        <w:rPr>
          <w:rFonts w:ascii="宋体" w:hAnsi="宋体" w:cs="宋体"/>
          <w:sz w:val="24"/>
          <w:szCs w:val="24"/>
          <w:highlight w:val="none"/>
        </w:rPr>
      </w:pPr>
      <w:r>
        <w:rPr>
          <w:rFonts w:hint="eastAsia" w:ascii="宋体" w:hAnsi="宋体" w:cs="宋体"/>
          <w:sz w:val="24"/>
          <w:szCs w:val="24"/>
          <w:highlight w:val="none"/>
        </w:rPr>
        <w:t>名 称：</w:t>
      </w:r>
      <w:r>
        <w:rPr>
          <w:rFonts w:hint="eastAsia" w:ascii="宋体" w:hAnsi="宋体" w:cs="宋体"/>
          <w:bCs/>
          <w:sz w:val="24"/>
          <w:szCs w:val="24"/>
          <w:highlight w:val="none"/>
        </w:rPr>
        <w:t>江西旅游商贸职业学院</w:t>
      </w:r>
    </w:p>
    <w:p>
      <w:pPr>
        <w:spacing w:line="360" w:lineRule="auto"/>
        <w:ind w:left="1079" w:leftChars="371" w:hanging="300" w:hangingChars="125"/>
        <w:jc w:val="left"/>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bCs/>
          <w:sz w:val="24"/>
          <w:szCs w:val="24"/>
          <w:highlight w:val="none"/>
        </w:rPr>
        <w:t>南昌市经济开发区丁香路1号</w:t>
      </w:r>
    </w:p>
    <w:p>
      <w:pPr>
        <w:spacing w:line="360" w:lineRule="auto"/>
        <w:ind w:left="1079" w:leftChars="371" w:hanging="300" w:hangingChars="125"/>
        <w:jc w:val="left"/>
        <w:rPr>
          <w:rFonts w:hint="default" w:ascii="宋体" w:hAnsi="宋体" w:eastAsia="宋体" w:cs="宋体"/>
          <w:sz w:val="24"/>
          <w:szCs w:val="24"/>
          <w:highlight w:val="yellow"/>
          <w:lang w:val="en-US" w:eastAsia="zh-CN"/>
        </w:rPr>
      </w:pPr>
      <w:bookmarkStart w:id="34" w:name="_Toc28359086"/>
      <w:bookmarkStart w:id="35" w:name="_Toc28359009"/>
      <w:r>
        <w:rPr>
          <w:rFonts w:hint="eastAsia" w:ascii="宋体" w:hAnsi="宋体" w:eastAsia="宋体" w:cs="宋体"/>
          <w:sz w:val="24"/>
          <w:szCs w:val="24"/>
        </w:rPr>
        <w:t>联系方式：</w:t>
      </w:r>
      <w:r>
        <w:rPr>
          <w:rFonts w:hint="eastAsia" w:ascii="宋体" w:hAnsi="宋体" w:eastAsia="宋体" w:cs="宋体"/>
          <w:sz w:val="24"/>
          <w:szCs w:val="24"/>
          <w:lang w:val="en-US" w:eastAsia="zh-CN"/>
        </w:rPr>
        <w:t>龚老师 0791-83771972</w:t>
      </w:r>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2.采购代理机构信息</w:t>
      </w:r>
      <w:bookmarkEnd w:id="34"/>
      <w:bookmarkEnd w:id="35"/>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名 称： 江西省机电设备招标有限公司</w:t>
      </w:r>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地　址： 江西省南昌市东湖区省政府大院北二路92号（咨询大厦）</w:t>
      </w:r>
    </w:p>
    <w:p>
      <w:pPr>
        <w:spacing w:line="360" w:lineRule="auto"/>
        <w:ind w:firstLine="720" w:firstLineChars="300"/>
        <w:rPr>
          <w:rFonts w:ascii="宋体" w:hAnsi="宋体" w:cs="宋体"/>
          <w:sz w:val="24"/>
          <w:szCs w:val="24"/>
        </w:rPr>
      </w:pPr>
      <w:bookmarkStart w:id="36" w:name="_Toc28359087"/>
      <w:bookmarkStart w:id="37" w:name="_Toc28359010"/>
      <w:r>
        <w:rPr>
          <w:rFonts w:hint="eastAsia" w:ascii="宋体" w:hAnsi="宋体" w:cs="宋体"/>
          <w:sz w:val="24"/>
          <w:szCs w:val="24"/>
        </w:rPr>
        <w:t>电子函件：jzzc@jxzxtz.com</w:t>
      </w:r>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3.项目联系方式</w:t>
      </w:r>
      <w:bookmarkEnd w:id="36"/>
      <w:bookmarkEnd w:id="37"/>
    </w:p>
    <w:p>
      <w:pPr>
        <w:spacing w:line="360" w:lineRule="auto"/>
        <w:ind w:firstLine="720" w:firstLineChars="300"/>
        <w:rPr>
          <w:rFonts w:hint="eastAsia" w:ascii="宋体" w:hAnsi="宋体" w:eastAsia="宋体" w:cs="宋体"/>
          <w:sz w:val="24"/>
          <w:szCs w:val="24"/>
          <w:lang w:eastAsia="zh-CN"/>
        </w:rPr>
      </w:pPr>
      <w:r>
        <w:rPr>
          <w:rFonts w:hint="eastAsia" w:ascii="宋体" w:hAnsi="宋体" w:eastAsia="宋体" w:cs="宋体"/>
          <w:sz w:val="24"/>
          <w:szCs w:val="24"/>
        </w:rPr>
        <w:t>项目联系人：</w:t>
      </w:r>
      <w:r>
        <w:rPr>
          <w:rFonts w:hint="eastAsia" w:ascii="宋体" w:hAnsi="宋体" w:cs="宋体"/>
          <w:sz w:val="24"/>
          <w:szCs w:val="24"/>
          <w:lang w:val="en-US" w:eastAsia="zh-CN"/>
        </w:rPr>
        <w:t>任沛菘</w:t>
      </w:r>
    </w:p>
    <w:p>
      <w:pPr>
        <w:spacing w:line="360" w:lineRule="auto"/>
        <w:ind w:firstLine="720" w:firstLineChars="300"/>
        <w:rPr>
          <w:rFonts w:cs="仿宋" w:asciiTheme="minorEastAsia" w:hAnsiTheme="minorEastAsia" w:eastAsiaTheme="minorEastAsia"/>
          <w:sz w:val="24"/>
          <w:szCs w:val="24"/>
          <w:u w:val="single"/>
        </w:rPr>
      </w:pPr>
      <w:r>
        <w:rPr>
          <w:rFonts w:hint="eastAsia" w:ascii="宋体" w:hAnsi="宋体" w:eastAsia="宋体" w:cs="宋体"/>
          <w:sz w:val="24"/>
          <w:szCs w:val="24"/>
        </w:rPr>
        <w:t>电　话：0791-86270385</w:t>
      </w: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7"/>
        <w:ind w:left="0" w:leftChars="0" w:firstLine="0" w:firstLineChars="0"/>
        <w:rPr>
          <w:rFonts w:ascii="宋体" w:hAnsi="宋体" w:cs="宋体"/>
        </w:rPr>
      </w:pPr>
    </w:p>
    <w:p>
      <w:pPr>
        <w:pStyle w:val="19"/>
        <w:ind w:firstLine="210"/>
        <w:rPr>
          <w:rFonts w:ascii="宋体" w:hAnsi="宋体" w:cs="宋体"/>
        </w:rPr>
      </w:pPr>
    </w:p>
    <w:p>
      <w:pPr>
        <w:pStyle w:val="3"/>
        <w:numPr>
          <w:ilvl w:val="0"/>
          <w:numId w:val="1"/>
        </w:numPr>
        <w:jc w:val="center"/>
        <w:rPr>
          <w:rFonts w:hAnsi="宋体" w:cs="宋体"/>
          <w:b/>
          <w:bCs/>
          <w:sz w:val="32"/>
        </w:rPr>
      </w:pPr>
      <w:bookmarkStart w:id="38" w:name="_Toc501638121"/>
      <w:r>
        <w:rPr>
          <w:rFonts w:hint="eastAsia" w:hAnsi="宋体" w:cs="宋体"/>
          <w:b/>
          <w:bCs/>
          <w:sz w:val="32"/>
        </w:rPr>
        <w:t>供应商须知</w:t>
      </w:r>
      <w:bookmarkEnd w:id="38"/>
    </w:p>
    <w:p>
      <w:pPr>
        <w:rPr>
          <w:rFonts w:ascii="宋体" w:hAnsi="宋体" w:cs="宋体"/>
        </w:rPr>
      </w:pPr>
    </w:p>
    <w:p>
      <w:pPr>
        <w:pStyle w:val="4"/>
        <w:numPr>
          <w:ilvl w:val="0"/>
          <w:numId w:val="2"/>
        </w:numPr>
        <w:spacing w:before="0" w:after="0" w:line="240" w:lineRule="auto"/>
        <w:rPr>
          <w:rFonts w:ascii="宋体" w:hAnsi="宋体" w:eastAsia="宋体" w:cs="宋体"/>
          <w:sz w:val="28"/>
          <w:szCs w:val="28"/>
        </w:rPr>
      </w:pPr>
      <w:bookmarkStart w:id="39" w:name="_Toc220257383"/>
      <w:bookmarkStart w:id="40" w:name="_Toc221335709"/>
      <w:bookmarkStart w:id="41" w:name="_Toc220403898"/>
      <w:bookmarkStart w:id="42" w:name="_Toc501638122"/>
      <w:r>
        <w:rPr>
          <w:rFonts w:hint="eastAsia" w:ascii="宋体" w:hAnsi="宋体" w:eastAsia="宋体" w:cs="宋体"/>
          <w:sz w:val="28"/>
          <w:szCs w:val="28"/>
        </w:rPr>
        <w:t>供应商须知前附表</w:t>
      </w:r>
      <w:bookmarkEnd w:id="39"/>
      <w:bookmarkEnd w:id="40"/>
      <w:bookmarkEnd w:id="41"/>
      <w:bookmarkEnd w:id="42"/>
    </w:p>
    <w:tbl>
      <w:tblPr>
        <w:tblStyle w:val="20"/>
        <w:tblW w:w="10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560"/>
        <w:gridCol w:w="2562"/>
        <w:gridCol w:w="2562"/>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79" w:type="dxa"/>
            <w:vAlign w:val="center"/>
          </w:tcPr>
          <w:p>
            <w:pPr>
              <w:spacing w:line="460" w:lineRule="exact"/>
              <w:rPr>
                <w:rFonts w:ascii="宋体" w:hAnsi="宋体" w:cs="宋体"/>
                <w:b/>
                <w:bCs/>
                <w:sz w:val="24"/>
                <w:szCs w:val="24"/>
              </w:rPr>
            </w:pPr>
            <w:r>
              <w:rPr>
                <w:rFonts w:hint="eastAsia" w:ascii="宋体" w:hAnsi="宋体" w:cs="宋体"/>
                <w:b/>
                <w:bCs/>
                <w:sz w:val="24"/>
                <w:szCs w:val="24"/>
              </w:rPr>
              <w:t>序号</w:t>
            </w:r>
          </w:p>
        </w:tc>
        <w:tc>
          <w:tcPr>
            <w:tcW w:w="1560" w:type="dxa"/>
            <w:vAlign w:val="center"/>
          </w:tcPr>
          <w:p>
            <w:pPr>
              <w:spacing w:line="460" w:lineRule="exact"/>
              <w:rPr>
                <w:rFonts w:ascii="宋体" w:hAnsi="宋体" w:cs="宋体"/>
                <w:b/>
                <w:bCs/>
                <w:sz w:val="24"/>
                <w:szCs w:val="24"/>
              </w:rPr>
            </w:pPr>
            <w:r>
              <w:rPr>
                <w:rFonts w:hint="eastAsia" w:ascii="宋体" w:hAnsi="宋体" w:cs="宋体"/>
                <w:b/>
                <w:bCs/>
                <w:sz w:val="24"/>
                <w:szCs w:val="24"/>
              </w:rPr>
              <w:t>条款号</w:t>
            </w:r>
          </w:p>
        </w:tc>
        <w:tc>
          <w:tcPr>
            <w:tcW w:w="7702" w:type="dxa"/>
            <w:gridSpan w:val="3"/>
            <w:vAlign w:val="center"/>
          </w:tcPr>
          <w:p>
            <w:pPr>
              <w:spacing w:line="460" w:lineRule="exact"/>
              <w:rPr>
                <w:rFonts w:ascii="宋体" w:hAnsi="宋体" w:cs="宋体"/>
                <w:b/>
                <w:bCs/>
                <w:sz w:val="24"/>
                <w:szCs w:val="24"/>
              </w:rPr>
            </w:pPr>
            <w:r>
              <w:rPr>
                <w:rFonts w:hint="eastAsia" w:ascii="宋体" w:hAnsi="宋体" w:cs="宋体"/>
                <w:b/>
                <w:bCs/>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w:t>
            </w:r>
          </w:p>
        </w:tc>
        <w:tc>
          <w:tcPr>
            <w:tcW w:w="7702" w:type="dxa"/>
            <w:gridSpan w:val="3"/>
            <w:vAlign w:val="center"/>
          </w:tcPr>
          <w:p>
            <w:pPr>
              <w:spacing w:line="460" w:lineRule="exact"/>
              <w:ind w:left="180" w:hanging="180"/>
              <w:rPr>
                <w:rFonts w:ascii="宋体" w:hAnsi="宋体" w:cs="宋体"/>
                <w:sz w:val="24"/>
                <w:szCs w:val="24"/>
              </w:rPr>
            </w:pPr>
            <w:r>
              <w:rPr>
                <w:rFonts w:hint="eastAsia" w:ascii="宋体" w:hAnsi="宋体" w:cs="宋体"/>
                <w:sz w:val="24"/>
                <w:szCs w:val="24"/>
              </w:rPr>
              <w:t>项目名称及项目编号：详见“第一章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2</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2.1</w:t>
            </w:r>
          </w:p>
        </w:tc>
        <w:tc>
          <w:tcPr>
            <w:tcW w:w="7702" w:type="dxa"/>
            <w:gridSpan w:val="3"/>
            <w:vAlign w:val="center"/>
          </w:tcPr>
          <w:p>
            <w:pPr>
              <w:spacing w:line="460" w:lineRule="exact"/>
              <w:rPr>
                <w:rFonts w:ascii="宋体" w:hAnsi="宋体" w:cs="宋体"/>
                <w:sz w:val="24"/>
                <w:szCs w:val="24"/>
              </w:rPr>
            </w:pPr>
            <w:r>
              <w:rPr>
                <w:rFonts w:hint="eastAsia" w:ascii="宋体" w:hAnsi="宋体" w:cs="宋体"/>
                <w:sz w:val="24"/>
                <w:szCs w:val="24"/>
              </w:rPr>
              <w:t>采购人名称：详见“第一章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3</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2.2</w:t>
            </w:r>
          </w:p>
        </w:tc>
        <w:tc>
          <w:tcPr>
            <w:tcW w:w="7702" w:type="dxa"/>
            <w:gridSpan w:val="3"/>
            <w:vAlign w:val="center"/>
          </w:tcPr>
          <w:p>
            <w:pPr>
              <w:spacing w:line="460" w:lineRule="exact"/>
              <w:rPr>
                <w:rFonts w:ascii="宋体" w:hAnsi="宋体" w:cs="宋体"/>
                <w:sz w:val="24"/>
                <w:szCs w:val="24"/>
              </w:rPr>
            </w:pPr>
            <w:r>
              <w:rPr>
                <w:rFonts w:hint="eastAsia" w:ascii="宋体" w:hAnsi="宋体" w:cs="宋体"/>
                <w:sz w:val="24"/>
                <w:szCs w:val="24"/>
              </w:rPr>
              <w:t>采购代理机构名称：详见“第一章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4</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3.2.1</w:t>
            </w:r>
          </w:p>
        </w:tc>
        <w:tc>
          <w:tcPr>
            <w:tcW w:w="7702" w:type="dxa"/>
            <w:gridSpan w:val="3"/>
            <w:vAlign w:val="center"/>
          </w:tcPr>
          <w:p>
            <w:pPr>
              <w:spacing w:before="120" w:beforeLines="50" w:line="460" w:lineRule="exact"/>
              <w:rPr>
                <w:rFonts w:ascii="宋体" w:hAnsi="宋体" w:cs="宋体"/>
                <w:sz w:val="24"/>
                <w:szCs w:val="24"/>
              </w:rPr>
            </w:pPr>
            <w:r>
              <w:rPr>
                <w:rFonts w:hint="eastAsia" w:ascii="宋体" w:hAnsi="宋体" w:cs="宋体"/>
                <w:sz w:val="24"/>
              </w:rPr>
              <w:t>本项目是否接受联合体参加谈判：</w:t>
            </w:r>
            <w:r>
              <w:rPr>
                <w:rFonts w:hint="eastAsia" w:ascii="宋体" w:hAnsi="宋体" w:cs="宋体"/>
                <w:sz w:val="24"/>
                <w:szCs w:val="24"/>
              </w:rPr>
              <w:t>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5</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8</w:t>
            </w:r>
          </w:p>
        </w:tc>
        <w:tc>
          <w:tcPr>
            <w:tcW w:w="7702" w:type="dxa"/>
            <w:gridSpan w:val="3"/>
            <w:vAlign w:val="center"/>
          </w:tcPr>
          <w:p>
            <w:pPr>
              <w:spacing w:before="120" w:beforeLines="50" w:line="460" w:lineRule="exact"/>
              <w:rPr>
                <w:rFonts w:ascii="宋体" w:hAnsi="宋体" w:cs="宋体"/>
                <w:b/>
                <w:sz w:val="24"/>
              </w:rPr>
            </w:pPr>
            <w:r>
              <w:rPr>
                <w:rFonts w:hint="eastAsia" w:ascii="宋体" w:hAnsi="宋体" w:cs="宋体"/>
                <w:b/>
                <w:sz w:val="24"/>
              </w:rPr>
              <w:t>供应商应当提交的资格、资信证明文件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6</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9</w:t>
            </w:r>
          </w:p>
        </w:tc>
        <w:tc>
          <w:tcPr>
            <w:tcW w:w="7702" w:type="dxa"/>
            <w:gridSpan w:val="3"/>
          </w:tcPr>
          <w:p>
            <w:pPr>
              <w:spacing w:line="420" w:lineRule="exact"/>
              <w:rPr>
                <w:rFonts w:ascii="宋体" w:hAnsi="宋体" w:cs="宋体"/>
                <w:b/>
                <w:sz w:val="24"/>
                <w:szCs w:val="24"/>
              </w:rPr>
            </w:pPr>
            <w:r>
              <w:rPr>
                <w:rFonts w:hint="eastAsia" w:ascii="宋体" w:cs="宋体"/>
                <w:sz w:val="24"/>
              </w:rPr>
              <w:t>为落实政府采购政策，参加谈判的供应商需满足的要求及供应商须提供的证明材料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7</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15</w:t>
            </w:r>
          </w:p>
        </w:tc>
        <w:tc>
          <w:tcPr>
            <w:tcW w:w="7702" w:type="dxa"/>
            <w:gridSpan w:val="3"/>
            <w:vAlign w:val="center"/>
          </w:tcPr>
          <w:p>
            <w:pPr>
              <w:spacing w:line="460" w:lineRule="exact"/>
              <w:rPr>
                <w:rFonts w:ascii="宋体" w:hAnsi="宋体" w:cs="宋体"/>
                <w:b/>
                <w:sz w:val="24"/>
              </w:rPr>
            </w:pPr>
            <w:r>
              <w:rPr>
                <w:rFonts w:hint="eastAsia" w:ascii="宋体" w:hAnsi="宋体" w:cs="宋体"/>
                <w:b/>
                <w:sz w:val="24"/>
              </w:rPr>
              <w:t>谈判保证金：</w:t>
            </w:r>
          </w:p>
          <w:p>
            <w:pPr>
              <w:spacing w:line="460" w:lineRule="exact"/>
              <w:ind w:firstLine="480" w:firstLineChars="200"/>
              <w:rPr>
                <w:rFonts w:ascii="宋体" w:hAnsi="宋体" w:cs="宋体"/>
                <w:b/>
                <w:sz w:val="24"/>
              </w:rPr>
            </w:pPr>
            <w:r>
              <w:rPr>
                <w:rFonts w:hint="eastAsia" w:ascii="宋体" w:hAnsi="宋体" w:cs="宋体"/>
                <w:sz w:val="24"/>
              </w:rPr>
              <w:t>谈判保证金金额：</w:t>
            </w:r>
            <w:r>
              <w:rPr>
                <w:rFonts w:hint="eastAsia" w:ascii="宋体" w:hAnsi="宋体" w:cs="宋体"/>
                <w:sz w:val="24"/>
                <w:szCs w:val="24"/>
              </w:rPr>
              <w:t>人民币</w:t>
            </w:r>
            <w:r>
              <w:rPr>
                <w:rFonts w:hint="eastAsia" w:ascii="宋体" w:hAnsi="宋体" w:cs="宋体"/>
                <w:sz w:val="24"/>
                <w:szCs w:val="24"/>
                <w:lang w:val="en-US" w:eastAsia="zh-CN"/>
              </w:rPr>
              <w:t>40000</w:t>
            </w:r>
            <w:r>
              <w:rPr>
                <w:rFonts w:hint="eastAsia" w:ascii="宋体" w:hAnsi="宋体" w:cs="宋体"/>
                <w:sz w:val="24"/>
                <w:szCs w:val="24"/>
              </w:rPr>
              <w:t>元</w:t>
            </w:r>
            <w:r>
              <w:rPr>
                <w:rFonts w:hint="eastAsia" w:ascii="宋体" w:hAnsi="宋体" w:cs="宋体"/>
                <w:sz w:val="24"/>
              </w:rPr>
              <w:t>；</w:t>
            </w:r>
          </w:p>
          <w:p>
            <w:pPr>
              <w:spacing w:line="460" w:lineRule="exact"/>
              <w:ind w:firstLine="482" w:firstLineChars="200"/>
              <w:rPr>
                <w:rFonts w:ascii="宋体" w:hAnsi="宋体" w:cs="宋体"/>
                <w:b/>
                <w:bCs/>
                <w:sz w:val="24"/>
              </w:rPr>
            </w:pPr>
            <w:r>
              <w:rPr>
                <w:rFonts w:hint="eastAsia" w:ascii="宋体" w:hAnsi="宋体" w:cs="宋体"/>
                <w:b/>
                <w:bCs/>
                <w:sz w:val="24"/>
                <w:szCs w:val="22"/>
              </w:rPr>
              <w:t>本项目保证金应当采用支票、汇票、本票、网上银行支付或者金融机构、担保机构出具的保函、保险公司出具的保证保险等非现金形式交纳（详见格式9-8 谈判保证金凭证）。提交谈判保证金的截止时间与响应文件递交截止时间一致。</w:t>
            </w:r>
          </w:p>
          <w:p>
            <w:pPr>
              <w:spacing w:before="120" w:beforeLines="50" w:line="460" w:lineRule="exact"/>
              <w:rPr>
                <w:rFonts w:ascii="宋体" w:hAnsi="宋体" w:cs="宋体"/>
                <w:b/>
                <w:kern w:val="0"/>
                <w:sz w:val="28"/>
                <w:szCs w:val="28"/>
              </w:rPr>
            </w:pPr>
            <w:r>
              <w:rPr>
                <w:rFonts w:hint="eastAsia" w:ascii="宋体" w:hAnsi="宋体" w:cs="宋体"/>
                <w:b/>
                <w:sz w:val="24"/>
                <w:szCs w:val="24"/>
              </w:rPr>
              <w:t>谈判保证金银行账户信息：</w:t>
            </w:r>
          </w:p>
          <w:p>
            <w:pPr>
              <w:spacing w:line="460" w:lineRule="exact"/>
              <w:rPr>
                <w:rFonts w:hint="eastAsia" w:ascii="宋体" w:hAnsi="宋体" w:cs="宋体"/>
                <w:sz w:val="24"/>
              </w:rPr>
            </w:pPr>
            <w:r>
              <w:rPr>
                <w:rFonts w:hint="eastAsia" w:ascii="宋体" w:hAnsi="宋体" w:cs="宋体"/>
                <w:sz w:val="24"/>
              </w:rPr>
              <w:t>开户银行：江西银行南昌红谷滩支行</w:t>
            </w:r>
          </w:p>
          <w:p>
            <w:pPr>
              <w:spacing w:line="460" w:lineRule="exact"/>
              <w:rPr>
                <w:rFonts w:hint="eastAsia" w:ascii="宋体" w:hAnsi="宋体" w:cs="宋体"/>
                <w:sz w:val="24"/>
              </w:rPr>
            </w:pPr>
            <w:r>
              <w:rPr>
                <w:rFonts w:hint="eastAsia" w:ascii="宋体" w:hAnsi="宋体" w:cs="宋体"/>
                <w:sz w:val="24"/>
              </w:rPr>
              <w:t>开户名称：江西省机电设备招标有限公司</w:t>
            </w:r>
          </w:p>
          <w:p>
            <w:pPr>
              <w:spacing w:line="460" w:lineRule="exact"/>
              <w:rPr>
                <w:rFonts w:hint="eastAsia" w:ascii="宋体" w:hAnsi="宋体" w:eastAsia="宋体" w:cs="宋体"/>
                <w:sz w:val="24"/>
                <w:lang w:eastAsia="zh-CN"/>
              </w:rPr>
            </w:pPr>
            <w:r>
              <w:rPr>
                <w:rFonts w:hint="eastAsia" w:ascii="宋体" w:hAnsi="宋体" w:cs="宋体"/>
                <w:sz w:val="24"/>
              </w:rPr>
              <w:t>开户账户：</w:t>
            </w:r>
            <w:r>
              <w:rPr>
                <w:rFonts w:hint="eastAsia" w:ascii="宋体" w:hAnsi="宋体" w:cs="宋体"/>
                <w:sz w:val="24"/>
                <w:lang w:val="en-US" w:eastAsia="zh-CN"/>
              </w:rPr>
              <w:t>79190720190600167641</w:t>
            </w:r>
            <w:bookmarkStart w:id="107" w:name="_GoBack"/>
            <w:bookmarkEnd w:id="10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8</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16</w:t>
            </w:r>
          </w:p>
        </w:tc>
        <w:tc>
          <w:tcPr>
            <w:tcW w:w="7702" w:type="dxa"/>
            <w:gridSpan w:val="3"/>
            <w:vAlign w:val="center"/>
          </w:tcPr>
          <w:p>
            <w:pPr>
              <w:spacing w:line="460" w:lineRule="exact"/>
              <w:ind w:left="567" w:hanging="567"/>
              <w:rPr>
                <w:rFonts w:ascii="宋体" w:hAnsi="宋体" w:cs="宋体"/>
                <w:b/>
                <w:sz w:val="24"/>
                <w:szCs w:val="24"/>
              </w:rPr>
            </w:pPr>
            <w:r>
              <w:rPr>
                <w:rFonts w:hint="eastAsia" w:ascii="宋体" w:hAnsi="宋体" w:cs="宋体"/>
                <w:sz w:val="24"/>
                <w:szCs w:val="24"/>
              </w:rPr>
              <w:t xml:space="preserve">谈判有效期：自谈判之日起 </w:t>
            </w:r>
            <w:r>
              <w:rPr>
                <w:rFonts w:hint="eastAsia" w:ascii="宋体" w:hAnsi="宋体" w:cs="宋体"/>
                <w:b/>
                <w:sz w:val="24"/>
                <w:szCs w:val="24"/>
                <w:u w:val="single"/>
              </w:rPr>
              <w:t xml:space="preserve">90  </w:t>
            </w:r>
            <w:r>
              <w:rPr>
                <w:rFonts w:hint="eastAsia" w:ascii="宋体" w:hAnsi="宋体" w:cs="宋体"/>
                <w:b/>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9</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19</w:t>
            </w:r>
          </w:p>
        </w:tc>
        <w:tc>
          <w:tcPr>
            <w:tcW w:w="7702" w:type="dxa"/>
            <w:gridSpan w:val="3"/>
            <w:vAlign w:val="center"/>
          </w:tcPr>
          <w:p>
            <w:pPr>
              <w:spacing w:line="440" w:lineRule="exact"/>
              <w:rPr>
                <w:rFonts w:ascii="宋体" w:hAnsi="宋体" w:cs="宋体"/>
                <w:sz w:val="24"/>
                <w:szCs w:val="24"/>
              </w:rPr>
            </w:pPr>
            <w:r>
              <w:rPr>
                <w:rFonts w:hint="eastAsia" w:ascii="宋体" w:hAnsi="宋体" w:cs="宋体"/>
                <w:sz w:val="24"/>
                <w:szCs w:val="24"/>
              </w:rPr>
              <w:t>响应文件递交截止时间：详见“第一章 谈判邀请”</w:t>
            </w:r>
          </w:p>
          <w:p>
            <w:pPr>
              <w:spacing w:line="440" w:lineRule="exact"/>
              <w:rPr>
                <w:rFonts w:ascii="宋体" w:hAnsi="宋体" w:cs="宋体"/>
                <w:sz w:val="24"/>
                <w:szCs w:val="24"/>
              </w:rPr>
            </w:pPr>
            <w:r>
              <w:rPr>
                <w:rFonts w:hint="eastAsia" w:ascii="宋体" w:hAnsi="宋体" w:cs="宋体"/>
                <w:sz w:val="24"/>
                <w:szCs w:val="24"/>
              </w:rPr>
              <w:t>谈判时间：详见“第一章 谈判邀请”</w:t>
            </w:r>
          </w:p>
          <w:p>
            <w:pPr>
              <w:spacing w:line="460" w:lineRule="exact"/>
              <w:rPr>
                <w:rFonts w:ascii="宋体" w:hAnsi="宋体" w:cs="宋体"/>
                <w:sz w:val="24"/>
                <w:szCs w:val="24"/>
              </w:rPr>
            </w:pPr>
            <w:r>
              <w:rPr>
                <w:rFonts w:hint="eastAsia" w:ascii="宋体" w:hAnsi="宋体" w:cs="宋体"/>
                <w:sz w:val="24"/>
                <w:szCs w:val="24"/>
              </w:rPr>
              <w:t>谈判地点：详见“第一章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10</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27</w:t>
            </w:r>
          </w:p>
        </w:tc>
        <w:tc>
          <w:tcPr>
            <w:tcW w:w="7702" w:type="dxa"/>
            <w:gridSpan w:val="3"/>
            <w:vAlign w:val="center"/>
          </w:tcPr>
          <w:p>
            <w:pPr>
              <w:spacing w:before="120" w:beforeLines="50" w:line="460" w:lineRule="exact"/>
              <w:ind w:firstLine="360" w:firstLineChars="150"/>
              <w:rPr>
                <w:rFonts w:ascii="宋体" w:hAnsi="宋体" w:cs="宋体"/>
                <w:sz w:val="24"/>
                <w:szCs w:val="24"/>
              </w:rPr>
            </w:pPr>
            <w:r>
              <w:rPr>
                <w:rFonts w:hint="eastAsia" w:ascii="宋体" w:hAnsi="宋体" w:cs="宋体"/>
                <w:sz w:val="24"/>
                <w:szCs w:val="24"/>
              </w:rPr>
              <w:t>推荐成交候选供应商方法及提供相同品牌产品的不同供应商参加同一合同项下谈判的，参加评审、获得成交供应商推荐资格的认定：</w:t>
            </w:r>
          </w:p>
          <w:p>
            <w:pPr>
              <w:spacing w:line="440" w:lineRule="exact"/>
              <w:ind w:left="-34" w:leftChars="-16" w:firstLine="511" w:firstLineChars="213"/>
              <w:rPr>
                <w:rFonts w:ascii="宋体" w:hAnsi="宋体" w:cs="宋体"/>
                <w:sz w:val="24"/>
                <w:szCs w:val="24"/>
              </w:rPr>
            </w:pPr>
            <w:r>
              <w:rPr>
                <w:rFonts w:hint="eastAsia" w:ascii="宋体" w:hAnsi="宋体" w:cs="宋体"/>
                <w:sz w:val="24"/>
                <w:szCs w:val="24"/>
              </w:rPr>
              <w:t>提供相同品牌产品的不同供应商参加本项目谈判的，以其中通过资格性审查、符合性审查且最后报价最低的参加评审。报价相同的，由谈判小组随机抽取一个参加评审的供应商，</w:t>
            </w:r>
            <w:r>
              <w:rPr>
                <w:rFonts w:hint="eastAsia" w:ascii="宋体" w:hAnsi="宋体" w:cs="宋体"/>
                <w:bCs/>
                <w:sz w:val="24"/>
                <w:szCs w:val="24"/>
              </w:rPr>
              <w:t>其他响应文件无效。</w:t>
            </w:r>
          </w:p>
          <w:p>
            <w:pPr>
              <w:spacing w:line="440" w:lineRule="exact"/>
              <w:rPr>
                <w:rFonts w:ascii="宋体" w:hAnsi="宋体" w:cs="宋体"/>
                <w:bCs/>
                <w:sz w:val="24"/>
                <w:szCs w:val="24"/>
                <w:highlight w:val="none"/>
              </w:rPr>
            </w:pPr>
            <w:r>
              <w:rPr>
                <w:rFonts w:hint="eastAsia" w:ascii="宋体" w:hAnsi="宋体" w:cs="宋体"/>
                <w:bCs/>
                <w:sz w:val="24"/>
                <w:szCs w:val="24"/>
              </w:rPr>
              <w:t>非单一产品采购项目中，多家供应商提</w:t>
            </w:r>
            <w:r>
              <w:rPr>
                <w:rFonts w:hint="eastAsia" w:ascii="宋体" w:hAnsi="宋体" w:cs="宋体"/>
                <w:bCs/>
                <w:sz w:val="24"/>
                <w:szCs w:val="24"/>
                <w:highlight w:val="none"/>
              </w:rPr>
              <w:t>供的核心产品为相同品牌产品的，视为提供相同品牌产品。核心产品为：</w:t>
            </w:r>
            <w:r>
              <w:rPr>
                <w:rFonts w:hint="eastAsia" w:ascii="宋体" w:hAnsi="宋体" w:cs="宋体"/>
                <w:bCs/>
                <w:sz w:val="24"/>
                <w:szCs w:val="24"/>
                <w:highlight w:val="none"/>
                <w:lang w:val="en-US" w:eastAsia="zh-CN"/>
              </w:rPr>
              <w:t>分体式教学终端</w:t>
            </w:r>
            <w:r>
              <w:rPr>
                <w:rFonts w:hint="eastAsia" w:ascii="宋体" w:hAnsi="宋体" w:cs="宋体"/>
                <w:bCs/>
                <w:sz w:val="24"/>
                <w:szCs w:val="24"/>
                <w:highlight w:val="none"/>
              </w:rPr>
              <w:t>。</w:t>
            </w:r>
          </w:p>
          <w:p>
            <w:pPr>
              <w:spacing w:line="440" w:lineRule="exact"/>
              <w:ind w:firstLine="470" w:firstLineChars="196"/>
              <w:rPr>
                <w:rFonts w:ascii="宋体" w:hAnsi="宋体" w:cs="宋体"/>
                <w:sz w:val="24"/>
                <w:szCs w:val="24"/>
              </w:rPr>
            </w:pPr>
            <w:r>
              <w:rPr>
                <w:rFonts w:hint="eastAsia" w:ascii="宋体" w:hAnsi="宋体" w:cs="宋体"/>
                <w:bCs/>
                <w:kern w:val="0"/>
                <w:sz w:val="24"/>
              </w:rPr>
              <w:t>产品属于《节能产品政府采购品目清单》、《环境标志产品政府采购品目清单》范围的，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11</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28</w:t>
            </w:r>
          </w:p>
        </w:tc>
        <w:tc>
          <w:tcPr>
            <w:tcW w:w="7702" w:type="dxa"/>
            <w:gridSpan w:val="3"/>
            <w:vAlign w:val="center"/>
          </w:tcPr>
          <w:p>
            <w:pPr>
              <w:adjustRightInd w:val="0"/>
              <w:snapToGrid w:val="0"/>
              <w:spacing w:line="319" w:lineRule="auto"/>
              <w:rPr>
                <w:rFonts w:ascii="宋体" w:hAnsi="宋体" w:cs="宋体"/>
                <w:b/>
                <w:color w:val="0D0D0D"/>
                <w:sz w:val="24"/>
                <w:lang w:val="en-GB"/>
              </w:rPr>
            </w:pPr>
            <w:r>
              <w:rPr>
                <w:rFonts w:hint="eastAsia" w:ascii="宋体" w:hAnsi="宋体" w:cs="宋体"/>
                <w:b/>
                <w:color w:val="0D0D0D"/>
                <w:sz w:val="24"/>
                <w:lang w:val="en-GB"/>
              </w:rPr>
              <w:t>确定成交供应商：</w:t>
            </w:r>
          </w:p>
          <w:p>
            <w:pPr>
              <w:adjustRightInd w:val="0"/>
              <w:snapToGrid w:val="0"/>
              <w:spacing w:line="319" w:lineRule="auto"/>
              <w:ind w:firstLine="482" w:firstLineChars="200"/>
              <w:rPr>
                <w:rFonts w:ascii="宋体" w:hAnsi="宋体" w:cs="宋体"/>
                <w:b/>
                <w:color w:val="0D0D0D"/>
                <w:sz w:val="24"/>
                <w:lang w:val="en-GB"/>
              </w:rPr>
            </w:pPr>
            <w:r>
              <w:rPr>
                <w:rFonts w:hint="eastAsia" w:ascii="宋体" w:hAnsi="宋体" w:cs="宋体"/>
                <w:b/>
                <w:color w:val="0D0D0D"/>
                <w:sz w:val="24"/>
                <w:lang w:val="en-GB"/>
              </w:rPr>
              <w:t>采购人从评审报告提出的成交候选人中，根据质量和服务均能满足谈判文件实质性响应要求且最后报价最低的原则确定成交供应商，也可以书面授权谈判小组直接确定成交供应商。</w:t>
            </w:r>
          </w:p>
          <w:p>
            <w:pPr>
              <w:spacing w:line="360" w:lineRule="auto"/>
              <w:rPr>
                <w:rFonts w:ascii="宋体" w:hAnsi="宋体" w:cs="宋体"/>
                <w:bCs/>
                <w:color w:val="FF0000"/>
                <w:sz w:val="24"/>
                <w:szCs w:val="24"/>
              </w:rPr>
            </w:pPr>
            <w:r>
              <w:rPr>
                <w:rFonts w:hint="eastAsia" w:ascii="宋体" w:hAnsi="宋体" w:cs="宋体"/>
                <w:bCs/>
                <w:sz w:val="24"/>
                <w:szCs w:val="24"/>
              </w:rPr>
              <w:t>注：</w:t>
            </w:r>
            <w:r>
              <w:rPr>
                <w:rFonts w:hint="eastAsia" w:ascii="宋体" w:hAnsi="宋体" w:cs="宋体"/>
                <w:color w:val="0D0D0D"/>
                <w:sz w:val="24"/>
                <w:szCs w:val="24"/>
              </w:rPr>
              <w:t>（1）</w:t>
            </w:r>
            <w:r>
              <w:rPr>
                <w:rFonts w:hint="eastAsia" w:ascii="宋体" w:hAnsi="宋体" w:cs="宋体"/>
                <w:bCs/>
                <w:sz w:val="24"/>
                <w:szCs w:val="24"/>
              </w:rPr>
              <w:t>对小型、微型企业和监狱企业、残疾人福利性单位的产品的价格给予10%的扣除，用扣除后的价格参与评审。</w:t>
            </w:r>
          </w:p>
          <w:p>
            <w:pPr>
              <w:spacing w:line="440" w:lineRule="exact"/>
              <w:rPr>
                <w:rFonts w:ascii="宋体" w:hAnsi="宋体" w:cs="宋体"/>
                <w:color w:val="0D0D0D"/>
                <w:sz w:val="24"/>
                <w:szCs w:val="24"/>
              </w:rPr>
            </w:pPr>
            <w:r>
              <w:rPr>
                <w:rFonts w:hint="eastAsia" w:ascii="宋体" w:hAnsi="宋体" w:cs="宋体"/>
                <w:color w:val="0D0D0D"/>
                <w:sz w:val="24"/>
                <w:szCs w:val="24"/>
              </w:rPr>
              <w:t>（2）监狱企业视同小型、微型企业，享受评审中价格扣除等政府促进中小企业发展的政府采购政策。</w:t>
            </w:r>
          </w:p>
          <w:p>
            <w:pPr>
              <w:spacing w:line="440" w:lineRule="exact"/>
              <w:rPr>
                <w:rFonts w:ascii="宋体" w:hAnsi="宋体" w:cs="宋体"/>
                <w:color w:val="0D0D0D"/>
                <w:sz w:val="24"/>
                <w:szCs w:val="24"/>
              </w:rPr>
            </w:pPr>
            <w:r>
              <w:rPr>
                <w:rFonts w:hint="eastAsia" w:ascii="宋体" w:hAnsi="宋体" w:cs="宋体"/>
                <w:color w:val="0D0D0D"/>
                <w:sz w:val="24"/>
                <w:szCs w:val="24"/>
              </w:rPr>
              <w:t>（3）残疾人福利性单位</w:t>
            </w:r>
            <w:r>
              <w:rPr>
                <w:rFonts w:hint="eastAsia" w:ascii="宋体" w:hAnsi="宋体" w:cs="宋体"/>
                <w:sz w:val="24"/>
                <w:szCs w:val="24"/>
              </w:rPr>
              <w:t>视同小型、微型企业，享受评审中价格扣除等政府促进中小企业发展的政府采购政策；</w:t>
            </w:r>
            <w:r>
              <w:rPr>
                <w:rFonts w:hint="eastAsia" w:ascii="宋体" w:hAnsi="宋体" w:cs="宋体"/>
                <w:color w:val="0D0D0D"/>
                <w:sz w:val="24"/>
                <w:szCs w:val="24"/>
              </w:rPr>
              <w:t>福利性单位属于小型、微型企业的，不重复享受政策。</w:t>
            </w:r>
          </w:p>
          <w:p>
            <w:pPr>
              <w:spacing w:line="460" w:lineRule="exact"/>
              <w:rPr>
                <w:rFonts w:ascii="宋体" w:hAnsi="宋体" w:cs="宋体"/>
                <w:sz w:val="24"/>
                <w:szCs w:val="24"/>
              </w:rPr>
            </w:pPr>
            <w:r>
              <w:rPr>
                <w:rFonts w:hint="eastAsia" w:ascii="宋体" w:hAnsi="宋体" w:cs="宋体"/>
                <w:b/>
                <w:color w:val="0D0D0D"/>
                <w:sz w:val="24"/>
                <w:szCs w:val="24"/>
              </w:rPr>
              <w:t>本项目采购标的对应的中小企业划分标准所属行业：</w:t>
            </w:r>
            <w:r>
              <w:rPr>
                <w:rFonts w:hint="eastAsia" w:ascii="宋体" w:hAnsi="宋体" w:cs="宋体"/>
                <w:b/>
                <w:sz w:val="24"/>
                <w:szCs w:val="24"/>
                <w:u w:val="singl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12</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31</w:t>
            </w:r>
          </w:p>
        </w:tc>
        <w:tc>
          <w:tcPr>
            <w:tcW w:w="7702" w:type="dxa"/>
            <w:gridSpan w:val="3"/>
            <w:vAlign w:val="center"/>
          </w:tcPr>
          <w:p>
            <w:pPr>
              <w:pStyle w:val="10"/>
              <w:spacing w:line="460" w:lineRule="exact"/>
              <w:rPr>
                <w:rFonts w:ascii="宋体" w:hAnsi="宋体" w:cs="宋体"/>
              </w:rPr>
            </w:pPr>
            <w:r>
              <w:rPr>
                <w:rFonts w:hint="eastAsia" w:ascii="宋体" w:hAnsi="宋体" w:cs="宋体"/>
                <w:sz w:val="24"/>
                <w:szCs w:val="24"/>
              </w:rPr>
              <w:t>31.1履约保证金金额：合同总价的</w:t>
            </w:r>
            <w:r>
              <w:rPr>
                <w:rFonts w:hint="eastAsia" w:ascii="宋体" w:hAnsi="宋体" w:cs="宋体"/>
                <w:sz w:val="24"/>
              </w:rPr>
              <w:t>5</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restart"/>
            <w:vAlign w:val="center"/>
          </w:tcPr>
          <w:p>
            <w:pPr>
              <w:spacing w:line="460" w:lineRule="exact"/>
              <w:rPr>
                <w:rFonts w:ascii="宋体" w:hAnsi="宋体" w:cs="宋体"/>
                <w:sz w:val="24"/>
                <w:szCs w:val="24"/>
              </w:rPr>
            </w:pPr>
          </w:p>
          <w:p>
            <w:pPr>
              <w:spacing w:line="460" w:lineRule="exact"/>
              <w:rPr>
                <w:rFonts w:ascii="宋体" w:hAnsi="宋体" w:cs="宋体"/>
                <w:sz w:val="24"/>
                <w:szCs w:val="24"/>
              </w:rPr>
            </w:pPr>
            <w:r>
              <w:rPr>
                <w:rFonts w:hint="eastAsia" w:ascii="宋体" w:hAnsi="宋体" w:cs="宋体"/>
                <w:sz w:val="24"/>
                <w:szCs w:val="24"/>
              </w:rPr>
              <w:t>13</w:t>
            </w:r>
          </w:p>
        </w:tc>
        <w:tc>
          <w:tcPr>
            <w:tcW w:w="1560" w:type="dxa"/>
            <w:vMerge w:val="restart"/>
            <w:vAlign w:val="center"/>
          </w:tcPr>
          <w:p>
            <w:pPr>
              <w:spacing w:line="460" w:lineRule="exact"/>
              <w:rPr>
                <w:rFonts w:ascii="宋体" w:hAnsi="宋体" w:cs="宋体"/>
                <w:sz w:val="24"/>
                <w:szCs w:val="24"/>
              </w:rPr>
            </w:pPr>
            <w:r>
              <w:rPr>
                <w:rFonts w:hint="eastAsia" w:ascii="宋体" w:hAnsi="宋体" w:cs="宋体"/>
                <w:sz w:val="24"/>
                <w:szCs w:val="24"/>
              </w:rPr>
              <w:t>35</w:t>
            </w:r>
          </w:p>
        </w:tc>
        <w:tc>
          <w:tcPr>
            <w:tcW w:w="7702" w:type="dxa"/>
            <w:gridSpan w:val="3"/>
            <w:vAlign w:val="center"/>
          </w:tcPr>
          <w:p>
            <w:pPr>
              <w:spacing w:before="120" w:beforeLines="50"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采购代理服务费：向成交供应商收取采购代理服务费，采购代理服务费按差额定率累进法计算收取，收费标准如下表所列：</w:t>
            </w:r>
          </w:p>
          <w:p>
            <w:pPr>
              <w:spacing w:line="460" w:lineRule="exact"/>
              <w:rPr>
                <w:rFonts w:hint="default" w:ascii="宋体" w:hAnsi="宋体" w:cs="宋体"/>
                <w:b/>
                <w:bCs/>
                <w:color w:val="auto"/>
                <w:sz w:val="24"/>
                <w:szCs w:val="24"/>
                <w:lang w:val="en-US"/>
              </w:rPr>
            </w:pPr>
            <w:r>
              <w:rPr>
                <w:rFonts w:hint="eastAsia" w:ascii="宋体" w:hAnsi="宋体" w:cs="宋体"/>
                <w:b/>
                <w:bCs/>
                <w:color w:val="auto"/>
                <w:sz w:val="24"/>
                <w:szCs w:val="24"/>
                <w:lang w:eastAsia="zh-CN"/>
              </w:rPr>
              <w:t>（</w:t>
            </w:r>
            <w:r>
              <w:rPr>
                <w:rFonts w:hint="eastAsia" w:ascii="宋体" w:hAnsi="宋体" w:cs="宋体"/>
                <w:b/>
                <w:bCs/>
                <w:color w:val="auto"/>
                <w:sz w:val="24"/>
                <w:szCs w:val="24"/>
              </w:rPr>
              <w:t>收费标准＝成交金额×收费费率＋速算增加数</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*2（倍）</w:t>
            </w:r>
          </w:p>
          <w:p>
            <w:pPr>
              <w:pStyle w:val="7"/>
              <w:rPr>
                <w:rFonts w:asciiTheme="minorEastAsia" w:hAnsiTheme="minorEastAsia" w:eastAsiaTheme="minorEastAsia" w:cstheme="minorEastAsia"/>
                <w:sz w:val="24"/>
                <w:szCs w:val="24"/>
              </w:rPr>
            </w:pPr>
            <w:r>
              <w:rPr>
                <w:rFonts w:hint="eastAsia" w:ascii="宋体" w:hAnsi="宋体" w:eastAsia="宋体" w:cs="宋体"/>
                <w:color w:val="auto"/>
                <w:sz w:val="24"/>
                <w:szCs w:val="24"/>
                <w:highlight w:val="none"/>
              </w:rPr>
              <w:t>注：</w:t>
            </w:r>
            <w:r>
              <w:rPr>
                <w:rFonts w:hint="eastAsia" w:ascii="宋体" w:hAnsi="宋体" w:cs="宋体"/>
                <w:color w:val="auto"/>
                <w:sz w:val="24"/>
                <w:szCs w:val="24"/>
                <w:lang w:eastAsia="zh-CN"/>
              </w:rPr>
              <w:t>（</w:t>
            </w:r>
            <w:r>
              <w:rPr>
                <w:rFonts w:hint="eastAsia" w:ascii="宋体" w:hAnsi="宋体" w:cs="宋体"/>
                <w:color w:val="auto"/>
                <w:sz w:val="24"/>
                <w:szCs w:val="24"/>
              </w:rPr>
              <w:t>成交金额在40万元以下的，按照40万元计算服务费</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b/>
                <w:bCs/>
                <w:color w:val="auto"/>
                <w:sz w:val="24"/>
                <w:szCs w:val="24"/>
                <w:lang w:val="en-US" w:eastAsia="zh-CN"/>
              </w:rPr>
              <w:t>（倍）</w:t>
            </w:r>
            <w:r>
              <w:rPr>
                <w:rFonts w:hint="eastAsia" w:ascii="宋体" w:hAnsi="宋体" w:cs="宋体"/>
                <w:color w:val="auto"/>
                <w:sz w:val="24"/>
                <w:szCs w:val="24"/>
              </w:rPr>
              <w:t>。</w:t>
            </w: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continue"/>
            <w:vAlign w:val="center"/>
          </w:tcPr>
          <w:p>
            <w:pPr>
              <w:spacing w:line="460" w:lineRule="exact"/>
              <w:rPr>
                <w:rFonts w:ascii="宋体" w:hAnsi="宋体" w:cs="宋体"/>
                <w:sz w:val="24"/>
                <w:szCs w:val="24"/>
              </w:rPr>
            </w:pPr>
          </w:p>
        </w:tc>
        <w:tc>
          <w:tcPr>
            <w:tcW w:w="1560" w:type="dxa"/>
            <w:vMerge w:val="continue"/>
            <w:vAlign w:val="center"/>
          </w:tcPr>
          <w:p>
            <w:pPr>
              <w:pStyle w:val="10"/>
              <w:spacing w:line="460" w:lineRule="exact"/>
              <w:ind w:firstLine="240" w:firstLineChars="100"/>
              <w:rPr>
                <w:rFonts w:ascii="宋体" w:hAnsi="宋体" w:cs="宋体"/>
                <w:sz w:val="24"/>
                <w:szCs w:val="24"/>
              </w:rPr>
            </w:pPr>
          </w:p>
        </w:tc>
        <w:tc>
          <w:tcPr>
            <w:tcW w:w="2562" w:type="dxa"/>
            <w:vAlign w:val="center"/>
          </w:tcPr>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成交金额（万元）</w:t>
            </w:r>
          </w:p>
        </w:tc>
        <w:tc>
          <w:tcPr>
            <w:tcW w:w="2562"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收费费率</w:t>
            </w:r>
          </w:p>
        </w:tc>
        <w:tc>
          <w:tcPr>
            <w:tcW w:w="2578"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速算增加数（万元）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continue"/>
            <w:vAlign w:val="center"/>
          </w:tcPr>
          <w:p>
            <w:pPr>
              <w:spacing w:line="460" w:lineRule="exact"/>
              <w:rPr>
                <w:rFonts w:ascii="宋体" w:hAnsi="宋体" w:cs="宋体"/>
                <w:sz w:val="24"/>
                <w:szCs w:val="24"/>
              </w:rPr>
            </w:pPr>
          </w:p>
        </w:tc>
        <w:tc>
          <w:tcPr>
            <w:tcW w:w="1560" w:type="dxa"/>
            <w:vMerge w:val="continue"/>
            <w:vAlign w:val="center"/>
          </w:tcPr>
          <w:p>
            <w:pPr>
              <w:pStyle w:val="10"/>
              <w:spacing w:line="460" w:lineRule="exact"/>
              <w:ind w:firstLine="240" w:firstLineChars="100"/>
              <w:rPr>
                <w:rFonts w:ascii="宋体" w:hAnsi="宋体" w:cs="宋体"/>
                <w:sz w:val="24"/>
                <w:szCs w:val="24"/>
              </w:rPr>
            </w:pPr>
          </w:p>
        </w:tc>
        <w:tc>
          <w:tcPr>
            <w:tcW w:w="2562" w:type="dxa"/>
            <w:vAlign w:val="center"/>
          </w:tcPr>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100以下</w:t>
            </w:r>
          </w:p>
        </w:tc>
        <w:tc>
          <w:tcPr>
            <w:tcW w:w="2562"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2578"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continue"/>
            <w:vAlign w:val="center"/>
          </w:tcPr>
          <w:p>
            <w:pPr>
              <w:spacing w:line="460" w:lineRule="exact"/>
              <w:rPr>
                <w:rFonts w:ascii="宋体" w:hAnsi="宋体" w:cs="宋体"/>
                <w:sz w:val="24"/>
                <w:szCs w:val="24"/>
              </w:rPr>
            </w:pPr>
          </w:p>
        </w:tc>
        <w:tc>
          <w:tcPr>
            <w:tcW w:w="1560" w:type="dxa"/>
            <w:vMerge w:val="continue"/>
            <w:vAlign w:val="center"/>
          </w:tcPr>
          <w:p>
            <w:pPr>
              <w:pStyle w:val="10"/>
              <w:spacing w:line="460" w:lineRule="exact"/>
              <w:ind w:firstLine="240" w:firstLineChars="100"/>
              <w:rPr>
                <w:rFonts w:ascii="宋体" w:hAnsi="宋体" w:cs="宋体"/>
                <w:sz w:val="24"/>
                <w:szCs w:val="24"/>
              </w:rPr>
            </w:pPr>
          </w:p>
        </w:tc>
        <w:tc>
          <w:tcPr>
            <w:tcW w:w="2562" w:type="dxa"/>
            <w:vAlign w:val="center"/>
          </w:tcPr>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100-500</w:t>
            </w:r>
          </w:p>
        </w:tc>
        <w:tc>
          <w:tcPr>
            <w:tcW w:w="2562"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2578"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360" w:lineRule="auto"/>
              <w:jc w:val="left"/>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p>
        </w:tc>
        <w:tc>
          <w:tcPr>
            <w:tcW w:w="9262" w:type="dxa"/>
            <w:gridSpan w:val="4"/>
            <w:vAlign w:val="center"/>
          </w:tcPr>
          <w:p>
            <w:pPr>
              <w:spacing w:line="360" w:lineRule="auto"/>
              <w:ind w:left="1"/>
            </w:pPr>
            <w:r>
              <w:rPr>
                <w:rFonts w:hint="eastAsia" w:ascii="宋体" w:hAnsi="宋体" w:cs="仿宋"/>
                <w:b/>
                <w:bCs/>
                <w:sz w:val="24"/>
                <w:szCs w:val="24"/>
              </w:rPr>
              <w:t>不见面开标特别事项说明：</w:t>
            </w:r>
          </w:p>
          <w:p>
            <w:pPr>
              <w:numPr>
                <w:ilvl w:val="0"/>
                <w:numId w:val="3"/>
              </w:numPr>
              <w:spacing w:line="360" w:lineRule="auto"/>
              <w:ind w:left="1"/>
              <w:rPr>
                <w:rFonts w:ascii="宋体" w:hAnsi="宋体" w:cs="仿宋"/>
                <w:sz w:val="24"/>
                <w:szCs w:val="24"/>
              </w:rPr>
            </w:pPr>
            <w:r>
              <w:rPr>
                <w:rFonts w:hint="eastAsia" w:ascii="宋体" w:hAnsi="宋体" w:cs="仿宋"/>
                <w:sz w:val="24"/>
                <w:szCs w:val="24"/>
              </w:rPr>
              <w:t>本项目采用“不见面开标”系统开标，投标人应在开标截止时间前1小时进入江西省公共资源交易网-不见面开标大厅进行线上签到（具体详见投标人操作手册），否则无法进入后续的开标环节，如投标人未在投标截止时间前在线签到的，</w:t>
            </w:r>
            <w:r>
              <w:rPr>
                <w:rFonts w:hint="eastAsia" w:ascii="宋体" w:hAnsi="宋体" w:cs="仿宋"/>
                <w:sz w:val="24"/>
                <w:szCs w:val="24"/>
                <w:lang w:eastAsia="zh-CN"/>
              </w:rPr>
              <w:t>响应无效</w:t>
            </w:r>
            <w:r>
              <w:rPr>
                <w:rFonts w:hint="eastAsia" w:ascii="宋体" w:hAnsi="宋体" w:cs="仿宋"/>
                <w:sz w:val="24"/>
                <w:szCs w:val="24"/>
              </w:rPr>
              <w:t>。如到开标现场进行投标文件解密，开标现场解密一体机与“不见面开标”系统不对接，无法进行解密，因此引起的一切问题由投标人自行承担。</w:t>
            </w:r>
          </w:p>
          <w:p>
            <w:pPr>
              <w:spacing w:line="360" w:lineRule="auto"/>
              <w:rPr>
                <w:rFonts w:ascii="宋体" w:hAnsi="宋体" w:cs="仿宋"/>
                <w:sz w:val="24"/>
                <w:szCs w:val="24"/>
              </w:rPr>
            </w:pPr>
            <w:r>
              <w:rPr>
                <w:rFonts w:hint="eastAsia" w:ascii="宋体" w:hAnsi="宋体" w:cs="仿宋"/>
                <w:sz w:val="24"/>
                <w:szCs w:val="24"/>
              </w:rPr>
              <w:t>2、各投标人的法定代表委托人必须符合招标文件要求，并且应当熟练的操作新点系统，因业务不熟悉而导致的一切后果由投标人自行承担。一个项目只能有一个委托代理人，委托代理人需将法人代表授权委托书（法定代表人参与投标的无需提供授权委托书）、本人身份证的证明材料原件扫描制作到投标文件中。授权委托人在项目开、评标期间必须保持在线状态，随时通过“不见面开标”系统接收评标委员会的询标等信息，并在“互动交流”中对询标内容进行回复（自询标内容发出起20分钟内完成回复），否则视为放弃解释说明的权利且完全认可专家的意见。投标人回复询标内容时需将询标内容和回复意见打印并加盖投标人单位公章后扫描上传至“互动交流”（回复样式以招标人发出的询标函格式为准）。</w:t>
            </w:r>
          </w:p>
          <w:p>
            <w:pPr>
              <w:spacing w:line="360" w:lineRule="auto"/>
              <w:ind w:left="1"/>
              <w:rPr>
                <w:rFonts w:hint="eastAsia" w:ascii="宋体" w:hAnsi="宋体" w:eastAsia="宋体" w:cs="仿宋"/>
                <w:sz w:val="24"/>
                <w:szCs w:val="24"/>
                <w:lang w:eastAsia="zh-CN"/>
              </w:rPr>
            </w:pPr>
            <w:r>
              <w:rPr>
                <w:rFonts w:hint="eastAsia" w:ascii="宋体" w:hAnsi="宋体" w:cs="仿宋"/>
                <w:sz w:val="24"/>
                <w:szCs w:val="24"/>
              </w:rPr>
              <w:t>3、本项目采用“不见面开标”系统开标，现场环节全部转为不见面开标系统线上操作。授权委托人也不需到开标现场参与本项目的开标活动，也无需递交任何材料原件</w:t>
            </w:r>
            <w:r>
              <w:rPr>
                <w:rFonts w:hint="eastAsia" w:ascii="宋体" w:hAnsi="宋体" w:cs="仿宋"/>
                <w:b/>
                <w:bCs/>
                <w:sz w:val="24"/>
                <w:szCs w:val="24"/>
                <w:lang w:eastAsia="zh-CN"/>
              </w:rPr>
              <w:t>（</w:t>
            </w:r>
            <w:r>
              <w:rPr>
                <w:rFonts w:hint="eastAsia" w:ascii="宋体" w:hAnsi="宋体" w:cs="仿宋"/>
                <w:b/>
                <w:bCs/>
                <w:sz w:val="24"/>
                <w:szCs w:val="24"/>
                <w:lang w:val="en-US" w:eastAsia="zh-CN"/>
              </w:rPr>
              <w:t>招标文件中特别注明需将原件递交到投标现场的除外</w:t>
            </w:r>
            <w:r>
              <w:rPr>
                <w:rFonts w:hint="eastAsia" w:ascii="宋体" w:hAnsi="宋体" w:cs="仿宋"/>
                <w:b/>
                <w:bCs/>
                <w:sz w:val="24"/>
                <w:szCs w:val="24"/>
                <w:lang w:eastAsia="zh-CN"/>
              </w:rPr>
              <w:t>）</w:t>
            </w:r>
            <w:r>
              <w:rPr>
                <w:rFonts w:hint="eastAsia" w:ascii="宋体" w:hAnsi="宋体" w:cs="仿宋"/>
                <w:sz w:val="24"/>
                <w:szCs w:val="24"/>
              </w:rPr>
              <w:t>，由投标人自行将参与本项目所需的材料原件（含委托书）的扫描件全部放入电子投标文件中，扫描件未放入的，视为未提供。</w:t>
            </w:r>
          </w:p>
          <w:p>
            <w:pPr>
              <w:spacing w:line="360" w:lineRule="auto"/>
              <w:ind w:left="1"/>
              <w:rPr>
                <w:rFonts w:ascii="宋体" w:hAnsi="宋体" w:cs="仿宋"/>
                <w:sz w:val="24"/>
                <w:szCs w:val="24"/>
              </w:rPr>
            </w:pPr>
            <w:r>
              <w:rPr>
                <w:rFonts w:hint="eastAsia" w:ascii="宋体" w:hAnsi="宋体" w:cs="仿宋"/>
                <w:sz w:val="24"/>
                <w:szCs w:val="24"/>
              </w:rPr>
              <w:t>4、投标文件解密时间：在采购代理机构宣布开始解密后20分钟内必须完成解密，未在规定时间内完成解密的，</w:t>
            </w:r>
            <w:r>
              <w:rPr>
                <w:rFonts w:hint="eastAsia" w:ascii="宋体" w:hAnsi="宋体" w:cs="仿宋"/>
                <w:sz w:val="24"/>
                <w:szCs w:val="24"/>
                <w:lang w:eastAsia="zh-CN"/>
              </w:rPr>
              <w:t>响应无效</w:t>
            </w:r>
            <w:r>
              <w:rPr>
                <w:rFonts w:hint="eastAsia" w:ascii="宋体" w:hAnsi="宋体" w:cs="仿宋"/>
                <w:sz w:val="24"/>
                <w:szCs w:val="24"/>
              </w:rPr>
              <w:t>。</w:t>
            </w:r>
          </w:p>
          <w:p>
            <w:pPr>
              <w:pStyle w:val="4"/>
              <w:spacing w:before="0" w:after="0" w:line="360" w:lineRule="auto"/>
              <w:rPr>
                <w:rFonts w:ascii="宋体" w:hAnsi="宋体" w:eastAsia="宋体" w:cs="仿宋"/>
                <w:b w:val="0"/>
                <w:bCs w:val="0"/>
                <w:sz w:val="24"/>
                <w:szCs w:val="24"/>
              </w:rPr>
            </w:pPr>
            <w:r>
              <w:rPr>
                <w:rFonts w:hint="eastAsia" w:ascii="宋体" w:hAnsi="宋体" w:eastAsia="宋体" w:cs="仿宋"/>
                <w:b w:val="0"/>
                <w:bCs w:val="0"/>
                <w:sz w:val="24"/>
                <w:szCs w:val="24"/>
              </w:rPr>
              <w:t>5、投标人对开标过程和评标结果有异议的，可将异议内容以书面形式提出并加盖单位公章后扫描上传至本项目不见面开标大厅“开标异议文字提问”栏中。</w:t>
            </w:r>
          </w:p>
          <w:p>
            <w:pPr>
              <w:spacing w:line="360" w:lineRule="auto"/>
              <w:ind w:left="1"/>
              <w:rPr>
                <w:rFonts w:ascii="宋体" w:hAnsi="宋体" w:cs="仿宋"/>
                <w:sz w:val="24"/>
                <w:szCs w:val="24"/>
              </w:rPr>
            </w:pPr>
            <w:r>
              <w:rPr>
                <w:rFonts w:hint="eastAsia" w:ascii="宋体" w:hAnsi="宋体" w:cs="仿宋"/>
                <w:sz w:val="24"/>
                <w:szCs w:val="24"/>
              </w:rPr>
              <w:t>6、意外情况的处理：</w:t>
            </w:r>
          </w:p>
          <w:p>
            <w:pPr>
              <w:spacing w:line="360" w:lineRule="auto"/>
              <w:ind w:left="1" w:firstLine="480" w:firstLineChars="200"/>
              <w:rPr>
                <w:rFonts w:ascii="宋体" w:hAnsi="宋体" w:cs="仿宋"/>
                <w:sz w:val="24"/>
                <w:szCs w:val="24"/>
              </w:rPr>
            </w:pPr>
            <w:r>
              <w:rPr>
                <w:rFonts w:hint="eastAsia" w:ascii="宋体" w:hAnsi="宋体" w:cs="仿宋"/>
                <w:sz w:val="24"/>
                <w:szCs w:val="24"/>
              </w:rPr>
              <w:t>开标场所出现下列情形导致系统无法正常运行，或者无法保证交易过程的公平、公正和信息安全时，招标人、招标代理机构、交易中心免责：</w:t>
            </w:r>
          </w:p>
          <w:p>
            <w:pPr>
              <w:spacing w:line="360" w:lineRule="auto"/>
              <w:ind w:left="1"/>
              <w:rPr>
                <w:rFonts w:ascii="宋体" w:hAnsi="宋体" w:cs="仿宋"/>
                <w:sz w:val="24"/>
                <w:szCs w:val="24"/>
              </w:rPr>
            </w:pPr>
            <w:r>
              <w:rPr>
                <w:rFonts w:hint="eastAsia" w:ascii="宋体" w:hAnsi="宋体" w:cs="仿宋"/>
                <w:sz w:val="24"/>
                <w:szCs w:val="24"/>
              </w:rPr>
              <w:t>①所涉开标项目电子服务、交易系统服务器发生故障而无法访问网站或无法使用系统；</w:t>
            </w:r>
          </w:p>
          <w:p>
            <w:pPr>
              <w:spacing w:line="360" w:lineRule="auto"/>
              <w:ind w:left="1"/>
              <w:rPr>
                <w:rFonts w:ascii="宋体" w:hAnsi="宋体" w:cs="仿宋"/>
                <w:sz w:val="24"/>
                <w:szCs w:val="24"/>
              </w:rPr>
            </w:pPr>
            <w:r>
              <w:rPr>
                <w:rFonts w:hint="eastAsia" w:ascii="宋体" w:hAnsi="宋体" w:cs="仿宋"/>
                <w:sz w:val="24"/>
                <w:szCs w:val="24"/>
              </w:rPr>
              <w:t>②所涉开标项目电子服务、交易系统的软件或网络数据库出现错误，不能进行操作；</w:t>
            </w:r>
          </w:p>
          <w:p>
            <w:pPr>
              <w:spacing w:line="360" w:lineRule="auto"/>
              <w:ind w:left="1"/>
              <w:rPr>
                <w:rFonts w:ascii="宋体" w:hAnsi="宋体" w:cs="仿宋"/>
                <w:sz w:val="24"/>
                <w:szCs w:val="24"/>
              </w:rPr>
            </w:pPr>
            <w:r>
              <w:rPr>
                <w:rFonts w:hint="eastAsia" w:ascii="宋体" w:hAnsi="宋体" w:cs="仿宋"/>
                <w:sz w:val="24"/>
                <w:szCs w:val="24"/>
              </w:rPr>
              <w:t>③系统存在安全漏洞，有潜在的涉密危险；</w:t>
            </w:r>
          </w:p>
          <w:p>
            <w:pPr>
              <w:spacing w:line="360" w:lineRule="auto"/>
              <w:ind w:left="1"/>
              <w:rPr>
                <w:rFonts w:ascii="宋体" w:hAnsi="宋体" w:cs="仿宋"/>
                <w:sz w:val="24"/>
                <w:szCs w:val="24"/>
              </w:rPr>
            </w:pPr>
            <w:r>
              <w:rPr>
                <w:rFonts w:hint="eastAsia" w:ascii="宋体" w:hAnsi="宋体" w:cs="仿宋"/>
                <w:sz w:val="24"/>
                <w:szCs w:val="24"/>
              </w:rPr>
              <w:t>④运行服务器病毒发作导致系统无法正常运行的；</w:t>
            </w:r>
          </w:p>
          <w:p>
            <w:pPr>
              <w:spacing w:line="360" w:lineRule="auto"/>
              <w:ind w:left="1"/>
              <w:rPr>
                <w:rFonts w:ascii="宋体" w:hAnsi="宋体" w:cs="仿宋"/>
                <w:sz w:val="24"/>
                <w:szCs w:val="24"/>
              </w:rPr>
            </w:pPr>
            <w:r>
              <w:rPr>
                <w:rFonts w:hint="eastAsia" w:ascii="宋体" w:hAnsi="宋体" w:cs="仿宋"/>
                <w:sz w:val="24"/>
                <w:szCs w:val="24"/>
              </w:rPr>
              <w:t>⑤电力系统发生故障导致交易系统无法运行的；</w:t>
            </w:r>
          </w:p>
          <w:p>
            <w:pPr>
              <w:spacing w:line="360" w:lineRule="auto"/>
              <w:ind w:left="1"/>
              <w:rPr>
                <w:rFonts w:ascii="宋体" w:hAnsi="宋体" w:cs="仿宋"/>
                <w:sz w:val="24"/>
                <w:szCs w:val="24"/>
              </w:rPr>
            </w:pPr>
            <w:r>
              <w:rPr>
                <w:rFonts w:hint="eastAsia" w:ascii="宋体" w:hAnsi="宋体" w:cs="仿宋"/>
                <w:sz w:val="24"/>
                <w:szCs w:val="24"/>
              </w:rPr>
              <w:t>⑥其他不可抗力（地震、洪水等）原因导致开标活动无法正常进行的。</w:t>
            </w:r>
          </w:p>
          <w:p>
            <w:pPr>
              <w:spacing w:line="360" w:lineRule="auto"/>
              <w:ind w:firstLine="480" w:firstLineChars="200"/>
              <w:rPr>
                <w:rFonts w:ascii="宋体" w:hAnsi="宋体" w:cs="仿宋"/>
                <w:sz w:val="24"/>
                <w:szCs w:val="24"/>
              </w:rPr>
            </w:pPr>
            <w:r>
              <w:rPr>
                <w:rFonts w:hint="eastAsia" w:ascii="宋体" w:hAnsi="宋体" w:cs="仿宋"/>
                <w:sz w:val="24"/>
                <w:szCs w:val="24"/>
              </w:rPr>
              <w:t>出现上述所列情形，不能及时解决的，应由项目招标人监管部门和交易中心及时进行协商。可以采取以下办法处理：</w:t>
            </w:r>
          </w:p>
          <w:p>
            <w:pPr>
              <w:spacing w:line="360" w:lineRule="auto"/>
              <w:ind w:left="1"/>
              <w:rPr>
                <w:rFonts w:ascii="宋体" w:hAnsi="宋体" w:cs="仿宋"/>
                <w:sz w:val="24"/>
                <w:szCs w:val="24"/>
              </w:rPr>
            </w:pPr>
            <w:r>
              <w:rPr>
                <w:rFonts w:hint="eastAsia" w:ascii="宋体" w:hAnsi="宋体" w:cs="仿宋"/>
                <w:sz w:val="24"/>
                <w:szCs w:val="24"/>
              </w:rPr>
              <w:t>（一）系统或网络故障在三小时内能排除的，项目不暂停开标，三小时内系统恢复运行后继续实施开标。</w:t>
            </w:r>
          </w:p>
          <w:p>
            <w:pPr>
              <w:spacing w:line="360" w:lineRule="auto"/>
              <w:ind w:left="567" w:hanging="567"/>
              <w:rPr>
                <w:rFonts w:ascii="宋体" w:hAnsi="宋体" w:cs="宋体"/>
                <w:sz w:val="24"/>
                <w:szCs w:val="24"/>
              </w:rPr>
            </w:pPr>
            <w:r>
              <w:rPr>
                <w:rFonts w:hint="eastAsia" w:ascii="宋体" w:hAnsi="宋体" w:cs="仿宋"/>
                <w:sz w:val="24"/>
                <w:szCs w:val="24"/>
              </w:rPr>
              <w:t>（二）系统或网络故障如</w:t>
            </w:r>
            <w:r>
              <w:rPr>
                <w:rFonts w:hint="eastAsia" w:ascii="宋体" w:hAnsi="宋体" w:cs="宋体"/>
                <w:sz w:val="24"/>
                <w:szCs w:val="24"/>
              </w:rPr>
              <w:t>无法排除的，采购活动终止，重新组织采购活动。</w:t>
            </w:r>
          </w:p>
          <w:p>
            <w:pPr>
              <w:spacing w:line="360" w:lineRule="auto"/>
              <w:jc w:val="left"/>
              <w:rPr>
                <w:rFonts w:hint="eastAsia" w:asciiTheme="minorEastAsia" w:hAnsiTheme="minorEastAsia" w:eastAsiaTheme="minorEastAsia" w:cstheme="minorEastAsia"/>
                <w:sz w:val="24"/>
                <w:szCs w:val="24"/>
              </w:rPr>
            </w:pPr>
            <w:r>
              <w:rPr>
                <w:rFonts w:hint="eastAsia" w:ascii="宋体" w:hAnsi="宋体" w:cs="仿宋"/>
                <w:sz w:val="24"/>
                <w:szCs w:val="24"/>
              </w:rPr>
              <w:t>7、投标人应仔细阅读江西省公共资源交易网（ https://www.jxsggzy.cn/web/ ）有关不见面开标的内容，如有疑问请联系新点工作人员，联系电话：400-998-0000。</w:t>
            </w:r>
          </w:p>
        </w:tc>
      </w:tr>
    </w:tbl>
    <w:p>
      <w:pPr>
        <w:rPr>
          <w:rFonts w:ascii="宋体" w:hAnsi="宋体" w:cs="宋体"/>
        </w:rPr>
      </w:pPr>
    </w:p>
    <w:p>
      <w:pPr>
        <w:pStyle w:val="4"/>
        <w:spacing w:before="0" w:after="0" w:line="460" w:lineRule="exact"/>
        <w:ind w:firstLine="3238" w:firstLineChars="1152"/>
        <w:jc w:val="left"/>
        <w:rPr>
          <w:rFonts w:ascii="宋体" w:hAnsi="宋体" w:eastAsia="宋体" w:cs="宋体"/>
          <w:sz w:val="28"/>
          <w:szCs w:val="28"/>
        </w:rPr>
      </w:pPr>
      <w:r>
        <w:rPr>
          <w:rFonts w:hint="eastAsia" w:ascii="宋体" w:hAnsi="宋体" w:eastAsia="宋体" w:cs="宋体"/>
          <w:sz w:val="28"/>
          <w:szCs w:val="28"/>
        </w:rPr>
        <w:t>二、说明</w:t>
      </w:r>
    </w:p>
    <w:p>
      <w:pPr>
        <w:spacing w:line="460" w:lineRule="exact"/>
        <w:rPr>
          <w:rFonts w:ascii="宋体" w:hAnsi="宋体" w:cs="宋体"/>
          <w:b/>
          <w:sz w:val="24"/>
          <w:szCs w:val="24"/>
        </w:rPr>
      </w:pPr>
      <w:r>
        <w:rPr>
          <w:rFonts w:hint="eastAsia" w:ascii="宋体" w:hAnsi="宋体" w:cs="宋体"/>
          <w:b/>
          <w:sz w:val="24"/>
          <w:szCs w:val="24"/>
        </w:rPr>
        <w:t>1. 适用范围</w:t>
      </w:r>
    </w:p>
    <w:p>
      <w:pPr>
        <w:spacing w:line="460" w:lineRule="exact"/>
        <w:rPr>
          <w:rFonts w:ascii="宋体" w:hAnsi="宋体" w:cs="宋体"/>
          <w:sz w:val="24"/>
          <w:szCs w:val="24"/>
        </w:rPr>
      </w:pPr>
      <w:r>
        <w:rPr>
          <w:rFonts w:hint="eastAsia" w:ascii="宋体" w:hAnsi="宋体" w:cs="宋体"/>
          <w:sz w:val="24"/>
          <w:szCs w:val="24"/>
        </w:rPr>
        <w:t>1.1本谈判文件仅适用于本“谈判邀请”中所述货物和有关服务的采购。</w:t>
      </w:r>
    </w:p>
    <w:p>
      <w:pPr>
        <w:spacing w:line="460" w:lineRule="exact"/>
        <w:rPr>
          <w:rFonts w:ascii="宋体" w:hAnsi="宋体" w:cs="宋体"/>
          <w:b/>
          <w:sz w:val="24"/>
          <w:szCs w:val="24"/>
        </w:rPr>
      </w:pPr>
      <w:r>
        <w:rPr>
          <w:rFonts w:hint="eastAsia" w:ascii="宋体" w:hAnsi="宋体" w:cs="宋体"/>
          <w:b/>
          <w:sz w:val="24"/>
          <w:szCs w:val="24"/>
        </w:rPr>
        <w:t>2. 定义</w:t>
      </w:r>
    </w:p>
    <w:p>
      <w:pPr>
        <w:spacing w:line="460" w:lineRule="exact"/>
        <w:ind w:left="510" w:hanging="510"/>
        <w:rPr>
          <w:rFonts w:ascii="宋体" w:hAnsi="宋体" w:cs="宋体"/>
          <w:sz w:val="24"/>
          <w:szCs w:val="24"/>
        </w:rPr>
      </w:pPr>
      <w:r>
        <w:rPr>
          <w:rFonts w:hint="eastAsia" w:ascii="宋体" w:hAnsi="宋体" w:cs="宋体"/>
          <w:sz w:val="24"/>
          <w:szCs w:val="24"/>
        </w:rPr>
        <w:t>2.1采购人：详见“第一章 谈判邀请”。</w:t>
      </w:r>
    </w:p>
    <w:p>
      <w:pPr>
        <w:spacing w:line="460" w:lineRule="exact"/>
        <w:ind w:left="510" w:hanging="510"/>
        <w:rPr>
          <w:rFonts w:ascii="宋体" w:hAnsi="宋体" w:cs="宋体"/>
          <w:sz w:val="24"/>
          <w:szCs w:val="24"/>
        </w:rPr>
      </w:pPr>
      <w:r>
        <w:rPr>
          <w:rFonts w:hint="eastAsia" w:ascii="宋体" w:hAnsi="宋体" w:cs="宋体"/>
          <w:sz w:val="24"/>
          <w:szCs w:val="24"/>
        </w:rPr>
        <w:t>2.2采购代理机构：详见“第一章 谈判邀请”。</w:t>
      </w:r>
    </w:p>
    <w:p>
      <w:pPr>
        <w:spacing w:line="460" w:lineRule="exact"/>
        <w:ind w:left="510" w:hanging="510"/>
        <w:rPr>
          <w:rFonts w:ascii="宋体" w:hAnsi="宋体" w:cs="宋体"/>
          <w:sz w:val="24"/>
          <w:szCs w:val="24"/>
        </w:rPr>
      </w:pPr>
      <w:r>
        <w:rPr>
          <w:rFonts w:hint="eastAsia" w:ascii="宋体" w:hAnsi="宋体" w:cs="宋体"/>
          <w:sz w:val="24"/>
          <w:szCs w:val="24"/>
        </w:rPr>
        <w:t>2.3供应商：是指向采购人提供“第一章 谈判邀请”中采购内容的法人、其它组织或者自然人。</w:t>
      </w:r>
    </w:p>
    <w:p>
      <w:pPr>
        <w:spacing w:line="460" w:lineRule="exact"/>
        <w:rPr>
          <w:rFonts w:ascii="宋体" w:hAnsi="宋体" w:cs="宋体"/>
          <w:b/>
          <w:sz w:val="24"/>
          <w:szCs w:val="24"/>
        </w:rPr>
      </w:pPr>
      <w:r>
        <w:rPr>
          <w:rFonts w:hint="eastAsia" w:ascii="宋体" w:hAnsi="宋体" w:cs="宋体"/>
          <w:b/>
          <w:sz w:val="24"/>
          <w:szCs w:val="24"/>
        </w:rPr>
        <w:t>3. 合格供应商</w:t>
      </w:r>
    </w:p>
    <w:p>
      <w:pPr>
        <w:spacing w:line="460" w:lineRule="exact"/>
        <w:rPr>
          <w:rFonts w:ascii="宋体" w:hAnsi="宋体" w:cs="宋体"/>
          <w:sz w:val="24"/>
          <w:szCs w:val="24"/>
        </w:rPr>
      </w:pPr>
      <w:r>
        <w:rPr>
          <w:rFonts w:hint="eastAsia" w:ascii="宋体" w:hAnsi="宋体" w:cs="宋体"/>
          <w:sz w:val="24"/>
          <w:szCs w:val="24"/>
        </w:rPr>
        <w:t>3.1供应商的资格条件：详见“第一章  谈判邀请”。</w:t>
      </w:r>
    </w:p>
    <w:p>
      <w:pPr>
        <w:spacing w:line="440" w:lineRule="exact"/>
        <w:ind w:left="480" w:hanging="480" w:hangingChars="200"/>
        <w:rPr>
          <w:rFonts w:ascii="宋体" w:hAnsi="宋体" w:cs="宋体"/>
          <w:sz w:val="24"/>
          <w:szCs w:val="24"/>
        </w:rPr>
      </w:pPr>
      <w:r>
        <w:rPr>
          <w:rFonts w:hint="eastAsia" w:ascii="宋体" w:hAnsi="宋体" w:cs="宋体"/>
          <w:sz w:val="24"/>
          <w:szCs w:val="24"/>
        </w:rPr>
        <w:t>3.2 联合体参加谈判</w:t>
      </w:r>
    </w:p>
    <w:p>
      <w:pPr>
        <w:spacing w:line="440" w:lineRule="exact"/>
        <w:rPr>
          <w:rFonts w:ascii="宋体" w:hAnsi="宋体" w:cs="宋体"/>
          <w:sz w:val="24"/>
          <w:szCs w:val="24"/>
        </w:rPr>
      </w:pPr>
      <w:r>
        <w:rPr>
          <w:rFonts w:hint="eastAsia" w:ascii="宋体" w:hAnsi="宋体" w:cs="宋体"/>
          <w:sz w:val="24"/>
          <w:szCs w:val="24"/>
        </w:rPr>
        <w:t>3.2.1是否接受联合体参加谈判：详见“第一章 谈判邀请”。</w:t>
      </w:r>
    </w:p>
    <w:p>
      <w:pPr>
        <w:spacing w:line="440" w:lineRule="exact"/>
        <w:ind w:left="480" w:hanging="480" w:hangingChars="200"/>
        <w:rPr>
          <w:rFonts w:ascii="宋体" w:hAnsi="宋体" w:cs="宋体"/>
          <w:i/>
          <w:sz w:val="24"/>
        </w:rPr>
      </w:pPr>
      <w:r>
        <w:rPr>
          <w:rFonts w:hint="eastAsia" w:ascii="宋体" w:hAnsi="宋体" w:cs="宋体"/>
          <w:sz w:val="24"/>
        </w:rPr>
        <w:t>3.2.2两个以上的自然人、法人或者其他组织可以组成一个联合体，以一个供应商的身份共同参加政府采购。以联合体形式进行政府采购的，并应当提交联合协议，载明联合体各方承担的工作和义务。联合体各方应当共同与采购人签订采购合同，就采购合同约定的事项对采购人承担连带责任。否则，将导致其响应文件无效；</w:t>
      </w:r>
      <w:r>
        <w:rPr>
          <w:rFonts w:hint="eastAsia" w:ascii="宋体" w:hAnsi="宋体" w:cs="宋体"/>
          <w:b/>
          <w:sz w:val="24"/>
        </w:rPr>
        <w:t>（</w:t>
      </w:r>
      <w:r>
        <w:rPr>
          <w:rFonts w:hint="eastAsia" w:ascii="宋体" w:hAnsi="宋体" w:cs="宋体"/>
          <w:b/>
          <w:i/>
          <w:sz w:val="24"/>
        </w:rPr>
        <w:t>适用于联合体参加谈判）</w:t>
      </w:r>
    </w:p>
    <w:p>
      <w:pPr>
        <w:spacing w:line="460" w:lineRule="exact"/>
        <w:ind w:left="480" w:hanging="480" w:hangingChars="200"/>
        <w:rPr>
          <w:rFonts w:ascii="宋体" w:hAnsi="宋体" w:cs="仿宋"/>
          <w:sz w:val="24"/>
          <w:szCs w:val="24"/>
        </w:rPr>
      </w:pPr>
      <w:r>
        <w:rPr>
          <w:rFonts w:hint="eastAsia" w:ascii="宋体" w:hAnsi="宋体" w:cs="仿宋"/>
          <w:sz w:val="24"/>
          <w:szCs w:val="24"/>
        </w:rPr>
        <w:t>3.2.3联合体各方均应当满足相应的资格条件，项目中有特定资质要求的，联合体当中承担此项工作的供应商必须具备相应的资质。</w:t>
      </w:r>
    </w:p>
    <w:p>
      <w:pPr>
        <w:spacing w:line="460" w:lineRule="exact"/>
        <w:ind w:left="479" w:leftChars="228"/>
        <w:rPr>
          <w:rFonts w:ascii="宋体" w:hAnsi="宋体" w:cs="仿宋"/>
          <w:sz w:val="24"/>
          <w:szCs w:val="24"/>
        </w:rPr>
      </w:pPr>
      <w:r>
        <w:rPr>
          <w:rFonts w:hint="eastAsia" w:ascii="宋体" w:hAnsi="宋体" w:cs="仿宋"/>
          <w:sz w:val="24"/>
          <w:szCs w:val="24"/>
        </w:rPr>
        <w:t>联合体中标后，必须由联合体中具备“相应”资质的供应商承担，否则将承担违约责任，并赔偿因违约给采购人造成的一切损失。</w:t>
      </w:r>
    </w:p>
    <w:p>
      <w:pPr>
        <w:spacing w:line="440" w:lineRule="exact"/>
        <w:ind w:left="480" w:hanging="480" w:hangingChars="200"/>
        <w:rPr>
          <w:rFonts w:ascii="宋体" w:hAnsi="宋体" w:cs="仿宋"/>
          <w:sz w:val="24"/>
          <w:szCs w:val="24"/>
        </w:rPr>
      </w:pPr>
      <w:r>
        <w:rPr>
          <w:rFonts w:hint="eastAsia" w:ascii="宋体" w:hAnsi="宋体" w:cs="仿宋"/>
          <w:sz w:val="24"/>
          <w:szCs w:val="24"/>
        </w:rPr>
        <w:t>3.2.4以联合体参加投标的，联合体中有同类资质的投标人按联合体分工承担相同工作的，应当按照资质等级较低的投标人确定资质等级。</w:t>
      </w:r>
      <w:r>
        <w:rPr>
          <w:rFonts w:hint="eastAsia" w:ascii="宋体" w:hAnsi="宋体" w:cs="宋体"/>
          <w:b/>
          <w:sz w:val="24"/>
        </w:rPr>
        <w:t>（</w:t>
      </w:r>
      <w:r>
        <w:rPr>
          <w:rFonts w:hint="eastAsia" w:ascii="宋体" w:hAnsi="宋体" w:cs="宋体"/>
          <w:b/>
          <w:i/>
          <w:sz w:val="24"/>
        </w:rPr>
        <w:t>适用于联合体参加谈判）</w:t>
      </w:r>
    </w:p>
    <w:p>
      <w:pPr>
        <w:spacing w:line="440" w:lineRule="exact"/>
        <w:ind w:left="480" w:hanging="480" w:hangingChars="200"/>
        <w:rPr>
          <w:rFonts w:ascii="宋体" w:hAnsi="宋体" w:cs="宋体"/>
          <w:i/>
          <w:sz w:val="24"/>
        </w:rPr>
      </w:pPr>
      <w:r>
        <w:rPr>
          <w:rFonts w:hint="eastAsia" w:ascii="宋体" w:hAnsi="宋体" w:cs="仿宋"/>
          <w:sz w:val="24"/>
          <w:szCs w:val="24"/>
        </w:rPr>
        <w:t>3.2.5联合体各方不得再单独参加或者与其他投标人另外组成联合体参加同一合同项下的政府采购活动。</w:t>
      </w:r>
      <w:r>
        <w:rPr>
          <w:rFonts w:hint="eastAsia" w:ascii="宋体" w:hAnsi="宋体" w:cs="仿宋"/>
          <w:b/>
          <w:i/>
          <w:sz w:val="24"/>
          <w:szCs w:val="24"/>
        </w:rPr>
        <w:t>（适用于联合体投标）</w:t>
      </w:r>
    </w:p>
    <w:p>
      <w:pPr>
        <w:spacing w:line="460" w:lineRule="exact"/>
        <w:rPr>
          <w:rFonts w:ascii="宋体" w:hAnsi="宋体" w:cs="宋体"/>
          <w:b/>
          <w:sz w:val="24"/>
          <w:szCs w:val="24"/>
        </w:rPr>
      </w:pPr>
      <w:r>
        <w:rPr>
          <w:rFonts w:hint="eastAsia" w:ascii="宋体" w:hAnsi="宋体" w:cs="宋体"/>
          <w:b/>
          <w:sz w:val="24"/>
          <w:szCs w:val="24"/>
        </w:rPr>
        <w:t>4. 谈判费用</w:t>
      </w:r>
    </w:p>
    <w:p>
      <w:pPr>
        <w:spacing w:line="460" w:lineRule="exact"/>
        <w:ind w:left="480" w:hanging="480" w:hangingChars="200"/>
        <w:rPr>
          <w:rFonts w:ascii="宋体" w:hAnsi="宋体" w:cs="宋体"/>
          <w:sz w:val="24"/>
          <w:szCs w:val="24"/>
        </w:rPr>
      </w:pPr>
      <w:r>
        <w:rPr>
          <w:rFonts w:hint="eastAsia" w:ascii="宋体" w:hAnsi="宋体" w:cs="宋体"/>
          <w:sz w:val="24"/>
          <w:szCs w:val="24"/>
        </w:rPr>
        <w:t>4.1不论谈判的结果如何，供应商应自行承担所有与准备和参加谈判有关的全部费用。采购代理机构在任何情况下均无义务和责任承担这些费用。</w:t>
      </w:r>
    </w:p>
    <w:p>
      <w:pPr>
        <w:spacing w:line="460" w:lineRule="exact"/>
        <w:rPr>
          <w:rFonts w:ascii="宋体" w:hAnsi="宋体" w:cs="宋体"/>
          <w:b/>
          <w:sz w:val="24"/>
          <w:szCs w:val="24"/>
        </w:rPr>
      </w:pPr>
      <w:r>
        <w:rPr>
          <w:rFonts w:hint="eastAsia" w:ascii="宋体" w:hAnsi="宋体" w:cs="宋体"/>
          <w:b/>
          <w:sz w:val="24"/>
          <w:szCs w:val="24"/>
        </w:rPr>
        <w:t>5. 供应商代表</w:t>
      </w:r>
    </w:p>
    <w:p>
      <w:pPr>
        <w:spacing w:line="460" w:lineRule="exact"/>
        <w:ind w:left="480" w:hanging="480" w:hangingChars="200"/>
        <w:rPr>
          <w:rFonts w:ascii="宋体" w:hAnsi="宋体" w:cs="宋体"/>
          <w:sz w:val="24"/>
          <w:szCs w:val="24"/>
        </w:rPr>
      </w:pPr>
      <w:r>
        <w:rPr>
          <w:rFonts w:hint="eastAsia" w:ascii="宋体" w:hAnsi="宋体" w:cs="宋体"/>
          <w:sz w:val="24"/>
          <w:szCs w:val="24"/>
        </w:rPr>
        <w:t>5.1指全权代表供应商参加谈判活动并签署响应文件的人。如果供应商代表不是法定代表人，须持有《法定代表人授权书》。（格式详见“第四章 响应文件格式9-6”）</w:t>
      </w:r>
    </w:p>
    <w:p>
      <w:pPr>
        <w:pStyle w:val="4"/>
        <w:spacing w:before="0" w:after="0" w:line="460" w:lineRule="exact"/>
        <w:ind w:firstLine="3238" w:firstLineChars="1152"/>
        <w:jc w:val="left"/>
        <w:rPr>
          <w:rFonts w:ascii="宋体" w:hAnsi="宋体" w:eastAsia="宋体" w:cs="宋体"/>
          <w:sz w:val="28"/>
          <w:szCs w:val="28"/>
        </w:rPr>
      </w:pPr>
      <w:bookmarkStart w:id="43" w:name="_Toc501638124"/>
      <w:r>
        <w:rPr>
          <w:rFonts w:hint="eastAsia" w:ascii="宋体" w:hAnsi="宋体" w:eastAsia="宋体" w:cs="宋体"/>
          <w:sz w:val="28"/>
          <w:szCs w:val="28"/>
        </w:rPr>
        <w:t>三、 谈判文件</w:t>
      </w:r>
      <w:bookmarkEnd w:id="43"/>
    </w:p>
    <w:p>
      <w:pPr>
        <w:spacing w:line="460" w:lineRule="exact"/>
        <w:rPr>
          <w:rFonts w:ascii="宋体" w:hAnsi="宋体" w:cs="宋体"/>
          <w:b/>
          <w:sz w:val="24"/>
          <w:szCs w:val="24"/>
        </w:rPr>
      </w:pPr>
      <w:r>
        <w:rPr>
          <w:rFonts w:hint="eastAsia" w:ascii="宋体" w:hAnsi="宋体" w:cs="宋体"/>
          <w:b/>
          <w:sz w:val="24"/>
          <w:szCs w:val="24"/>
        </w:rPr>
        <w:t>6. 谈判文件构成</w:t>
      </w:r>
    </w:p>
    <w:p>
      <w:pPr>
        <w:spacing w:line="460" w:lineRule="exact"/>
        <w:ind w:left="454" w:hanging="454"/>
        <w:rPr>
          <w:rFonts w:ascii="宋体" w:hAnsi="宋体" w:cs="宋体"/>
          <w:sz w:val="24"/>
          <w:szCs w:val="24"/>
        </w:rPr>
      </w:pPr>
      <w:r>
        <w:rPr>
          <w:rFonts w:hint="eastAsia" w:ascii="宋体" w:hAnsi="宋体" w:cs="宋体"/>
          <w:sz w:val="24"/>
          <w:szCs w:val="24"/>
        </w:rPr>
        <w:t>6.1 要求提供的货物和有关服务、谈判过程和合同条款在谈判文件中均有说明。谈判文件共五章，各章的内容如下</w:t>
      </w:r>
    </w:p>
    <w:p>
      <w:pPr>
        <w:numPr>
          <w:ilvl w:val="0"/>
          <w:numId w:val="4"/>
        </w:numPr>
        <w:spacing w:line="460" w:lineRule="exact"/>
        <w:ind w:left="480" w:firstLine="0"/>
        <w:rPr>
          <w:rFonts w:ascii="宋体" w:hAnsi="宋体" w:cs="宋体"/>
          <w:sz w:val="24"/>
          <w:szCs w:val="24"/>
        </w:rPr>
      </w:pPr>
      <w:r>
        <w:rPr>
          <w:rFonts w:hint="eastAsia" w:ascii="宋体" w:hAnsi="宋体" w:cs="宋体"/>
          <w:sz w:val="24"/>
          <w:szCs w:val="24"/>
        </w:rPr>
        <w:t>谈判邀请</w:t>
      </w:r>
    </w:p>
    <w:p>
      <w:pPr>
        <w:numPr>
          <w:ilvl w:val="0"/>
          <w:numId w:val="4"/>
        </w:numPr>
        <w:tabs>
          <w:tab w:val="left" w:pos="480"/>
          <w:tab w:val="clear" w:pos="1080"/>
        </w:tabs>
        <w:spacing w:line="460" w:lineRule="exact"/>
        <w:ind w:left="480" w:firstLine="0"/>
        <w:rPr>
          <w:rFonts w:ascii="宋体" w:hAnsi="宋体" w:cs="宋体"/>
          <w:sz w:val="24"/>
          <w:szCs w:val="24"/>
        </w:rPr>
      </w:pPr>
      <w:r>
        <w:rPr>
          <w:rFonts w:hint="eastAsia" w:ascii="宋体" w:hAnsi="宋体" w:cs="宋体"/>
          <w:sz w:val="24"/>
          <w:szCs w:val="24"/>
        </w:rPr>
        <w:t>供应商须知</w:t>
      </w:r>
    </w:p>
    <w:p>
      <w:pPr>
        <w:numPr>
          <w:ilvl w:val="0"/>
          <w:numId w:val="4"/>
        </w:numPr>
        <w:spacing w:line="460" w:lineRule="exact"/>
        <w:ind w:left="357" w:firstLine="123"/>
        <w:rPr>
          <w:rFonts w:ascii="宋体" w:hAnsi="宋体" w:cs="宋体"/>
          <w:sz w:val="24"/>
          <w:szCs w:val="24"/>
        </w:rPr>
      </w:pPr>
      <w:r>
        <w:rPr>
          <w:rFonts w:hint="eastAsia" w:ascii="宋体" w:hAnsi="宋体" w:cs="宋体"/>
          <w:sz w:val="24"/>
          <w:szCs w:val="24"/>
        </w:rPr>
        <w:t>拟签订的合同文本</w:t>
      </w:r>
    </w:p>
    <w:p>
      <w:pPr>
        <w:numPr>
          <w:ilvl w:val="0"/>
          <w:numId w:val="4"/>
        </w:numPr>
        <w:spacing w:line="460" w:lineRule="exact"/>
        <w:ind w:left="357" w:firstLine="123"/>
        <w:rPr>
          <w:rFonts w:ascii="宋体" w:hAnsi="宋体" w:cs="宋体"/>
          <w:sz w:val="24"/>
          <w:szCs w:val="24"/>
        </w:rPr>
      </w:pPr>
      <w:r>
        <w:rPr>
          <w:rFonts w:hint="eastAsia" w:ascii="宋体" w:hAnsi="宋体" w:cs="宋体"/>
          <w:sz w:val="24"/>
          <w:szCs w:val="24"/>
        </w:rPr>
        <w:t>响应文件格式</w:t>
      </w:r>
    </w:p>
    <w:p>
      <w:pPr>
        <w:numPr>
          <w:ilvl w:val="0"/>
          <w:numId w:val="4"/>
        </w:numPr>
        <w:spacing w:line="460" w:lineRule="exact"/>
        <w:ind w:left="357" w:firstLine="123"/>
        <w:rPr>
          <w:rFonts w:ascii="宋体" w:hAnsi="宋体" w:cs="宋体"/>
          <w:sz w:val="24"/>
          <w:szCs w:val="24"/>
        </w:rPr>
      </w:pPr>
      <w:r>
        <w:rPr>
          <w:rFonts w:hint="eastAsia" w:ascii="宋体" w:hAnsi="宋体" w:cs="宋体"/>
          <w:sz w:val="24"/>
          <w:szCs w:val="24"/>
        </w:rPr>
        <w:t>采购需求一览表及采购要求</w:t>
      </w:r>
    </w:p>
    <w:p>
      <w:pPr>
        <w:spacing w:line="460" w:lineRule="exact"/>
        <w:ind w:left="454" w:hanging="454"/>
        <w:rPr>
          <w:rFonts w:ascii="宋体" w:hAnsi="宋体" w:cs="宋体"/>
          <w:sz w:val="24"/>
          <w:szCs w:val="24"/>
        </w:rPr>
      </w:pPr>
      <w:r>
        <w:rPr>
          <w:rFonts w:hint="eastAsia" w:ascii="宋体" w:hAnsi="宋体" w:cs="宋体"/>
          <w:sz w:val="24"/>
          <w:szCs w:val="24"/>
        </w:rPr>
        <w:t>6.2 除非有特殊要求，谈判文件不单独提供谈判货物使用地的自然环境、气候条件、公用设施等情况，供应商被视为熟悉上述与履行合同有关的一切情况。</w:t>
      </w:r>
    </w:p>
    <w:p>
      <w:pPr>
        <w:spacing w:line="460" w:lineRule="exact"/>
        <w:rPr>
          <w:rFonts w:ascii="宋体" w:hAnsi="宋体" w:cs="宋体"/>
          <w:b/>
          <w:sz w:val="24"/>
          <w:szCs w:val="24"/>
        </w:rPr>
      </w:pPr>
      <w:r>
        <w:rPr>
          <w:rFonts w:hint="eastAsia" w:ascii="宋体" w:hAnsi="宋体" w:cs="宋体"/>
          <w:b/>
          <w:sz w:val="24"/>
          <w:szCs w:val="24"/>
        </w:rPr>
        <w:t>7. 谈判文件的澄清和修改</w:t>
      </w:r>
    </w:p>
    <w:p>
      <w:pPr>
        <w:spacing w:line="460" w:lineRule="exact"/>
        <w:ind w:left="454" w:hanging="454"/>
        <w:rPr>
          <w:rFonts w:ascii="宋体" w:hAnsi="宋体" w:cs="宋体"/>
          <w:sz w:val="24"/>
          <w:szCs w:val="24"/>
        </w:rPr>
      </w:pPr>
      <w:r>
        <w:rPr>
          <w:rFonts w:hint="eastAsia" w:ascii="宋体" w:hAnsi="宋体" w:cs="宋体"/>
          <w:sz w:val="24"/>
          <w:szCs w:val="24"/>
        </w:rPr>
        <w:t>7.1 提交首次响应文件截止时间前的任何时候，采购代理机构可以对已发出的谈判文件进行必要的澄清或者修改，澄清或者修改的内容作为谈判文件的组成部分。</w:t>
      </w:r>
    </w:p>
    <w:p>
      <w:pPr>
        <w:spacing w:line="460" w:lineRule="exact"/>
        <w:ind w:left="454" w:hanging="454"/>
        <w:rPr>
          <w:rFonts w:ascii="宋体" w:hAnsi="宋体" w:cs="宋体"/>
          <w:color w:val="000000"/>
          <w:sz w:val="24"/>
          <w:szCs w:val="24"/>
        </w:rPr>
      </w:pPr>
      <w:r>
        <w:rPr>
          <w:rFonts w:hint="eastAsia" w:ascii="宋体" w:hAnsi="宋体" w:cs="宋体"/>
          <w:sz w:val="24"/>
          <w:szCs w:val="24"/>
        </w:rPr>
        <w:t>7.2澄清或者修改的内容可能影响响应文件编制的，采购代理机构应当在提交首次响应文件截止之日3个工作日前，</w:t>
      </w:r>
      <w:r>
        <w:rPr>
          <w:rFonts w:hint="eastAsia" w:ascii="宋体" w:hAnsi="宋体" w:cs="仿宋"/>
          <w:sz w:val="24"/>
          <w:szCs w:val="24"/>
        </w:rPr>
        <w:t>在江西政府采购网以及江西省公共资源交易网上发布更正公告，上传答疑澄清文件。</w:t>
      </w:r>
      <w:r>
        <w:rPr>
          <w:rFonts w:hint="eastAsia" w:ascii="宋体" w:hAnsi="宋体" w:cs="宋体"/>
          <w:color w:val="000000"/>
          <w:sz w:val="24"/>
          <w:szCs w:val="24"/>
        </w:rPr>
        <w:t>不足3个工作日的，应当顺延提交首次响应文件截止之日。</w:t>
      </w:r>
    </w:p>
    <w:p>
      <w:pPr>
        <w:spacing w:line="460" w:lineRule="exact"/>
        <w:ind w:left="454" w:hanging="454"/>
        <w:rPr>
          <w:rFonts w:ascii="宋体" w:hAnsi="宋体" w:cs="宋体"/>
          <w:color w:val="000000"/>
          <w:sz w:val="24"/>
          <w:szCs w:val="24"/>
        </w:rPr>
      </w:pPr>
      <w:r>
        <w:rPr>
          <w:rFonts w:hint="eastAsia" w:ascii="宋体" w:hAnsi="宋体" w:cs="宋体"/>
          <w:color w:val="000000"/>
          <w:sz w:val="24"/>
          <w:szCs w:val="24"/>
        </w:rPr>
        <w:t>7.3</w:t>
      </w:r>
      <w:r>
        <w:rPr>
          <w:rFonts w:hint="eastAsia" w:ascii="宋体" w:hAnsi="宋体" w:cs="仿宋"/>
          <w:sz w:val="24"/>
          <w:szCs w:val="24"/>
        </w:rPr>
        <w:t>已下载谈判文件的供应商必须在江西省公共资源交易网上下载答疑澄清文件。供应商因未下载答疑澄清文件、由此可能引起的响应文件递交失败、解密失败、内容缺失等相关后果由供应商自行承担。</w:t>
      </w:r>
    </w:p>
    <w:p>
      <w:pPr>
        <w:spacing w:line="460" w:lineRule="exact"/>
        <w:rPr>
          <w:rFonts w:ascii="宋体" w:hAnsi="宋体" w:cs="宋体"/>
          <w:b/>
          <w:sz w:val="24"/>
          <w:szCs w:val="24"/>
        </w:rPr>
      </w:pPr>
      <w:bookmarkStart w:id="44" w:name="_Toc495487710"/>
      <w:bookmarkStart w:id="45" w:name="_Toc501101639"/>
      <w:bookmarkStart w:id="46" w:name="_Toc499477410"/>
      <w:r>
        <w:rPr>
          <w:rFonts w:hint="eastAsia" w:ascii="宋体" w:hAnsi="宋体" w:cs="宋体"/>
          <w:b/>
          <w:sz w:val="24"/>
          <w:szCs w:val="24"/>
        </w:rPr>
        <w:t>8.供应商应当提交的资格、资信证明文件</w:t>
      </w:r>
      <w:bookmarkEnd w:id="44"/>
      <w:bookmarkEnd w:id="45"/>
      <w:bookmarkEnd w:id="46"/>
    </w:p>
    <w:p>
      <w:pPr>
        <w:spacing w:line="440" w:lineRule="exact"/>
        <w:ind w:left="454" w:hanging="454"/>
        <w:rPr>
          <w:rFonts w:ascii="宋体" w:hAnsi="宋体" w:cs="宋体"/>
          <w:sz w:val="24"/>
          <w:szCs w:val="24"/>
        </w:rPr>
      </w:pPr>
      <w:r>
        <w:rPr>
          <w:rFonts w:hint="eastAsia" w:ascii="宋体" w:hAnsi="宋体" w:cs="宋体"/>
          <w:sz w:val="24"/>
          <w:szCs w:val="24"/>
        </w:rPr>
        <w:t>8.1具有独立承担民事责任的能力的资格证明文件</w:t>
      </w:r>
    </w:p>
    <w:p>
      <w:pPr>
        <w:spacing w:line="440" w:lineRule="exact"/>
        <w:ind w:left="454" w:hanging="454"/>
        <w:rPr>
          <w:rFonts w:ascii="宋体" w:hAnsi="宋体" w:cs="宋体"/>
          <w:sz w:val="24"/>
          <w:szCs w:val="24"/>
        </w:rPr>
      </w:pPr>
      <w:r>
        <w:rPr>
          <w:rFonts w:hint="eastAsia" w:ascii="宋体" w:hAnsi="宋体" w:cs="宋体"/>
          <w:sz w:val="24"/>
          <w:szCs w:val="24"/>
        </w:rPr>
        <w:t xml:space="preserve">8.2具有良好的商业信誉和健全的财务会计制度的证明文件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8.3 具有履行合同所必须的设备和专业技术能力的证明文件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8.4 有依法缴纳税收和社会保障资金的良好记录的证明文件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8.5参加政府采购前三年内,在经营活动中没有重大违法记录的证明文件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8.6法定代表人授权书 </w:t>
      </w:r>
    </w:p>
    <w:p>
      <w:pPr>
        <w:spacing w:line="440" w:lineRule="exact"/>
        <w:ind w:left="454" w:hanging="454"/>
        <w:rPr>
          <w:rFonts w:ascii="宋体" w:hAnsi="宋体" w:cs="宋体"/>
          <w:sz w:val="24"/>
          <w:szCs w:val="24"/>
        </w:rPr>
      </w:pPr>
      <w:r>
        <w:rPr>
          <w:rFonts w:hint="eastAsia" w:ascii="宋体" w:hAnsi="宋体" w:cs="宋体"/>
          <w:sz w:val="24"/>
          <w:szCs w:val="24"/>
        </w:rPr>
        <w:t>8.7供应商的资格声明</w:t>
      </w:r>
    </w:p>
    <w:p>
      <w:pPr>
        <w:spacing w:line="440" w:lineRule="exact"/>
        <w:ind w:left="454" w:hanging="454"/>
        <w:rPr>
          <w:rFonts w:ascii="宋体" w:hAnsi="宋体" w:cs="宋体"/>
          <w:sz w:val="24"/>
          <w:szCs w:val="24"/>
        </w:rPr>
      </w:pPr>
      <w:r>
        <w:rPr>
          <w:rFonts w:hint="eastAsia" w:ascii="宋体" w:hAnsi="宋体" w:cs="宋体"/>
          <w:sz w:val="24"/>
          <w:szCs w:val="24"/>
        </w:rPr>
        <w:t>8.8谈判保证金凭证</w:t>
      </w:r>
    </w:p>
    <w:p>
      <w:pPr>
        <w:spacing w:line="440" w:lineRule="exact"/>
        <w:ind w:left="454" w:hanging="454"/>
        <w:rPr>
          <w:rFonts w:ascii="宋体" w:hAnsi="宋体" w:cs="宋体"/>
          <w:b/>
          <w:sz w:val="24"/>
          <w:szCs w:val="24"/>
        </w:rPr>
      </w:pPr>
      <w:r>
        <w:rPr>
          <w:rFonts w:hint="eastAsia" w:ascii="宋体" w:hAnsi="宋体" w:cs="宋体"/>
          <w:sz w:val="24"/>
          <w:szCs w:val="24"/>
        </w:rPr>
        <w:t>8.9联合体协议</w:t>
      </w:r>
      <w:r>
        <w:rPr>
          <w:rFonts w:hint="eastAsia" w:ascii="宋体" w:hAnsi="宋体" w:cs="宋体"/>
          <w:b/>
          <w:i/>
          <w:sz w:val="24"/>
          <w:szCs w:val="24"/>
        </w:rPr>
        <w:t>（仅适用于联合体参加谈判）</w:t>
      </w:r>
    </w:p>
    <w:p>
      <w:pPr>
        <w:spacing w:line="440" w:lineRule="exact"/>
        <w:ind w:left="454" w:hanging="454"/>
        <w:rPr>
          <w:rFonts w:ascii="宋体" w:hAnsi="宋体" w:cs="宋体"/>
          <w:sz w:val="24"/>
          <w:szCs w:val="24"/>
        </w:rPr>
      </w:pPr>
      <w:r>
        <w:rPr>
          <w:rFonts w:hint="eastAsia" w:ascii="宋体" w:hAnsi="宋体" w:cs="宋体"/>
          <w:sz w:val="24"/>
          <w:szCs w:val="24"/>
        </w:rPr>
        <w:t>8.10 其他资格证明文件</w:t>
      </w:r>
    </w:p>
    <w:p>
      <w:pPr>
        <w:spacing w:line="460" w:lineRule="exact"/>
        <w:ind w:left="282" w:hanging="282" w:hangingChars="117"/>
        <w:rPr>
          <w:rFonts w:ascii="宋体" w:hAnsi="宋体" w:cs="宋体"/>
          <w:b/>
          <w:sz w:val="24"/>
          <w:szCs w:val="24"/>
        </w:rPr>
      </w:pPr>
      <w:r>
        <w:rPr>
          <w:rFonts w:hint="eastAsia" w:ascii="宋体" w:hAnsi="宋体" w:cs="宋体"/>
          <w:b/>
          <w:sz w:val="24"/>
          <w:szCs w:val="24"/>
        </w:rPr>
        <w:t>9.为落实政府采购政策，参加谈判的供应商和采购的货物需满足的要求及供应商需提供的证明材料</w:t>
      </w:r>
    </w:p>
    <w:p>
      <w:pPr>
        <w:spacing w:line="460" w:lineRule="exact"/>
        <w:rPr>
          <w:rFonts w:ascii="宋体" w:hAnsi="宋体" w:cs="宋体"/>
          <w:b/>
          <w:sz w:val="24"/>
          <w:szCs w:val="24"/>
        </w:rPr>
      </w:pPr>
      <w:r>
        <w:rPr>
          <w:rFonts w:hint="eastAsia" w:ascii="宋体" w:hAnsi="宋体" w:cs="宋体"/>
          <w:sz w:val="24"/>
          <w:szCs w:val="24"/>
        </w:rPr>
        <w:t xml:space="preserve">9.1 </w:t>
      </w:r>
      <w:r>
        <w:rPr>
          <w:rFonts w:hint="eastAsia" w:ascii="宋体" w:hAnsi="宋体" w:cs="宋体"/>
          <w:b/>
          <w:sz w:val="24"/>
          <w:szCs w:val="24"/>
        </w:rPr>
        <w:t>中小企业参加谈判</w:t>
      </w:r>
    </w:p>
    <w:p>
      <w:pPr>
        <w:spacing w:line="460" w:lineRule="exact"/>
        <w:ind w:left="454" w:hanging="454"/>
        <w:rPr>
          <w:rFonts w:ascii="宋体" w:hAnsi="宋体" w:cs="宋体"/>
          <w:color w:val="0D0D0D"/>
          <w:sz w:val="24"/>
          <w:szCs w:val="24"/>
        </w:rPr>
      </w:pPr>
      <w:r>
        <w:rPr>
          <w:rFonts w:hint="eastAsia" w:ascii="宋体" w:hAnsi="宋体" w:cs="宋体"/>
          <w:color w:val="0D0D0D"/>
          <w:sz w:val="24"/>
          <w:szCs w:val="24"/>
        </w:rPr>
        <w:t>9.1.1中小企业（含中型、小型、微型企业，下同）参加竞争性谈判</w:t>
      </w:r>
    </w:p>
    <w:p>
      <w:pPr>
        <w:spacing w:line="460" w:lineRule="exact"/>
        <w:rPr>
          <w:rFonts w:ascii="宋体" w:hAnsi="宋体" w:cs="宋体"/>
          <w:sz w:val="24"/>
          <w:szCs w:val="24"/>
        </w:rPr>
      </w:pPr>
      <w:r>
        <w:rPr>
          <w:rFonts w:hint="eastAsia" w:ascii="宋体" w:hAnsi="宋体" w:cs="宋体"/>
          <w:sz w:val="24"/>
          <w:szCs w:val="24"/>
        </w:rPr>
        <w:t>（1）符合国务院批准的中小企业划分标准（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460" w:lineRule="exact"/>
        <w:rPr>
          <w:rFonts w:ascii="宋体" w:hAnsi="宋体" w:cs="宋体"/>
          <w:sz w:val="24"/>
          <w:szCs w:val="24"/>
        </w:rPr>
      </w:pPr>
      <w:r>
        <w:rPr>
          <w:rFonts w:hint="eastAsia" w:ascii="宋体" w:hAnsi="宋体" w:cs="宋体"/>
          <w:sz w:val="24"/>
          <w:szCs w:val="24"/>
        </w:rPr>
        <w:t>（2）货物由中小企业制造，即货物由中小企业生产且使用该中小企业商号或者注册商标；本项所称货物不包括使用大型企业注册商标的货物；</w:t>
      </w:r>
    </w:p>
    <w:p>
      <w:pPr>
        <w:spacing w:line="460" w:lineRule="exact"/>
        <w:rPr>
          <w:rFonts w:ascii="宋体" w:hAnsi="宋体" w:cs="宋体"/>
          <w:sz w:val="24"/>
          <w:szCs w:val="24"/>
        </w:rPr>
      </w:pPr>
      <w:r>
        <w:rPr>
          <w:rFonts w:hint="eastAsia" w:ascii="宋体" w:hAnsi="宋体" w:cs="宋体"/>
          <w:sz w:val="24"/>
          <w:szCs w:val="24"/>
        </w:rPr>
        <w:t>（3）小型、微型企业提供中型企业制造的货物的，视同为中型企业。</w:t>
      </w:r>
    </w:p>
    <w:p>
      <w:pPr>
        <w:spacing w:line="460" w:lineRule="exact"/>
        <w:rPr>
          <w:rFonts w:ascii="宋体" w:hAnsi="宋体" w:cs="宋体"/>
          <w:sz w:val="24"/>
          <w:szCs w:val="24"/>
        </w:rPr>
      </w:pPr>
      <w:r>
        <w:rPr>
          <w:rFonts w:hint="eastAsia" w:ascii="宋体" w:hAnsi="宋体" w:cs="宋体"/>
          <w:sz w:val="24"/>
          <w:szCs w:val="24"/>
        </w:rPr>
        <w:t>（4）在货物采购项目中，供应商提供的货物既有中小企业制造货物，也有大型企业制造货物的，不享受中小企业扶持政策。</w:t>
      </w:r>
    </w:p>
    <w:p>
      <w:pPr>
        <w:spacing w:line="460" w:lineRule="exact"/>
        <w:rPr>
          <w:rFonts w:ascii="宋体" w:hAnsi="宋体" w:cs="宋体"/>
          <w:sz w:val="24"/>
          <w:szCs w:val="24"/>
        </w:rPr>
      </w:pPr>
      <w:r>
        <w:rPr>
          <w:rFonts w:hint="eastAsia" w:ascii="宋体" w:hAnsi="宋体" w:cs="宋体"/>
          <w:sz w:val="24"/>
          <w:szCs w:val="24"/>
        </w:rPr>
        <w:t>（5）以联合体形式参加政府采购活动，联合体各方均为中小企业的，联合体视同中小企业。其中，联合体各方均为小微企业的，联合体视同小微企业。（适用于联合体投标）</w:t>
      </w:r>
    </w:p>
    <w:p>
      <w:pPr>
        <w:spacing w:line="460" w:lineRule="exact"/>
        <w:rPr>
          <w:rFonts w:ascii="宋体" w:hAnsi="宋体" w:cs="宋体"/>
          <w:b/>
          <w:bCs/>
          <w:sz w:val="24"/>
          <w:szCs w:val="24"/>
        </w:rPr>
      </w:pPr>
      <w:r>
        <w:rPr>
          <w:rFonts w:hint="eastAsia" w:ascii="宋体" w:hAnsi="宋体" w:cs="宋体"/>
          <w:sz w:val="24"/>
          <w:szCs w:val="24"/>
        </w:rPr>
        <w:t>（6）组成联合体或者接受分包合同的中小企业与联合体内其他企业、分包企业之间不得存在直接控股、管理关系。</w:t>
      </w:r>
      <w:r>
        <w:rPr>
          <w:rFonts w:hint="eastAsia" w:ascii="宋体" w:hAnsi="宋体" w:cs="宋体"/>
          <w:b/>
          <w:bCs/>
          <w:sz w:val="24"/>
          <w:szCs w:val="24"/>
        </w:rPr>
        <w:t>(适用于涉及中小企业的联合体投标或者允许合同分包的采购项目)</w:t>
      </w:r>
    </w:p>
    <w:p>
      <w:pPr>
        <w:spacing w:line="460" w:lineRule="exact"/>
        <w:ind w:left="600" w:hanging="600" w:hangingChars="250"/>
        <w:rPr>
          <w:rFonts w:ascii="宋体" w:hAnsi="宋体" w:cs="宋体"/>
          <w:sz w:val="24"/>
          <w:szCs w:val="24"/>
        </w:rPr>
      </w:pPr>
      <w:r>
        <w:rPr>
          <w:rFonts w:hint="eastAsia" w:ascii="宋体" w:hAnsi="宋体" w:cs="宋体"/>
          <w:sz w:val="24"/>
          <w:szCs w:val="24"/>
        </w:rPr>
        <w:t>9.1.2供应商提供的货物为中小企业制造的, 响应时必须提供制造商的《中小企业声明函》。（格式详见“第四章响应文件格式7-1”）</w:t>
      </w:r>
    </w:p>
    <w:p>
      <w:pPr>
        <w:spacing w:line="460" w:lineRule="exact"/>
        <w:ind w:left="600" w:hanging="600" w:hangingChars="250"/>
        <w:rPr>
          <w:rFonts w:ascii="宋体" w:hAnsi="宋体" w:cs="宋体"/>
          <w:sz w:val="24"/>
          <w:szCs w:val="24"/>
        </w:rPr>
      </w:pPr>
      <w:r>
        <w:rPr>
          <w:rFonts w:hint="eastAsia" w:ascii="宋体" w:hAnsi="宋体" w:cs="宋体"/>
          <w:sz w:val="24"/>
          <w:szCs w:val="24"/>
        </w:rPr>
        <w:t>9.2</w:t>
      </w:r>
      <w:r>
        <w:rPr>
          <w:rFonts w:hint="eastAsia" w:ascii="宋体" w:hAnsi="宋体" w:cs="宋体"/>
          <w:b/>
          <w:sz w:val="24"/>
          <w:szCs w:val="24"/>
        </w:rPr>
        <w:t>监狱企业参加谈判</w:t>
      </w:r>
    </w:p>
    <w:p>
      <w:pPr>
        <w:spacing w:line="460" w:lineRule="exact"/>
        <w:rPr>
          <w:rFonts w:ascii="宋体" w:hAnsi="宋体" w:cs="宋体"/>
          <w:sz w:val="24"/>
          <w:szCs w:val="24"/>
        </w:rPr>
      </w:pPr>
      <w:r>
        <w:rPr>
          <w:rFonts w:hint="eastAsia" w:ascii="宋体" w:hAnsi="宋体" w:cs="宋体"/>
          <w:sz w:val="24"/>
          <w:szCs w:val="24"/>
        </w:rPr>
        <w:t>9.2.1监狱企业应当符合以下条件</w:t>
      </w:r>
    </w:p>
    <w:p>
      <w:pPr>
        <w:spacing w:line="460" w:lineRule="exact"/>
        <w:ind w:left="525" w:leftChars="250"/>
        <w:rPr>
          <w:rFonts w:ascii="宋体" w:hAnsi="宋体" w:cs="宋体"/>
          <w:sz w:val="24"/>
          <w:szCs w:val="24"/>
        </w:rPr>
      </w:pPr>
      <w:r>
        <w:rPr>
          <w:rFonts w:hint="eastAsia" w:ascii="宋体" w:hAnsi="宋体" w:cs="宋体"/>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460" w:lineRule="exact"/>
        <w:rPr>
          <w:rFonts w:ascii="宋体" w:hAnsi="宋体" w:cs="宋体"/>
          <w:sz w:val="24"/>
          <w:szCs w:val="24"/>
        </w:rPr>
      </w:pPr>
      <w:r>
        <w:rPr>
          <w:rFonts w:hint="eastAsia" w:ascii="宋体" w:hAnsi="宋体" w:cs="宋体"/>
          <w:sz w:val="24"/>
          <w:szCs w:val="24"/>
        </w:rPr>
        <w:t>9.2.2监狱企业参加谈判须提供的证明材料</w:t>
      </w:r>
    </w:p>
    <w:p>
      <w:pPr>
        <w:spacing w:line="460" w:lineRule="exact"/>
        <w:ind w:left="525" w:leftChars="250"/>
        <w:rPr>
          <w:rFonts w:ascii="宋体" w:hAnsi="宋体" w:cs="宋体"/>
          <w:sz w:val="24"/>
          <w:szCs w:val="24"/>
        </w:rPr>
      </w:pPr>
      <w:r>
        <w:rPr>
          <w:rFonts w:hint="eastAsia" w:ascii="宋体" w:hAnsi="宋体" w:cs="宋体"/>
          <w:sz w:val="24"/>
          <w:szCs w:val="24"/>
        </w:rPr>
        <w:t>监狱企业参加政府采购活动时，应当提供由省级以上监狱管理局、戒毒管理局（含新疆生产建设兵团）出具的属于监狱企业的证明文件。（格式详见“第四章响应文件格式7-2”）</w:t>
      </w:r>
    </w:p>
    <w:p>
      <w:pPr>
        <w:spacing w:line="460" w:lineRule="exact"/>
        <w:rPr>
          <w:rFonts w:ascii="宋体" w:hAnsi="宋体" w:cs="宋体"/>
          <w:b/>
          <w:sz w:val="24"/>
          <w:szCs w:val="24"/>
        </w:rPr>
      </w:pPr>
      <w:r>
        <w:rPr>
          <w:rFonts w:hint="eastAsia" w:ascii="宋体" w:hAnsi="宋体" w:cs="宋体"/>
          <w:sz w:val="24"/>
          <w:szCs w:val="24"/>
        </w:rPr>
        <w:t>9.3</w:t>
      </w:r>
      <w:r>
        <w:rPr>
          <w:rFonts w:hint="eastAsia" w:ascii="宋体" w:hAnsi="宋体" w:cs="宋体"/>
          <w:b/>
          <w:sz w:val="24"/>
          <w:szCs w:val="24"/>
        </w:rPr>
        <w:t>残疾人福利性单位参加谈判</w:t>
      </w:r>
    </w:p>
    <w:p>
      <w:pPr>
        <w:spacing w:line="460" w:lineRule="exact"/>
        <w:rPr>
          <w:rFonts w:ascii="宋体" w:hAnsi="宋体" w:cs="宋体"/>
          <w:sz w:val="24"/>
          <w:szCs w:val="24"/>
        </w:rPr>
      </w:pPr>
      <w:r>
        <w:rPr>
          <w:rFonts w:hint="eastAsia" w:ascii="宋体" w:hAnsi="宋体" w:cs="宋体"/>
          <w:sz w:val="24"/>
          <w:szCs w:val="24"/>
        </w:rPr>
        <w:t>9.3.1享受政府采购支持政策的残疾人福利性单位应当同时满足以下条件</w:t>
      </w:r>
    </w:p>
    <w:p>
      <w:pPr>
        <w:spacing w:line="460" w:lineRule="exact"/>
        <w:ind w:left="839" w:leftChars="114" w:hanging="600" w:hangingChars="25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pPr>
        <w:spacing w:line="460" w:lineRule="exact"/>
        <w:rPr>
          <w:rFonts w:ascii="宋体" w:hAnsi="宋体" w:cs="宋体"/>
          <w:sz w:val="24"/>
          <w:szCs w:val="24"/>
        </w:rPr>
      </w:pPr>
      <w:r>
        <w:rPr>
          <w:rFonts w:hint="eastAsia" w:ascii="宋体" w:hAnsi="宋体" w:cs="宋体"/>
          <w:sz w:val="24"/>
          <w:szCs w:val="24"/>
        </w:rPr>
        <w:t>　（2）依法与安置的每位残疾人签订了一年以上（含一年）的劳动合同或服务协议；</w:t>
      </w:r>
    </w:p>
    <w:p>
      <w:pPr>
        <w:spacing w:line="460" w:lineRule="exact"/>
        <w:ind w:left="840" w:hanging="840" w:hangingChars="350"/>
        <w:rPr>
          <w:rFonts w:ascii="宋体" w:hAnsi="宋体" w:cs="宋体"/>
          <w:sz w:val="24"/>
          <w:szCs w:val="24"/>
        </w:rPr>
      </w:pPr>
      <w:r>
        <w:rPr>
          <w:rFonts w:hint="eastAsia" w:ascii="宋体" w:hAnsi="宋体" w:cs="宋体"/>
          <w:sz w:val="24"/>
          <w:szCs w:val="24"/>
        </w:rPr>
        <w:t>　（3）为安置的每位残疾人按月足额缴纳了基本养老保险、基本医疗保险、失业保险、工伤保险和生育保险等社会保险费；</w:t>
      </w:r>
    </w:p>
    <w:p>
      <w:pPr>
        <w:spacing w:line="460" w:lineRule="exact"/>
        <w:ind w:left="840" w:hanging="840" w:hangingChars="350"/>
        <w:rPr>
          <w:rFonts w:ascii="宋体" w:hAnsi="宋体" w:cs="宋体"/>
          <w:sz w:val="24"/>
          <w:szCs w:val="24"/>
        </w:rPr>
      </w:pPr>
      <w:r>
        <w:rPr>
          <w:rFonts w:hint="eastAsia" w:ascii="宋体" w:hAnsi="宋体" w:cs="宋体"/>
          <w:sz w:val="24"/>
          <w:szCs w:val="24"/>
        </w:rPr>
        <w:t>　（4）通过银行等金融机构向安置的每位残疾人，按月支付了不低于单位所在区县适用的经省级人民政府批准的月最低工资标准的工资；</w:t>
      </w:r>
    </w:p>
    <w:p>
      <w:pPr>
        <w:spacing w:line="460" w:lineRule="exact"/>
        <w:ind w:left="810" w:leftChars="100" w:hanging="600" w:hangingChars="25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pPr>
        <w:spacing w:line="460" w:lineRule="exact"/>
        <w:ind w:left="840" w:hanging="840" w:hangingChars="350"/>
        <w:rPr>
          <w:rFonts w:ascii="宋体" w:hAnsi="宋体" w:cs="宋体"/>
          <w:sz w:val="24"/>
          <w:szCs w:val="24"/>
        </w:rPr>
      </w:pPr>
      <w:r>
        <w:rPr>
          <w:rFonts w:hint="eastAsia" w:ascii="宋体" w:hAnsi="宋体" w:cs="宋体"/>
          <w:sz w:val="24"/>
          <w:szCs w:val="24"/>
        </w:rPr>
        <w:t>9.3.2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line="460" w:lineRule="exact"/>
        <w:ind w:left="840" w:hanging="840" w:hangingChars="350"/>
        <w:rPr>
          <w:rFonts w:ascii="宋体" w:hAnsi="宋体" w:cs="宋体"/>
          <w:sz w:val="24"/>
          <w:szCs w:val="24"/>
        </w:rPr>
      </w:pPr>
      <w:r>
        <w:rPr>
          <w:rFonts w:hint="eastAsia" w:ascii="宋体" w:hAnsi="宋体" w:cs="宋体"/>
          <w:sz w:val="24"/>
          <w:szCs w:val="24"/>
        </w:rPr>
        <w:t>9.3.3残疾人福利性单位参加谈判须提供的证明材料</w:t>
      </w:r>
    </w:p>
    <w:p>
      <w:pPr>
        <w:spacing w:line="460" w:lineRule="exact"/>
        <w:ind w:left="705" w:leftChars="50" w:hanging="600" w:hangingChars="250"/>
        <w:rPr>
          <w:rFonts w:ascii="宋体" w:hAnsi="宋体" w:cs="宋体"/>
          <w:sz w:val="24"/>
          <w:szCs w:val="24"/>
        </w:rPr>
      </w:pPr>
      <w:r>
        <w:rPr>
          <w:rFonts w:hint="eastAsia" w:ascii="宋体" w:hAnsi="宋体" w:cs="宋体"/>
          <w:sz w:val="24"/>
          <w:szCs w:val="24"/>
        </w:rPr>
        <w:t>（1）符合条件的残疾人福利性单位在参加政府采购活动时，应当提供《残疾人福利性单位声明函》（格式详见“第四章响应文件格式7-3”），并对声明函的真实性负责。</w:t>
      </w:r>
    </w:p>
    <w:p>
      <w:pPr>
        <w:spacing w:line="460" w:lineRule="exact"/>
        <w:ind w:left="600" w:hanging="600" w:hangingChars="250"/>
        <w:rPr>
          <w:rFonts w:ascii="宋体" w:hAnsi="宋体" w:cs="宋体"/>
          <w:sz w:val="24"/>
          <w:szCs w:val="24"/>
        </w:rPr>
      </w:pPr>
      <w:r>
        <w:rPr>
          <w:rFonts w:hint="eastAsia" w:ascii="宋体" w:hAnsi="宋体" w:cs="宋体"/>
          <w:sz w:val="24"/>
          <w:szCs w:val="24"/>
        </w:rPr>
        <w:t>（2）供应商提供的《残疾人福利性单位声明函》与事实不符的，依照《政府采购法》第七十七条第一款的规定追究法律责任。</w:t>
      </w:r>
    </w:p>
    <w:p>
      <w:pPr>
        <w:spacing w:line="460" w:lineRule="exact"/>
        <w:ind w:left="602" w:hanging="602" w:hangingChars="250"/>
        <w:rPr>
          <w:rFonts w:ascii="宋体" w:hAnsi="宋体" w:cs="宋体"/>
          <w:b/>
          <w:bCs/>
          <w:sz w:val="24"/>
          <w:szCs w:val="24"/>
        </w:rPr>
      </w:pPr>
      <w:r>
        <w:rPr>
          <w:rFonts w:hint="eastAsia" w:ascii="宋体" w:hAnsi="宋体" w:cs="宋体"/>
          <w:b/>
          <w:sz w:val="24"/>
          <w:szCs w:val="24"/>
        </w:rPr>
        <w:t>9.4</w:t>
      </w:r>
      <w:r>
        <w:rPr>
          <w:rFonts w:hint="eastAsia" w:ascii="宋体" w:hAnsi="宋体" w:cs="宋体"/>
          <w:b/>
          <w:bCs/>
          <w:sz w:val="24"/>
          <w:szCs w:val="24"/>
        </w:rPr>
        <w:t>节能、环境标志产品参加谈判</w:t>
      </w:r>
    </w:p>
    <w:p>
      <w:pPr>
        <w:spacing w:line="460" w:lineRule="exact"/>
        <w:ind w:left="600" w:hanging="600" w:hangingChars="250"/>
        <w:rPr>
          <w:rFonts w:ascii="宋体" w:hAnsi="宋体" w:cs="宋体"/>
          <w:bCs/>
          <w:sz w:val="24"/>
          <w:szCs w:val="24"/>
        </w:rPr>
      </w:pPr>
      <w:bookmarkStart w:id="47" w:name="_Toc498090129"/>
      <w:bookmarkStart w:id="48" w:name="_Toc498090051"/>
      <w:r>
        <w:rPr>
          <w:rFonts w:hint="eastAsia" w:ascii="宋体" w:hAnsi="宋体" w:cs="宋体"/>
          <w:bCs/>
          <w:sz w:val="24"/>
          <w:szCs w:val="24"/>
        </w:rPr>
        <w:t>9.4.1节能产品是指财政部、发展改革委、生态环境部等部门发布的《节能产品政府采购品目清单》中的产品；</w:t>
      </w:r>
    </w:p>
    <w:p>
      <w:pPr>
        <w:spacing w:line="460" w:lineRule="exact"/>
        <w:ind w:left="600" w:hanging="600" w:hangingChars="250"/>
        <w:rPr>
          <w:rFonts w:ascii="宋体" w:hAnsi="宋体" w:cs="宋体"/>
          <w:bCs/>
          <w:sz w:val="24"/>
          <w:szCs w:val="24"/>
        </w:rPr>
      </w:pPr>
      <w:r>
        <w:rPr>
          <w:rFonts w:hint="eastAsia" w:ascii="宋体" w:hAnsi="宋体" w:cs="宋体"/>
          <w:bCs/>
          <w:sz w:val="24"/>
          <w:szCs w:val="24"/>
        </w:rPr>
        <w:t>9.4.2环境标志产品是指财政部、发展改革委、生态环境部等部门发布的《环境标志产品政府采购品目清单》中的产品；</w:t>
      </w:r>
    </w:p>
    <w:p>
      <w:pPr>
        <w:spacing w:line="460" w:lineRule="exact"/>
        <w:ind w:left="600" w:hanging="600" w:hangingChars="250"/>
        <w:rPr>
          <w:rFonts w:ascii="宋体" w:hAnsi="宋体" w:cs="宋体"/>
          <w:bCs/>
          <w:sz w:val="24"/>
          <w:szCs w:val="24"/>
        </w:rPr>
      </w:pPr>
      <w:r>
        <w:rPr>
          <w:rFonts w:hint="eastAsia" w:ascii="宋体" w:hAnsi="宋体" w:cs="宋体"/>
          <w:bCs/>
          <w:sz w:val="24"/>
          <w:szCs w:val="24"/>
        </w:rPr>
        <w:t>9.4.3《节能产品政府采购品目清单》、《环境标志产品政府采购品目清单》以《中国政府采购网》(http://www.ccgp.gov.cn/zcfg/mof/)发布的最新一期为准。</w:t>
      </w:r>
    </w:p>
    <w:p>
      <w:pPr>
        <w:spacing w:line="460" w:lineRule="exact"/>
        <w:ind w:left="600" w:hanging="600" w:hangingChars="250"/>
        <w:rPr>
          <w:rFonts w:ascii="宋体" w:hAnsi="宋体" w:cs="仿宋"/>
          <w:bCs/>
          <w:sz w:val="24"/>
          <w:szCs w:val="24"/>
        </w:rPr>
      </w:pPr>
      <w:r>
        <w:rPr>
          <w:rFonts w:hint="eastAsia" w:ascii="宋体" w:hAnsi="宋体" w:cs="仿宋"/>
          <w:bCs/>
          <w:sz w:val="24"/>
          <w:szCs w:val="24"/>
        </w:rPr>
        <w:t>9.4.</w:t>
      </w:r>
      <w:r>
        <w:rPr>
          <w:rFonts w:hint="eastAsia" w:ascii="宋体" w:hAnsi="宋体" w:cs="仿宋"/>
          <w:sz w:val="24"/>
          <w:szCs w:val="24"/>
        </w:rPr>
        <w:t>4</w:t>
      </w:r>
      <w:r>
        <w:rPr>
          <w:rFonts w:hint="eastAsia" w:ascii="宋体" w:hAnsi="宋体" w:cs="仿宋"/>
          <w:bCs/>
          <w:sz w:val="24"/>
          <w:szCs w:val="24"/>
        </w:rPr>
        <w:t>依据品目清单和认证证书实施政府优先采购或强制采购。采购的产品属于品目清单范围的，应当依据国家确定的认证机构出具的、处于有效期之内的节能产品、环境标志产品认证证书，对获得证书的产品实施政府优先采购或强制采购。（认证机构参照《市场监管总局关于发布参与实施政府采购节能产品、环境标志产品认证机构名录的公告》。）须在响应文件中提供证书彩色扫描件。</w:t>
      </w:r>
    </w:p>
    <w:p>
      <w:pPr>
        <w:spacing w:line="460" w:lineRule="exact"/>
        <w:ind w:left="600" w:hanging="600" w:hangingChars="250"/>
        <w:rPr>
          <w:rFonts w:ascii="宋体" w:hAnsi="宋体" w:cs="仿宋"/>
          <w:bCs/>
          <w:sz w:val="24"/>
          <w:szCs w:val="24"/>
        </w:rPr>
      </w:pPr>
      <w:r>
        <w:rPr>
          <w:rFonts w:hint="eastAsia" w:ascii="宋体" w:hAnsi="宋体" w:cs="仿宋"/>
          <w:bCs/>
          <w:sz w:val="24"/>
          <w:szCs w:val="24"/>
        </w:rPr>
        <w:t>9.4.5对于同时列入《节能产品政府采购品目清单》、《环境标志产品政府采购品目清单》的产品，应当优先于只列入其中一个清单的产品。</w:t>
      </w:r>
    </w:p>
    <w:p>
      <w:pPr>
        <w:spacing w:line="460" w:lineRule="exact"/>
        <w:ind w:left="600" w:hanging="600" w:hangingChars="250"/>
        <w:rPr>
          <w:rFonts w:ascii="宋体" w:hAnsi="宋体" w:cs="宋体"/>
          <w:bCs/>
          <w:sz w:val="24"/>
          <w:szCs w:val="24"/>
        </w:rPr>
      </w:pPr>
      <w:r>
        <w:rPr>
          <w:rFonts w:hint="eastAsia" w:ascii="宋体" w:hAnsi="宋体" w:cs="宋体"/>
          <w:bCs/>
          <w:sz w:val="24"/>
          <w:szCs w:val="24"/>
        </w:rPr>
        <w:t>9.4.6谈判文件对节能产品、环境标志产品另有规定的从其规定。</w:t>
      </w:r>
    </w:p>
    <w:bookmarkEnd w:id="47"/>
    <w:bookmarkEnd w:id="48"/>
    <w:p>
      <w:pPr>
        <w:spacing w:line="460" w:lineRule="exact"/>
        <w:ind w:left="602" w:hanging="602" w:hangingChars="250"/>
        <w:rPr>
          <w:rFonts w:hint="eastAsia" w:ascii="宋体" w:hAnsi="宋体" w:cs="宋体"/>
          <w:b/>
          <w:color w:val="auto"/>
          <w:sz w:val="24"/>
          <w:szCs w:val="24"/>
          <w:highlight w:val="none"/>
        </w:rPr>
      </w:pPr>
      <w:bookmarkStart w:id="49" w:name="_Toc501638125"/>
      <w:r>
        <w:rPr>
          <w:rFonts w:hint="eastAsia" w:ascii="宋体" w:hAnsi="宋体" w:cs="宋体"/>
          <w:b/>
          <w:color w:val="auto"/>
          <w:sz w:val="24"/>
          <w:szCs w:val="24"/>
          <w:highlight w:val="none"/>
        </w:rPr>
        <w:t>9.5对小型和微型企业、监狱企业、残疾人福利性单位产品参加谈判享受的政策</w:t>
      </w:r>
    </w:p>
    <w:p>
      <w:pPr>
        <w:spacing w:line="460" w:lineRule="exact"/>
        <w:ind w:left="602" w:hanging="602" w:hangingChars="250"/>
        <w:rPr>
          <w:rFonts w:hint="eastAsia" w:ascii="宋体" w:hAnsi="宋体" w:cs="宋体"/>
          <w:b w:val="0"/>
          <w:bCs/>
          <w:color w:val="auto"/>
          <w:sz w:val="24"/>
          <w:szCs w:val="24"/>
          <w:highlight w:val="none"/>
          <w:lang w:val="en-US" w:eastAsia="zh-CN"/>
        </w:rPr>
      </w:pPr>
      <w:r>
        <w:rPr>
          <w:rFonts w:hint="eastAsia" w:ascii="宋体" w:hAnsi="宋体" w:cs="宋体"/>
          <w:b/>
          <w:color w:val="auto"/>
          <w:sz w:val="24"/>
          <w:szCs w:val="24"/>
          <w:highlight w:val="none"/>
        </w:rPr>
        <w:t>9.5.1</w:t>
      </w:r>
      <w:r>
        <w:rPr>
          <w:rFonts w:hint="eastAsia" w:ascii="宋体" w:hAnsi="宋体" w:eastAsia="宋体" w:cs="宋体"/>
          <w:b/>
          <w:bCs/>
          <w:color w:val="auto"/>
          <w:sz w:val="24"/>
          <w:szCs w:val="24"/>
          <w:highlight w:val="none"/>
          <w:lang w:val="en-US" w:eastAsia="zh-CN"/>
        </w:rPr>
        <w:t>本项目非专门面向中小企业：</w:t>
      </w:r>
      <w:r>
        <w:rPr>
          <w:rFonts w:hint="eastAsia" w:ascii="宋体" w:hAnsi="宋体" w:eastAsia="宋体" w:cs="宋体"/>
          <w:color w:val="auto"/>
          <w:sz w:val="24"/>
          <w:szCs w:val="24"/>
          <w:highlight w:val="none"/>
          <w:lang w:val="en-US" w:eastAsia="zh-CN"/>
        </w:rPr>
        <w:t>对小型、微型企业（监狱企业、残疾人福利性单位视同小型、微型企业）的产品价格给予10%的扣除，用扣除后的价格参与评审；</w:t>
      </w:r>
    </w:p>
    <w:p>
      <w:pPr>
        <w:spacing w:line="460" w:lineRule="exact"/>
        <w:ind w:left="602" w:hanging="602" w:hangingChars="250"/>
        <w:rPr>
          <w:rFonts w:hint="eastAsia" w:ascii="宋体" w:hAnsi="宋体" w:eastAsia="宋体" w:cs="宋体"/>
          <w:bCs/>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享受政策内容详见第二章“供应商须知前附表”</w:t>
      </w:r>
    </w:p>
    <w:p>
      <w:pPr>
        <w:spacing w:line="460" w:lineRule="exact"/>
        <w:ind w:left="600" w:hanging="600" w:hangingChars="250"/>
        <w:rPr>
          <w:rFonts w:ascii="宋体" w:hAnsi="宋体" w:cs="宋体"/>
          <w:color w:val="auto"/>
          <w:sz w:val="24"/>
          <w:szCs w:val="24"/>
          <w:highlight w:val="none"/>
        </w:rPr>
      </w:pPr>
      <w:r>
        <w:rPr>
          <w:rFonts w:hint="eastAsia" w:ascii="宋体" w:hAnsi="宋体" w:cs="宋体"/>
          <w:color w:val="auto"/>
          <w:sz w:val="24"/>
          <w:szCs w:val="24"/>
          <w:highlight w:val="none"/>
        </w:rPr>
        <w:t>9.5.2监狱企业视同小型、微型企业，享受评审中价格扣除等政府促进中小企业发展的政府采购政策。</w:t>
      </w:r>
    </w:p>
    <w:p>
      <w:pPr>
        <w:spacing w:line="460" w:lineRule="exact"/>
        <w:ind w:left="600" w:hanging="600" w:hangingChars="250"/>
        <w:rPr>
          <w:rFonts w:ascii="宋体" w:hAnsi="宋体" w:cs="宋体"/>
          <w:color w:val="auto"/>
          <w:sz w:val="24"/>
          <w:szCs w:val="24"/>
          <w:highlight w:val="none"/>
        </w:rPr>
      </w:pPr>
      <w:r>
        <w:rPr>
          <w:rFonts w:hint="eastAsia" w:ascii="宋体" w:hAnsi="宋体" w:cs="宋体"/>
          <w:color w:val="auto"/>
          <w:sz w:val="24"/>
          <w:szCs w:val="24"/>
          <w:highlight w:val="none"/>
        </w:rPr>
        <w:t>9.5.3残疾人福利性单位视同小型、微型企业，享受评审中价格扣除等政府促进中小企业发展的政府采购政策。福利性单位属于小型、微型企业的，不重复享受政策。</w:t>
      </w:r>
    </w:p>
    <w:p>
      <w:pPr>
        <w:spacing w:line="460" w:lineRule="exact"/>
        <w:ind w:left="566" w:hanging="566" w:hangingChars="236"/>
        <w:rPr>
          <w:rFonts w:hint="eastAsia" w:ascii="宋体" w:hAnsi="宋体" w:eastAsia="宋体" w:cs="宋体"/>
          <w:b/>
          <w:i/>
          <w:color w:val="auto"/>
          <w:sz w:val="24"/>
          <w:highlight w:val="none"/>
          <w:lang w:eastAsia="zh-CN"/>
        </w:rPr>
      </w:pPr>
      <w:r>
        <w:rPr>
          <w:rFonts w:hint="eastAsia" w:ascii="宋体" w:hAnsi="宋体" w:cs="宋体"/>
          <w:color w:val="auto"/>
          <w:sz w:val="24"/>
          <w:szCs w:val="24"/>
          <w:highlight w:val="none"/>
        </w:rPr>
        <w:t>9.5.4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w:t>
      </w:r>
      <w:r>
        <w:rPr>
          <w:rFonts w:hint="eastAsia" w:ascii="宋体" w:hAnsi="宋体" w:cs="宋体"/>
          <w:color w:val="auto"/>
          <w:sz w:val="24"/>
          <w:szCs w:val="24"/>
          <w:highlight w:val="none"/>
          <w:lang w:eastAsia="zh-CN"/>
        </w:rPr>
        <w:t>4%的</w:t>
      </w:r>
      <w:r>
        <w:rPr>
          <w:rFonts w:hint="eastAsia" w:ascii="宋体" w:hAnsi="宋体" w:cs="宋体"/>
          <w:color w:val="auto"/>
          <w:sz w:val="24"/>
          <w:szCs w:val="24"/>
          <w:highlight w:val="none"/>
        </w:rPr>
        <w:t>价格扣除。</w:t>
      </w:r>
      <w:r>
        <w:rPr>
          <w:rFonts w:hint="eastAsia" w:ascii="宋体" w:hAnsi="宋体" w:cs="宋体"/>
          <w:b/>
          <w:i/>
          <w:color w:val="auto"/>
          <w:sz w:val="24"/>
          <w:highlight w:val="none"/>
        </w:rPr>
        <w:t>（适用于联合体参加谈判）</w:t>
      </w:r>
    </w:p>
    <w:p>
      <w:pPr>
        <w:spacing w:line="460" w:lineRule="exact"/>
        <w:ind w:left="566" w:hanging="566" w:hangingChars="236"/>
        <w:rPr>
          <w:rFonts w:hint="eastAsia" w:ascii="宋体" w:hAnsi="宋体" w:eastAsia="宋体" w:cs="宋体"/>
          <w:b/>
          <w:i/>
          <w:color w:val="auto"/>
          <w:sz w:val="24"/>
          <w:highlight w:val="none"/>
          <w:lang w:eastAsia="zh-CN"/>
        </w:rPr>
      </w:pPr>
      <w:r>
        <w:rPr>
          <w:rFonts w:hint="eastAsia" w:ascii="宋体" w:hAnsi="宋体" w:cs="宋体"/>
          <w:color w:val="auto"/>
          <w:sz w:val="24"/>
          <w:szCs w:val="24"/>
          <w:highlight w:val="none"/>
        </w:rPr>
        <w:t>联合体各方均为小型、微型企业的，联合体视同为小型、微型企业。</w:t>
      </w:r>
      <w:r>
        <w:rPr>
          <w:rFonts w:hint="eastAsia" w:ascii="宋体" w:hAnsi="宋体" w:cs="宋体"/>
          <w:i/>
          <w:color w:val="auto"/>
          <w:sz w:val="24"/>
          <w:highlight w:val="none"/>
        </w:rPr>
        <w:t>（</w:t>
      </w:r>
      <w:r>
        <w:rPr>
          <w:rFonts w:hint="eastAsia" w:ascii="宋体" w:hAnsi="宋体" w:cs="宋体"/>
          <w:b/>
          <w:i/>
          <w:color w:val="auto"/>
          <w:sz w:val="24"/>
          <w:highlight w:val="none"/>
        </w:rPr>
        <w:t>适用于联合体参加谈判）</w:t>
      </w:r>
    </w:p>
    <w:p>
      <w:pPr>
        <w:spacing w:line="460" w:lineRule="exact"/>
        <w:ind w:left="566" w:hanging="566" w:hangingChars="236"/>
        <w:rPr>
          <w:rFonts w:ascii="宋体" w:hAnsi="宋体" w:cs="宋体"/>
          <w:bCs/>
          <w:sz w:val="24"/>
          <w:szCs w:val="24"/>
        </w:rPr>
      </w:pPr>
      <w:r>
        <w:rPr>
          <w:rFonts w:hint="eastAsia" w:ascii="宋体" w:hAnsi="宋体" w:cs="宋体"/>
          <w:color w:val="auto"/>
          <w:sz w:val="24"/>
          <w:szCs w:val="24"/>
          <w:highlight w:val="none"/>
        </w:rPr>
        <w:t>组成联合体的大中型企业和其他自然人、法人或者其他组织，与小型、微型企业之间不得存在投资关系。</w:t>
      </w:r>
      <w:r>
        <w:rPr>
          <w:rFonts w:hint="eastAsia" w:ascii="宋体" w:hAnsi="宋体" w:cs="宋体"/>
          <w:b/>
          <w:i/>
          <w:color w:val="auto"/>
          <w:sz w:val="24"/>
          <w:highlight w:val="none"/>
        </w:rPr>
        <w:t>（适用于联合体参加谈判）</w:t>
      </w:r>
    </w:p>
    <w:p>
      <w:pPr>
        <w:spacing w:line="460" w:lineRule="exact"/>
        <w:ind w:left="600" w:hanging="600" w:hangingChars="250"/>
        <w:rPr>
          <w:rFonts w:ascii="宋体" w:hAnsi="宋体" w:cs="宋体"/>
          <w:bCs/>
          <w:sz w:val="24"/>
          <w:szCs w:val="24"/>
        </w:rPr>
      </w:pPr>
    </w:p>
    <w:bookmarkEnd w:id="49"/>
    <w:p>
      <w:pPr>
        <w:pStyle w:val="4"/>
        <w:spacing w:before="0" w:after="0" w:line="460" w:lineRule="exact"/>
        <w:ind w:firstLine="3238" w:firstLineChars="1152"/>
        <w:jc w:val="left"/>
        <w:rPr>
          <w:rFonts w:ascii="宋体" w:hAnsi="宋体" w:eastAsia="宋体" w:cs="宋体"/>
          <w:sz w:val="28"/>
          <w:szCs w:val="28"/>
        </w:rPr>
      </w:pPr>
      <w:bookmarkStart w:id="50" w:name="_Toc501638132"/>
      <w:bookmarkStart w:id="51" w:name="_Toc445715221"/>
      <w:bookmarkStart w:id="52" w:name="_Toc286758341"/>
      <w:bookmarkStart w:id="53" w:name="_Toc376848255"/>
      <w:r>
        <w:rPr>
          <w:rFonts w:hint="eastAsia" w:ascii="宋体" w:hAnsi="宋体" w:eastAsia="宋体" w:cs="宋体"/>
          <w:sz w:val="28"/>
          <w:szCs w:val="28"/>
        </w:rPr>
        <w:t>四、 响应文件的编制</w:t>
      </w:r>
    </w:p>
    <w:p>
      <w:pPr>
        <w:spacing w:line="460" w:lineRule="exact"/>
        <w:rPr>
          <w:rFonts w:ascii="宋体" w:hAnsi="宋体" w:cs="宋体"/>
          <w:b/>
          <w:sz w:val="24"/>
          <w:szCs w:val="24"/>
        </w:rPr>
      </w:pPr>
      <w:r>
        <w:rPr>
          <w:rFonts w:hint="eastAsia" w:ascii="宋体" w:hAnsi="宋体" w:cs="宋体"/>
          <w:b/>
          <w:sz w:val="24"/>
          <w:szCs w:val="24"/>
        </w:rPr>
        <w:t>10. 提示</w:t>
      </w:r>
    </w:p>
    <w:p>
      <w:pPr>
        <w:spacing w:line="460" w:lineRule="exact"/>
        <w:ind w:left="480" w:hanging="480" w:hangingChars="200"/>
        <w:rPr>
          <w:rFonts w:ascii="宋体" w:hAnsi="宋体" w:cs="宋体"/>
          <w:b/>
          <w:sz w:val="24"/>
        </w:rPr>
      </w:pPr>
      <w:r>
        <w:rPr>
          <w:rFonts w:hint="eastAsia" w:ascii="宋体" w:hAnsi="宋体" w:cs="宋体"/>
          <w:sz w:val="24"/>
          <w:szCs w:val="24"/>
        </w:rPr>
        <w:t>10.1</w:t>
      </w:r>
      <w:r>
        <w:rPr>
          <w:rFonts w:hint="eastAsia" w:ascii="宋体" w:hAnsi="宋体" w:cs="宋体"/>
          <w:b/>
          <w:sz w:val="24"/>
          <w:szCs w:val="24"/>
        </w:rPr>
        <w:t>谈判文件中，注明采购国内产品的，不允许提供进口产品参与采购活动；提供进口产品参与采购活动的，</w:t>
      </w:r>
      <w:r>
        <w:rPr>
          <w:rFonts w:hint="eastAsia" w:ascii="宋体" w:hAnsi="宋体" w:cs="宋体"/>
          <w:b/>
          <w:sz w:val="24"/>
          <w:szCs w:val="24"/>
          <w:lang w:val="en-GB"/>
        </w:rPr>
        <w:t>被视为无效响应文件</w:t>
      </w:r>
      <w:r>
        <w:rPr>
          <w:rFonts w:hint="eastAsia" w:ascii="宋体" w:hAnsi="宋体" w:cs="宋体"/>
          <w:b/>
          <w:sz w:val="24"/>
        </w:rPr>
        <w:t>。（与</w:t>
      </w:r>
      <w:r>
        <w:rPr>
          <w:rFonts w:hint="eastAsia" w:ascii="宋体" w:hAnsi="宋体" w:cs="宋体"/>
          <w:b/>
          <w:sz w:val="24"/>
          <w:szCs w:val="24"/>
        </w:rPr>
        <w:t>详细清单中的一致</w:t>
      </w:r>
      <w:r>
        <w:rPr>
          <w:rFonts w:hint="eastAsia" w:ascii="宋体" w:hAnsi="宋体" w:cs="宋体"/>
          <w:b/>
          <w:sz w:val="24"/>
        </w:rPr>
        <w:t>）</w:t>
      </w:r>
    </w:p>
    <w:p>
      <w:pPr>
        <w:spacing w:line="460" w:lineRule="exact"/>
        <w:ind w:left="480" w:hanging="480" w:hangingChars="200"/>
        <w:rPr>
          <w:rFonts w:ascii="宋体" w:hAnsi="宋体" w:cs="宋体"/>
          <w:b/>
          <w:sz w:val="24"/>
          <w:szCs w:val="24"/>
        </w:rPr>
      </w:pPr>
      <w:r>
        <w:rPr>
          <w:rFonts w:hint="eastAsia" w:ascii="宋体" w:hAnsi="宋体" w:cs="宋体"/>
          <w:sz w:val="24"/>
          <w:szCs w:val="24"/>
        </w:rPr>
        <w:t>10.2谈判文件中注明进口产品的，有符合条件的国产产品可以参与采购活动。</w:t>
      </w:r>
    </w:p>
    <w:p>
      <w:pPr>
        <w:spacing w:line="460" w:lineRule="exact"/>
        <w:ind w:left="480" w:hanging="480" w:hangingChars="200"/>
        <w:rPr>
          <w:rFonts w:ascii="宋体" w:hAnsi="宋体" w:cs="宋体"/>
          <w:sz w:val="24"/>
          <w:szCs w:val="24"/>
        </w:rPr>
      </w:pPr>
      <w:r>
        <w:rPr>
          <w:rFonts w:hint="eastAsia" w:ascii="宋体" w:hAnsi="宋体" w:cs="宋体"/>
          <w:sz w:val="24"/>
          <w:szCs w:val="24"/>
        </w:rPr>
        <w:t>10.3 供应商应认真阅读谈判文件的全部内容，按照谈判文件要求提供响应文件和资料。</w:t>
      </w:r>
    </w:p>
    <w:p>
      <w:pPr>
        <w:spacing w:line="400" w:lineRule="exact"/>
        <w:ind w:left="480" w:hanging="480" w:hangingChars="200"/>
        <w:rPr>
          <w:rFonts w:ascii="宋体" w:hAnsi="宋体" w:cs="宋体"/>
          <w:sz w:val="24"/>
        </w:rPr>
      </w:pPr>
      <w:r>
        <w:rPr>
          <w:rFonts w:hint="eastAsia" w:ascii="宋体" w:hAnsi="宋体" w:cs="宋体"/>
          <w:sz w:val="24"/>
          <w:szCs w:val="24"/>
        </w:rPr>
        <w:t>10.4供应商提交的响应文件以及供应商与采购代理结机构所有来往书面文件均须使用中文。响应文件中如附有外文资料，必须逐一对应翻译成中文</w:t>
      </w:r>
      <w:r>
        <w:rPr>
          <w:rFonts w:hint="eastAsia" w:ascii="宋体" w:hAnsi="宋体" w:cs="宋体"/>
          <w:sz w:val="24"/>
        </w:rPr>
        <w:t>。</w:t>
      </w:r>
    </w:p>
    <w:p>
      <w:pPr>
        <w:spacing w:line="400" w:lineRule="exact"/>
        <w:ind w:left="480" w:hanging="480" w:hangingChars="200"/>
        <w:rPr>
          <w:rFonts w:ascii="宋体" w:hAnsi="宋体" w:cs="宋体"/>
          <w:sz w:val="24"/>
          <w:szCs w:val="24"/>
        </w:rPr>
      </w:pPr>
      <w:r>
        <w:rPr>
          <w:rFonts w:hint="eastAsia" w:ascii="宋体" w:hAnsi="宋体" w:cs="宋体"/>
          <w:sz w:val="24"/>
          <w:szCs w:val="24"/>
        </w:rPr>
        <w:t>10.5翻译的中文资料与外文资料如果出现差异和矛盾时，以中文为准。</w:t>
      </w:r>
    </w:p>
    <w:p>
      <w:pPr>
        <w:spacing w:line="460" w:lineRule="exact"/>
        <w:rPr>
          <w:rFonts w:ascii="宋体" w:hAnsi="宋体" w:cs="宋体"/>
          <w:b/>
          <w:sz w:val="24"/>
          <w:szCs w:val="24"/>
        </w:rPr>
      </w:pPr>
      <w:r>
        <w:rPr>
          <w:rFonts w:hint="eastAsia" w:ascii="宋体" w:hAnsi="宋体" w:cs="宋体"/>
          <w:b/>
          <w:sz w:val="24"/>
          <w:szCs w:val="24"/>
        </w:rPr>
        <w:t>11. 响应文件计量单位</w:t>
      </w:r>
      <w:r>
        <w:rPr>
          <w:rFonts w:hint="eastAsia" w:ascii="宋体" w:hAnsi="宋体" w:cs="宋体"/>
          <w:b/>
          <w:sz w:val="24"/>
          <w:szCs w:val="24"/>
        </w:rPr>
        <w:tab/>
      </w:r>
    </w:p>
    <w:p>
      <w:pPr>
        <w:spacing w:line="460" w:lineRule="exact"/>
        <w:ind w:left="454" w:leftChars="216"/>
        <w:rPr>
          <w:rFonts w:ascii="宋体" w:hAnsi="宋体" w:cs="宋体"/>
          <w:sz w:val="24"/>
          <w:szCs w:val="24"/>
        </w:rPr>
      </w:pPr>
      <w:r>
        <w:rPr>
          <w:rFonts w:hint="eastAsia" w:ascii="宋体" w:hAnsi="宋体" w:cs="宋体"/>
          <w:sz w:val="24"/>
          <w:szCs w:val="24"/>
        </w:rPr>
        <w:t>响应文件中所使用的计量单位, 除谈判文件中有特殊要求外，均应采用国家法定计量单位。</w:t>
      </w:r>
    </w:p>
    <w:p>
      <w:pPr>
        <w:spacing w:line="460" w:lineRule="exact"/>
        <w:rPr>
          <w:rFonts w:ascii="宋体" w:hAnsi="宋体" w:cs="宋体"/>
          <w:b/>
          <w:sz w:val="24"/>
          <w:szCs w:val="24"/>
        </w:rPr>
      </w:pPr>
      <w:r>
        <w:rPr>
          <w:rFonts w:hint="eastAsia" w:ascii="宋体" w:hAnsi="宋体" w:cs="宋体"/>
          <w:b/>
          <w:sz w:val="24"/>
          <w:szCs w:val="24"/>
        </w:rPr>
        <w:t>12.响应文件的构成</w:t>
      </w:r>
    </w:p>
    <w:p>
      <w:pPr>
        <w:spacing w:line="460" w:lineRule="exact"/>
        <w:ind w:left="567" w:hanging="567"/>
        <w:rPr>
          <w:rFonts w:ascii="宋体" w:hAnsi="宋体" w:cs="宋体"/>
          <w:sz w:val="24"/>
          <w:szCs w:val="24"/>
        </w:rPr>
      </w:pPr>
      <w:r>
        <w:rPr>
          <w:rFonts w:hint="eastAsia" w:ascii="宋体" w:hAnsi="宋体" w:cs="宋体"/>
          <w:sz w:val="24"/>
          <w:szCs w:val="24"/>
        </w:rPr>
        <w:t>12.1响应文件应由下列部分构成</w:t>
      </w:r>
    </w:p>
    <w:p>
      <w:pPr>
        <w:spacing w:line="460" w:lineRule="exact"/>
        <w:ind w:left="567" w:hanging="87"/>
        <w:rPr>
          <w:rFonts w:ascii="宋体" w:hAnsi="宋体" w:cs="宋体"/>
          <w:sz w:val="24"/>
          <w:szCs w:val="24"/>
        </w:rPr>
      </w:pPr>
      <w:r>
        <w:rPr>
          <w:rFonts w:hint="eastAsia" w:ascii="宋体" w:hAnsi="宋体" w:cs="宋体"/>
          <w:sz w:val="24"/>
          <w:szCs w:val="24"/>
        </w:rPr>
        <w:t>(1) 谈判响应书</w:t>
      </w:r>
    </w:p>
    <w:p>
      <w:pPr>
        <w:spacing w:line="460" w:lineRule="exact"/>
        <w:ind w:left="567" w:hanging="87"/>
        <w:rPr>
          <w:rFonts w:ascii="宋体" w:hAnsi="宋体" w:cs="宋体"/>
          <w:sz w:val="24"/>
          <w:szCs w:val="24"/>
        </w:rPr>
      </w:pPr>
      <w:r>
        <w:rPr>
          <w:rFonts w:hint="eastAsia" w:ascii="宋体" w:hAnsi="宋体" w:cs="宋体"/>
          <w:sz w:val="24"/>
          <w:szCs w:val="24"/>
        </w:rPr>
        <w:t>(2) 开标一览表</w:t>
      </w:r>
    </w:p>
    <w:p>
      <w:pPr>
        <w:spacing w:line="460" w:lineRule="exact"/>
        <w:ind w:left="567" w:hanging="87"/>
        <w:rPr>
          <w:rFonts w:ascii="宋体" w:hAnsi="宋体" w:cs="宋体"/>
          <w:sz w:val="24"/>
          <w:szCs w:val="24"/>
        </w:rPr>
      </w:pPr>
      <w:r>
        <w:rPr>
          <w:rFonts w:hint="eastAsia" w:ascii="宋体" w:hAnsi="宋体" w:cs="宋体"/>
          <w:sz w:val="24"/>
          <w:szCs w:val="24"/>
        </w:rPr>
        <w:t>(3) 分项报价表</w:t>
      </w:r>
    </w:p>
    <w:p>
      <w:pPr>
        <w:spacing w:line="460" w:lineRule="exact"/>
        <w:ind w:left="420" w:hanging="87"/>
        <w:rPr>
          <w:rFonts w:ascii="宋体" w:hAnsi="宋体" w:cs="宋体"/>
          <w:sz w:val="24"/>
          <w:szCs w:val="24"/>
        </w:rPr>
      </w:pPr>
      <w:r>
        <w:rPr>
          <w:rFonts w:hint="eastAsia" w:ascii="宋体" w:hAnsi="宋体" w:cs="宋体"/>
          <w:sz w:val="24"/>
          <w:szCs w:val="24"/>
        </w:rPr>
        <w:t>（4）开标一览明细表</w:t>
      </w:r>
    </w:p>
    <w:p>
      <w:pPr>
        <w:spacing w:line="460" w:lineRule="exact"/>
        <w:ind w:left="567" w:hanging="87"/>
        <w:rPr>
          <w:rFonts w:ascii="宋体" w:hAnsi="宋体" w:cs="宋体"/>
          <w:sz w:val="24"/>
          <w:szCs w:val="24"/>
        </w:rPr>
      </w:pPr>
      <w:r>
        <w:rPr>
          <w:rFonts w:hint="eastAsia" w:ascii="宋体" w:hAnsi="宋体" w:cs="宋体"/>
          <w:sz w:val="24"/>
          <w:szCs w:val="24"/>
        </w:rPr>
        <w:t>(5) 技术规格</w:t>
      </w:r>
      <w:r>
        <w:rPr>
          <w:rFonts w:hint="eastAsia" w:ascii="宋体" w:hAnsi="宋体" w:cs="宋体"/>
          <w:sz w:val="24"/>
          <w:szCs w:val="24"/>
          <w:lang w:val="en-GB"/>
        </w:rPr>
        <w:t>响应/偏离</w:t>
      </w:r>
      <w:r>
        <w:rPr>
          <w:rFonts w:hint="eastAsia" w:ascii="宋体" w:hAnsi="宋体" w:cs="宋体"/>
          <w:sz w:val="24"/>
          <w:szCs w:val="24"/>
        </w:rPr>
        <w:t>表</w:t>
      </w:r>
    </w:p>
    <w:p>
      <w:pPr>
        <w:spacing w:line="460" w:lineRule="exact"/>
        <w:ind w:left="567" w:hanging="87"/>
        <w:rPr>
          <w:rFonts w:ascii="宋体" w:hAnsi="宋体" w:cs="宋体"/>
          <w:sz w:val="24"/>
          <w:szCs w:val="24"/>
        </w:rPr>
      </w:pPr>
      <w:r>
        <w:rPr>
          <w:rFonts w:hint="eastAsia" w:ascii="宋体" w:hAnsi="宋体" w:cs="宋体"/>
          <w:sz w:val="24"/>
          <w:szCs w:val="24"/>
        </w:rPr>
        <w:t>(6) 商务条款响应/偏离表</w:t>
      </w:r>
    </w:p>
    <w:p>
      <w:pPr>
        <w:spacing w:line="460" w:lineRule="exact"/>
        <w:ind w:left="567" w:hanging="87"/>
        <w:rPr>
          <w:rFonts w:ascii="宋体" w:hAnsi="宋体" w:cs="宋体"/>
          <w:sz w:val="24"/>
          <w:szCs w:val="24"/>
        </w:rPr>
      </w:pPr>
      <w:r>
        <w:rPr>
          <w:rFonts w:hint="eastAsia" w:ascii="宋体" w:hAnsi="宋体" w:cs="宋体"/>
          <w:sz w:val="24"/>
          <w:szCs w:val="24"/>
        </w:rPr>
        <w:t>(7) 其他证明资料</w:t>
      </w:r>
    </w:p>
    <w:p>
      <w:pPr>
        <w:spacing w:line="460" w:lineRule="exact"/>
        <w:ind w:left="567" w:hanging="87"/>
        <w:rPr>
          <w:rFonts w:ascii="宋体" w:hAnsi="宋体" w:cs="宋体"/>
          <w:sz w:val="24"/>
          <w:szCs w:val="24"/>
        </w:rPr>
      </w:pPr>
      <w:r>
        <w:rPr>
          <w:rFonts w:hint="eastAsia" w:ascii="宋体" w:hAnsi="宋体" w:cs="宋体"/>
          <w:sz w:val="24"/>
          <w:szCs w:val="24"/>
        </w:rPr>
        <w:t>(8) 为落实政府采购政策供应商须提供的证明材料</w:t>
      </w:r>
    </w:p>
    <w:p>
      <w:pPr>
        <w:spacing w:line="460" w:lineRule="exact"/>
        <w:ind w:left="567" w:hanging="87"/>
        <w:rPr>
          <w:rFonts w:ascii="宋体" w:hAnsi="宋体" w:cs="宋体"/>
          <w:sz w:val="24"/>
          <w:szCs w:val="24"/>
        </w:rPr>
      </w:pPr>
      <w:r>
        <w:rPr>
          <w:rFonts w:hint="eastAsia" w:ascii="宋体" w:hAnsi="宋体" w:cs="宋体"/>
          <w:sz w:val="24"/>
          <w:szCs w:val="24"/>
        </w:rPr>
        <w:t>(9) 技术文件</w:t>
      </w:r>
    </w:p>
    <w:p>
      <w:pPr>
        <w:spacing w:line="460" w:lineRule="exact"/>
        <w:ind w:left="567" w:hanging="87"/>
        <w:rPr>
          <w:rFonts w:ascii="宋体" w:hAnsi="宋体" w:cs="宋体"/>
          <w:sz w:val="24"/>
          <w:szCs w:val="24"/>
        </w:rPr>
      </w:pPr>
      <w:r>
        <w:rPr>
          <w:rFonts w:hint="eastAsia" w:ascii="宋体" w:hAnsi="宋体" w:cs="宋体"/>
          <w:sz w:val="24"/>
          <w:szCs w:val="24"/>
        </w:rPr>
        <w:t>(10) 供应商应当提交的资格、资信证明文件</w:t>
      </w:r>
    </w:p>
    <w:p>
      <w:pPr>
        <w:spacing w:line="440" w:lineRule="exact"/>
        <w:rPr>
          <w:rFonts w:ascii="宋体" w:hAnsi="宋体" w:cs="宋体"/>
          <w:b/>
          <w:sz w:val="24"/>
          <w:szCs w:val="24"/>
        </w:rPr>
      </w:pPr>
      <w:r>
        <w:rPr>
          <w:rFonts w:hint="eastAsia" w:ascii="宋体" w:hAnsi="宋体" w:cs="宋体"/>
          <w:sz w:val="24"/>
          <w:szCs w:val="24"/>
        </w:rPr>
        <w:t>12.2</w:t>
      </w:r>
      <w:r>
        <w:rPr>
          <w:rFonts w:hint="eastAsia" w:ascii="宋体" w:hAnsi="宋体" w:cs="宋体"/>
          <w:b/>
          <w:bCs/>
          <w:sz w:val="24"/>
          <w:szCs w:val="24"/>
        </w:rPr>
        <w:t>供应商应将响应文件编写目录及页码。</w:t>
      </w:r>
    </w:p>
    <w:p>
      <w:pPr>
        <w:spacing w:line="460" w:lineRule="exact"/>
        <w:rPr>
          <w:rFonts w:ascii="宋体" w:hAnsi="宋体" w:cs="宋体"/>
          <w:b/>
          <w:sz w:val="24"/>
          <w:szCs w:val="24"/>
        </w:rPr>
      </w:pPr>
      <w:r>
        <w:rPr>
          <w:rFonts w:hint="eastAsia" w:ascii="宋体" w:hAnsi="宋体" w:cs="宋体"/>
          <w:b/>
          <w:sz w:val="24"/>
          <w:szCs w:val="24"/>
        </w:rPr>
        <w:t>13. 证明货物符合谈判文件规定的文件</w:t>
      </w:r>
    </w:p>
    <w:p>
      <w:pPr>
        <w:spacing w:line="460" w:lineRule="exact"/>
        <w:ind w:left="624" w:hanging="624"/>
        <w:rPr>
          <w:rFonts w:ascii="宋体" w:hAnsi="宋体" w:cs="宋体"/>
          <w:sz w:val="24"/>
          <w:szCs w:val="24"/>
        </w:rPr>
      </w:pPr>
      <w:r>
        <w:rPr>
          <w:rFonts w:hint="eastAsia" w:ascii="宋体" w:hAnsi="宋体" w:cs="宋体"/>
          <w:sz w:val="24"/>
          <w:szCs w:val="24"/>
        </w:rPr>
        <w:t>13.1 供应商应提交其货物和有关服务符合谈判文件规定的证明，作为响应文件的一部分。</w:t>
      </w:r>
    </w:p>
    <w:p>
      <w:pPr>
        <w:spacing w:line="460" w:lineRule="exact"/>
        <w:ind w:left="624" w:hanging="624"/>
        <w:rPr>
          <w:rFonts w:ascii="宋体" w:hAnsi="宋体" w:cs="宋体"/>
          <w:sz w:val="24"/>
          <w:szCs w:val="24"/>
        </w:rPr>
      </w:pPr>
      <w:r>
        <w:rPr>
          <w:rFonts w:hint="eastAsia" w:ascii="宋体" w:hAnsi="宋体" w:cs="宋体"/>
          <w:sz w:val="24"/>
          <w:szCs w:val="24"/>
        </w:rPr>
        <w:t>13.2 货物和有关服务与谈判文件的要求相一致的证明，可以是文字资料、图纸和数据，包括：</w:t>
      </w:r>
    </w:p>
    <w:p>
      <w:pPr>
        <w:spacing w:line="460" w:lineRule="exact"/>
        <w:ind w:left="567" w:hanging="27"/>
        <w:rPr>
          <w:rFonts w:ascii="宋体" w:hAnsi="宋体" w:cs="宋体"/>
          <w:sz w:val="24"/>
          <w:szCs w:val="24"/>
        </w:rPr>
      </w:pPr>
      <w:r>
        <w:rPr>
          <w:rFonts w:hint="eastAsia" w:ascii="宋体" w:hAnsi="宋体" w:cs="宋体"/>
          <w:sz w:val="24"/>
          <w:szCs w:val="24"/>
        </w:rPr>
        <w:t>1)货物主要技术指标和性能的详细说明。</w:t>
      </w:r>
    </w:p>
    <w:p>
      <w:pPr>
        <w:spacing w:line="460" w:lineRule="exact"/>
        <w:ind w:left="794" w:hanging="227"/>
        <w:rPr>
          <w:rFonts w:ascii="宋体" w:hAnsi="宋体" w:cs="宋体"/>
          <w:sz w:val="24"/>
          <w:szCs w:val="24"/>
        </w:rPr>
      </w:pPr>
      <w:r>
        <w:rPr>
          <w:rFonts w:hint="eastAsia" w:ascii="宋体" w:hAnsi="宋体" w:cs="宋体"/>
          <w:sz w:val="24"/>
          <w:szCs w:val="24"/>
        </w:rPr>
        <w:t>2)对照谈判文件技术规格，逐条说明所提供货物和有关服务已对谈判文件的技术规格做出了实质性响应，或申明与技术规格的偏差和例外。特别对于有具体参数要求的指标，供应商必须提供所供设备的具体参数。</w:t>
      </w:r>
    </w:p>
    <w:p>
      <w:pPr>
        <w:spacing w:line="460" w:lineRule="exact"/>
        <w:ind w:left="794" w:hanging="227"/>
        <w:rPr>
          <w:rFonts w:ascii="宋体" w:hAnsi="宋体" w:cs="宋体"/>
          <w:sz w:val="24"/>
          <w:szCs w:val="24"/>
        </w:rPr>
      </w:pPr>
      <w:r>
        <w:rPr>
          <w:rFonts w:hint="eastAsia" w:ascii="宋体" w:hAnsi="宋体" w:cs="宋体"/>
          <w:sz w:val="24"/>
          <w:szCs w:val="24"/>
        </w:rPr>
        <w:t>3)商务条款的偏差和例外。</w:t>
      </w:r>
    </w:p>
    <w:p>
      <w:pPr>
        <w:spacing w:line="460" w:lineRule="exact"/>
        <w:rPr>
          <w:rFonts w:ascii="宋体" w:hAnsi="宋体" w:cs="宋体"/>
          <w:b/>
          <w:sz w:val="24"/>
          <w:szCs w:val="24"/>
        </w:rPr>
      </w:pPr>
      <w:r>
        <w:rPr>
          <w:rFonts w:hint="eastAsia" w:ascii="宋体" w:hAnsi="宋体" w:cs="宋体"/>
          <w:b/>
          <w:sz w:val="24"/>
          <w:szCs w:val="24"/>
        </w:rPr>
        <w:t>14. 谈判报价</w:t>
      </w:r>
    </w:p>
    <w:p>
      <w:pPr>
        <w:spacing w:line="460" w:lineRule="exact"/>
        <w:ind w:left="567" w:hanging="567"/>
        <w:rPr>
          <w:rFonts w:ascii="宋体" w:hAnsi="宋体" w:cs="宋体"/>
          <w:b/>
          <w:bCs/>
          <w:sz w:val="24"/>
          <w:szCs w:val="24"/>
        </w:rPr>
      </w:pPr>
      <w:r>
        <w:rPr>
          <w:rFonts w:hint="eastAsia" w:ascii="宋体" w:hAnsi="宋体" w:cs="宋体"/>
          <w:sz w:val="24"/>
          <w:szCs w:val="24"/>
        </w:rPr>
        <w:t>14.1谈判报价均以人民币报价，报价内容包含谈判文件规定的货物，标准附件，备品备件，专用工具，安装、调试、检验，培训，技术服务，运至最终目的地的运费和保险费等相关费用。</w:t>
      </w:r>
    </w:p>
    <w:p>
      <w:pPr>
        <w:spacing w:line="460" w:lineRule="exact"/>
        <w:ind w:left="567" w:hanging="567"/>
        <w:rPr>
          <w:rFonts w:ascii="宋体" w:hAnsi="宋体" w:cs="宋体"/>
          <w:sz w:val="24"/>
          <w:szCs w:val="24"/>
        </w:rPr>
      </w:pPr>
      <w:r>
        <w:rPr>
          <w:rFonts w:hint="eastAsia" w:ascii="宋体" w:hAnsi="宋体" w:cs="宋体"/>
          <w:sz w:val="24"/>
          <w:szCs w:val="24"/>
        </w:rPr>
        <w:t>14.2供应商要按报价表（统一格式）和分项报价表（统一格式）的内容填写产品单价、总价及其他事项。</w:t>
      </w:r>
    </w:p>
    <w:p>
      <w:pPr>
        <w:spacing w:line="460" w:lineRule="exact"/>
        <w:ind w:left="567" w:hanging="567"/>
        <w:rPr>
          <w:rFonts w:ascii="宋体" w:hAnsi="宋体" w:cs="宋体"/>
          <w:sz w:val="24"/>
          <w:szCs w:val="24"/>
        </w:rPr>
      </w:pPr>
      <w:r>
        <w:rPr>
          <w:rFonts w:hint="eastAsia" w:ascii="宋体" w:hAnsi="宋体" w:cs="宋体"/>
          <w:sz w:val="24"/>
          <w:szCs w:val="24"/>
        </w:rPr>
        <w:t>14.3 供应商如需用外汇购入某些货物，须折合人民币(包含进口环节税)计入总报价中。</w:t>
      </w:r>
    </w:p>
    <w:p>
      <w:pPr>
        <w:spacing w:line="460" w:lineRule="exact"/>
        <w:rPr>
          <w:rFonts w:ascii="宋体" w:hAnsi="宋体" w:cs="宋体"/>
          <w:b/>
          <w:sz w:val="24"/>
          <w:szCs w:val="24"/>
        </w:rPr>
      </w:pPr>
      <w:r>
        <w:rPr>
          <w:rFonts w:hint="eastAsia" w:ascii="宋体" w:hAnsi="宋体" w:cs="宋体"/>
          <w:b/>
          <w:sz w:val="24"/>
          <w:szCs w:val="24"/>
        </w:rPr>
        <w:t>15. 谈判保证金</w:t>
      </w:r>
    </w:p>
    <w:p>
      <w:pPr>
        <w:spacing w:line="460" w:lineRule="exact"/>
        <w:ind w:left="602" w:hanging="602" w:hangingChars="250"/>
        <w:rPr>
          <w:rFonts w:ascii="宋体" w:hAnsi="宋体" w:cs="宋体"/>
          <w:b/>
          <w:bCs/>
          <w:sz w:val="24"/>
          <w:szCs w:val="24"/>
        </w:rPr>
      </w:pPr>
      <w:r>
        <w:rPr>
          <w:rFonts w:hint="eastAsia" w:ascii="宋体" w:hAnsi="宋体" w:cs="宋体"/>
          <w:b/>
          <w:bCs/>
          <w:sz w:val="24"/>
          <w:szCs w:val="24"/>
        </w:rPr>
        <w:t>15.1供应商须在响应文件递交截止时间之前向采购代理机构提交“供应商须知前附表”规定的谈判保证金，并作为其响应文件的一部分。</w:t>
      </w:r>
    </w:p>
    <w:p>
      <w:pPr>
        <w:spacing w:line="460" w:lineRule="exact"/>
        <w:ind w:left="567" w:hanging="567"/>
        <w:rPr>
          <w:rFonts w:ascii="宋体" w:hAnsi="宋体" w:cs="宋体"/>
          <w:sz w:val="24"/>
          <w:szCs w:val="24"/>
        </w:rPr>
      </w:pPr>
      <w:r>
        <w:rPr>
          <w:rFonts w:hint="eastAsia" w:ascii="宋体" w:hAnsi="宋体" w:cs="宋体"/>
          <w:sz w:val="24"/>
          <w:szCs w:val="24"/>
        </w:rPr>
        <w:t>15.2 任何未按“供应商须知”第</w:t>
      </w:r>
      <w:r>
        <w:rPr>
          <w:rFonts w:hint="eastAsia" w:ascii="宋体" w:hAnsi="宋体" w:cs="宋体"/>
          <w:b/>
          <w:sz w:val="24"/>
          <w:szCs w:val="24"/>
        </w:rPr>
        <w:t>15.1</w:t>
      </w:r>
      <w:r>
        <w:rPr>
          <w:rFonts w:hint="eastAsia" w:ascii="宋体" w:hAnsi="宋体" w:cs="宋体"/>
          <w:sz w:val="24"/>
          <w:szCs w:val="24"/>
        </w:rPr>
        <w:t>条要求提交谈判保证金的响应文件</w:t>
      </w:r>
      <w:r>
        <w:rPr>
          <w:rFonts w:hint="eastAsia" w:ascii="宋体" w:hAnsi="宋体" w:cs="宋体"/>
          <w:b/>
          <w:sz w:val="24"/>
          <w:szCs w:val="24"/>
        </w:rPr>
        <w:t>被视为无效。</w:t>
      </w:r>
    </w:p>
    <w:p>
      <w:pPr>
        <w:spacing w:line="460" w:lineRule="exact"/>
        <w:ind w:left="567" w:hanging="567"/>
        <w:rPr>
          <w:rFonts w:ascii="宋体" w:hAnsi="宋体" w:cs="宋体"/>
          <w:sz w:val="24"/>
          <w:szCs w:val="24"/>
        </w:rPr>
      </w:pPr>
      <w:r>
        <w:rPr>
          <w:rFonts w:hint="eastAsia" w:ascii="宋体" w:hAnsi="宋体" w:cs="宋体"/>
          <w:sz w:val="24"/>
          <w:szCs w:val="24"/>
        </w:rPr>
        <w:t>15.3 成交供应商的谈判保证金，在采购合同签订后5个工作日内退还。</w:t>
      </w:r>
    </w:p>
    <w:p>
      <w:pPr>
        <w:spacing w:line="460" w:lineRule="exact"/>
        <w:ind w:left="567" w:hanging="567"/>
        <w:rPr>
          <w:rFonts w:ascii="宋体" w:hAnsi="宋体" w:cs="宋体"/>
          <w:sz w:val="24"/>
          <w:szCs w:val="24"/>
        </w:rPr>
      </w:pPr>
      <w:r>
        <w:rPr>
          <w:rFonts w:hint="eastAsia" w:ascii="宋体" w:hAnsi="宋体" w:cs="宋体"/>
          <w:sz w:val="24"/>
          <w:szCs w:val="24"/>
        </w:rPr>
        <w:t>15.4未成交供应商的谈判保证金，在成交通知书发出后5个工作日内退还。</w:t>
      </w:r>
    </w:p>
    <w:p>
      <w:pPr>
        <w:spacing w:line="460" w:lineRule="exact"/>
        <w:ind w:left="600" w:hanging="600" w:hangingChars="250"/>
        <w:rPr>
          <w:rFonts w:ascii="宋体" w:hAnsi="宋体" w:cs="宋体"/>
          <w:sz w:val="24"/>
          <w:szCs w:val="24"/>
        </w:rPr>
      </w:pPr>
      <w:r>
        <w:rPr>
          <w:rFonts w:hint="eastAsia" w:ascii="宋体" w:hAnsi="宋体" w:cs="宋体"/>
          <w:sz w:val="24"/>
          <w:szCs w:val="24"/>
        </w:rPr>
        <w:t>15.5有下列情形之一的，保证金不予退还</w:t>
      </w:r>
    </w:p>
    <w:p>
      <w:pPr>
        <w:spacing w:line="460" w:lineRule="exact"/>
        <w:ind w:left="598" w:leftChars="285"/>
        <w:rPr>
          <w:rFonts w:ascii="宋体" w:hAnsi="宋体" w:cs="宋体"/>
          <w:sz w:val="24"/>
          <w:szCs w:val="24"/>
        </w:rPr>
      </w:pPr>
      <w:r>
        <w:rPr>
          <w:rFonts w:hint="eastAsia" w:ascii="宋体" w:hAnsi="宋体" w:cs="宋体"/>
          <w:sz w:val="24"/>
          <w:szCs w:val="24"/>
        </w:rPr>
        <w:t>(1) 供应商在提交响应文件截止时间后撤回响应文件的；</w:t>
      </w:r>
    </w:p>
    <w:p>
      <w:pPr>
        <w:spacing w:line="460" w:lineRule="exact"/>
        <w:ind w:left="600" w:hanging="600" w:hangingChars="250"/>
        <w:rPr>
          <w:rFonts w:ascii="宋体" w:hAnsi="宋体" w:cs="宋体"/>
          <w:sz w:val="24"/>
          <w:szCs w:val="24"/>
        </w:rPr>
      </w:pPr>
      <w:r>
        <w:rPr>
          <w:rFonts w:hint="eastAsia" w:ascii="宋体" w:hAnsi="宋体" w:cs="宋体"/>
          <w:sz w:val="24"/>
          <w:szCs w:val="24"/>
        </w:rPr>
        <w:t>　 　(2) 供应商在响应文件中提供虚假材料的；</w:t>
      </w:r>
    </w:p>
    <w:p>
      <w:pPr>
        <w:spacing w:line="460" w:lineRule="exact"/>
        <w:ind w:left="600" w:hanging="600" w:hangingChars="250"/>
        <w:rPr>
          <w:rFonts w:ascii="宋体" w:hAnsi="宋体" w:cs="宋体"/>
          <w:sz w:val="24"/>
          <w:szCs w:val="24"/>
        </w:rPr>
      </w:pPr>
      <w:r>
        <w:rPr>
          <w:rFonts w:hint="eastAsia" w:ascii="宋体" w:hAnsi="宋体" w:cs="宋体"/>
          <w:sz w:val="24"/>
          <w:szCs w:val="24"/>
        </w:rPr>
        <w:t>　　（3）除因不可抗力或谈判文件认可的情形以外，成交供应商不与采购人签订合同的；</w:t>
      </w:r>
    </w:p>
    <w:p>
      <w:pPr>
        <w:spacing w:line="460" w:lineRule="exact"/>
        <w:ind w:left="600" w:hanging="600" w:hangingChars="250"/>
        <w:rPr>
          <w:rFonts w:ascii="宋体" w:hAnsi="宋体" w:cs="宋体"/>
          <w:sz w:val="24"/>
          <w:szCs w:val="24"/>
        </w:rPr>
      </w:pPr>
      <w:r>
        <w:rPr>
          <w:rFonts w:hint="eastAsia" w:ascii="宋体" w:hAnsi="宋体" w:cs="宋体"/>
          <w:sz w:val="24"/>
          <w:szCs w:val="24"/>
        </w:rPr>
        <w:t>　　（4）供应商与采购人、其他供应商或者采购代理机构恶意串通的；</w:t>
      </w:r>
    </w:p>
    <w:p>
      <w:pPr>
        <w:spacing w:line="460" w:lineRule="exact"/>
        <w:ind w:left="600" w:hanging="600" w:hangingChars="250"/>
        <w:rPr>
          <w:rFonts w:ascii="宋体" w:hAnsi="宋体" w:cs="宋体"/>
          <w:sz w:val="24"/>
          <w:szCs w:val="24"/>
        </w:rPr>
      </w:pPr>
      <w:r>
        <w:rPr>
          <w:rFonts w:hint="eastAsia" w:ascii="宋体" w:hAnsi="宋体" w:cs="宋体"/>
          <w:sz w:val="24"/>
          <w:szCs w:val="24"/>
        </w:rPr>
        <w:t>　　（5）成交供应商未按规定缴付采购代理服务费；</w:t>
      </w:r>
    </w:p>
    <w:p>
      <w:pPr>
        <w:spacing w:line="460" w:lineRule="exact"/>
        <w:ind w:left="598" w:leftChars="285"/>
        <w:rPr>
          <w:rFonts w:ascii="宋体" w:hAnsi="宋体" w:cs="宋体"/>
          <w:sz w:val="24"/>
          <w:szCs w:val="24"/>
        </w:rPr>
      </w:pPr>
      <w:r>
        <w:rPr>
          <w:rFonts w:hint="eastAsia" w:ascii="宋体" w:hAnsi="宋体" w:cs="宋体"/>
          <w:sz w:val="24"/>
          <w:szCs w:val="24"/>
        </w:rPr>
        <w:t>(6) 成交供应商未按规定提交履约保证金（如有）；</w:t>
      </w:r>
    </w:p>
    <w:p>
      <w:pPr>
        <w:spacing w:line="460" w:lineRule="exact"/>
        <w:ind w:left="598" w:leftChars="285"/>
        <w:rPr>
          <w:rFonts w:ascii="宋体" w:hAnsi="宋体" w:cs="宋体"/>
          <w:sz w:val="24"/>
          <w:szCs w:val="24"/>
        </w:rPr>
      </w:pPr>
      <w:r>
        <w:rPr>
          <w:rFonts w:hint="eastAsia" w:ascii="宋体" w:hAnsi="宋体" w:cs="宋体"/>
          <w:sz w:val="24"/>
          <w:szCs w:val="24"/>
        </w:rPr>
        <w:t>(7) 谈判文件规定的其他情形。</w:t>
      </w:r>
    </w:p>
    <w:p>
      <w:pPr>
        <w:spacing w:line="460" w:lineRule="exact"/>
        <w:rPr>
          <w:rFonts w:ascii="宋体" w:hAnsi="宋体" w:cs="宋体"/>
          <w:b/>
          <w:sz w:val="24"/>
          <w:szCs w:val="24"/>
        </w:rPr>
      </w:pPr>
      <w:r>
        <w:rPr>
          <w:rFonts w:hint="eastAsia" w:ascii="宋体" w:hAnsi="宋体" w:cs="宋体"/>
          <w:b/>
          <w:sz w:val="24"/>
          <w:szCs w:val="24"/>
        </w:rPr>
        <w:t>16. 谈判有效期</w:t>
      </w:r>
    </w:p>
    <w:p>
      <w:pPr>
        <w:spacing w:line="460" w:lineRule="exact"/>
        <w:ind w:left="563" w:leftChars="268"/>
        <w:rPr>
          <w:rFonts w:ascii="宋体" w:hAnsi="宋体" w:cs="宋体"/>
          <w:sz w:val="24"/>
          <w:szCs w:val="24"/>
        </w:rPr>
      </w:pPr>
      <w:r>
        <w:rPr>
          <w:rFonts w:hint="eastAsia" w:ascii="宋体" w:hAnsi="宋体" w:cs="宋体"/>
          <w:sz w:val="24"/>
          <w:szCs w:val="24"/>
        </w:rPr>
        <w:t>谈判有效期为自谈判之日起不少于“供应商须知前附表”规定的时间保持有效。谈判有效期不足的响应文件</w:t>
      </w:r>
      <w:r>
        <w:rPr>
          <w:rFonts w:hint="eastAsia" w:ascii="宋体" w:hAnsi="宋体" w:cs="宋体"/>
          <w:b/>
          <w:sz w:val="24"/>
          <w:szCs w:val="24"/>
        </w:rPr>
        <w:t>被视为无效。</w:t>
      </w:r>
    </w:p>
    <w:p>
      <w:pPr>
        <w:spacing w:line="460" w:lineRule="exact"/>
        <w:rPr>
          <w:rFonts w:ascii="宋体" w:hAnsi="宋体" w:cs="宋体"/>
          <w:sz w:val="24"/>
          <w:szCs w:val="24"/>
        </w:rPr>
      </w:pPr>
      <w:r>
        <w:rPr>
          <w:rFonts w:hint="eastAsia" w:ascii="宋体" w:hAnsi="宋体" w:cs="宋体"/>
          <w:b/>
          <w:sz w:val="24"/>
          <w:szCs w:val="24"/>
        </w:rPr>
        <w:t>17. 响应文件的签署及规定</w:t>
      </w:r>
    </w:p>
    <w:p>
      <w:pPr>
        <w:spacing w:line="460" w:lineRule="exact"/>
        <w:ind w:left="567" w:hanging="567"/>
        <w:rPr>
          <w:rFonts w:ascii="宋体" w:hAnsi="宋体" w:cs="宋体"/>
          <w:sz w:val="24"/>
          <w:szCs w:val="24"/>
        </w:rPr>
      </w:pPr>
      <w:r>
        <w:rPr>
          <w:rFonts w:hint="eastAsia" w:ascii="宋体" w:hAnsi="宋体" w:cs="宋体"/>
          <w:sz w:val="24"/>
          <w:szCs w:val="24"/>
        </w:rPr>
        <w:t>17.1 响应文件不得涂改和增删，如有修改，必须由授权代表人（或法定代表人）签字或盖章。</w:t>
      </w:r>
    </w:p>
    <w:p>
      <w:pPr>
        <w:spacing w:line="460" w:lineRule="exact"/>
        <w:ind w:left="567" w:hanging="567"/>
        <w:rPr>
          <w:rFonts w:ascii="宋体" w:hAnsi="宋体" w:cs="宋体"/>
          <w:sz w:val="24"/>
          <w:szCs w:val="24"/>
        </w:rPr>
      </w:pPr>
      <w:r>
        <w:rPr>
          <w:rFonts w:hint="eastAsia" w:ascii="宋体" w:hAnsi="宋体" w:cs="宋体"/>
          <w:sz w:val="24"/>
          <w:szCs w:val="24"/>
        </w:rPr>
        <w:t>17.2 响应文件因字迹潦草或表达不清所引起的后果由供应商负责。</w:t>
      </w:r>
    </w:p>
    <w:p>
      <w:pPr>
        <w:pStyle w:val="4"/>
        <w:spacing w:before="0" w:after="0" w:line="460" w:lineRule="exact"/>
        <w:ind w:firstLine="3238" w:firstLineChars="1152"/>
        <w:jc w:val="left"/>
        <w:rPr>
          <w:rFonts w:ascii="宋体" w:hAnsi="宋体" w:eastAsia="宋体" w:cs="宋体"/>
          <w:sz w:val="28"/>
          <w:szCs w:val="28"/>
        </w:rPr>
      </w:pPr>
      <w:bookmarkStart w:id="54" w:name="_Toc501638126"/>
      <w:r>
        <w:rPr>
          <w:rFonts w:hint="eastAsia" w:ascii="宋体" w:hAnsi="宋体" w:eastAsia="宋体" w:cs="宋体"/>
          <w:sz w:val="28"/>
          <w:szCs w:val="28"/>
        </w:rPr>
        <w:t>五、 响应文件的递交</w:t>
      </w:r>
      <w:bookmarkEnd w:id="54"/>
    </w:p>
    <w:p>
      <w:pPr>
        <w:spacing w:line="460" w:lineRule="exact"/>
        <w:rPr>
          <w:rFonts w:ascii="宋体" w:hAnsi="宋体" w:cs="宋体"/>
          <w:b/>
          <w:color w:val="000000"/>
          <w:sz w:val="24"/>
          <w:szCs w:val="24"/>
        </w:rPr>
      </w:pPr>
      <w:r>
        <w:rPr>
          <w:rFonts w:hint="eastAsia" w:ascii="宋体" w:hAnsi="宋体" w:cs="宋体"/>
          <w:b/>
          <w:sz w:val="24"/>
          <w:szCs w:val="24"/>
        </w:rPr>
        <w:t>18. 响应文件的</w:t>
      </w:r>
      <w:r>
        <w:rPr>
          <w:rFonts w:hint="eastAsia" w:ascii="宋体" w:hAnsi="宋体" w:cs="宋体"/>
          <w:b/>
          <w:color w:val="000000"/>
          <w:sz w:val="24"/>
          <w:szCs w:val="24"/>
        </w:rPr>
        <w:t>递交</w:t>
      </w:r>
    </w:p>
    <w:p>
      <w:pPr>
        <w:spacing w:line="500" w:lineRule="atLeast"/>
        <w:ind w:left="480" w:hanging="480" w:hangingChars="200"/>
        <w:jc w:val="left"/>
        <w:rPr>
          <w:rFonts w:ascii="宋体" w:hAnsi="宋体" w:cs="宋体"/>
          <w:b/>
          <w:bCs/>
          <w:color w:val="000000"/>
          <w:sz w:val="24"/>
          <w:szCs w:val="24"/>
        </w:rPr>
      </w:pPr>
      <w:r>
        <w:rPr>
          <w:rFonts w:hint="eastAsia" w:ascii="宋体" w:hAnsi="宋体" w:cs="宋体"/>
          <w:color w:val="000000"/>
          <w:sz w:val="24"/>
          <w:szCs w:val="24"/>
        </w:rPr>
        <w:t xml:space="preserve">18.1 </w:t>
      </w:r>
      <w:r>
        <w:rPr>
          <w:rFonts w:hint="eastAsia" w:ascii="宋体" w:hAnsi="宋体" w:cs="仿宋"/>
          <w:sz w:val="24"/>
          <w:szCs w:val="24"/>
        </w:rPr>
        <w:t>本项目采用电子化谈判模式，</w:t>
      </w:r>
      <w:r>
        <w:rPr>
          <w:rFonts w:hint="eastAsia" w:ascii="宋体" w:hAnsi="宋体" w:cs="仿宋"/>
          <w:color w:val="0D0D0D"/>
          <w:sz w:val="24"/>
          <w:szCs w:val="24"/>
        </w:rPr>
        <w:t>加盖电子签章的电子版响应文件必须在谈判截止时间前上传到江西省公共资源交易网</w:t>
      </w:r>
      <w:r>
        <w:rPr>
          <w:rFonts w:hint="eastAsia" w:ascii="宋体" w:hAnsi="宋体" w:cs="仿宋"/>
          <w:color w:val="0D0D0D"/>
          <w:sz w:val="24"/>
          <w:szCs w:val="24"/>
          <w:lang w:eastAsia="zh-CN"/>
        </w:rPr>
        <w:t>，</w:t>
      </w:r>
      <w:r>
        <w:rPr>
          <w:rFonts w:hint="eastAsia" w:ascii="宋体" w:hAnsi="宋体" w:cs="仿宋"/>
          <w:b/>
          <w:bCs/>
          <w:color w:val="0D0D0D"/>
          <w:sz w:val="24"/>
          <w:szCs w:val="24"/>
        </w:rPr>
        <w:t>否则响应无效。</w:t>
      </w:r>
    </w:p>
    <w:p>
      <w:pPr>
        <w:spacing w:line="460" w:lineRule="exact"/>
        <w:rPr>
          <w:rFonts w:ascii="宋体" w:hAnsi="宋体" w:cs="宋体"/>
          <w:b/>
          <w:color w:val="000000"/>
          <w:sz w:val="24"/>
          <w:szCs w:val="24"/>
        </w:rPr>
      </w:pPr>
      <w:r>
        <w:rPr>
          <w:rFonts w:hint="eastAsia" w:ascii="宋体" w:hAnsi="宋体" w:cs="宋体"/>
          <w:b/>
          <w:color w:val="000000"/>
          <w:sz w:val="24"/>
          <w:szCs w:val="24"/>
        </w:rPr>
        <w:t>19. 谈判截止时间</w:t>
      </w:r>
    </w:p>
    <w:p>
      <w:pPr>
        <w:spacing w:line="460" w:lineRule="exact"/>
        <w:ind w:left="563" w:leftChars="268"/>
        <w:rPr>
          <w:rFonts w:ascii="宋体" w:hAnsi="宋体" w:cs="宋体"/>
          <w:sz w:val="24"/>
          <w:szCs w:val="24"/>
        </w:rPr>
      </w:pPr>
      <w:r>
        <w:rPr>
          <w:rFonts w:hint="eastAsia" w:ascii="宋体" w:hAnsi="宋体" w:cs="宋体"/>
          <w:color w:val="000000"/>
          <w:sz w:val="24"/>
          <w:szCs w:val="24"/>
        </w:rPr>
        <w:t>谈判截止时间详见“第一章 谈判邀请”。</w:t>
      </w:r>
    </w:p>
    <w:p>
      <w:pPr>
        <w:spacing w:line="460" w:lineRule="exact"/>
        <w:rPr>
          <w:rFonts w:ascii="宋体" w:hAnsi="宋体" w:cs="宋体"/>
          <w:b/>
          <w:color w:val="000000"/>
          <w:sz w:val="24"/>
          <w:szCs w:val="24"/>
        </w:rPr>
      </w:pPr>
      <w:r>
        <w:rPr>
          <w:rFonts w:hint="eastAsia" w:ascii="宋体" w:hAnsi="宋体" w:cs="宋体"/>
          <w:b/>
          <w:color w:val="000000"/>
          <w:sz w:val="24"/>
          <w:szCs w:val="24"/>
        </w:rPr>
        <w:t>20. 迟交的响应文件</w:t>
      </w:r>
    </w:p>
    <w:p>
      <w:pPr>
        <w:spacing w:line="460" w:lineRule="exact"/>
        <w:ind w:left="599" w:leftChars="228" w:hanging="120" w:hangingChars="50"/>
        <w:rPr>
          <w:rFonts w:ascii="宋体" w:hAnsi="宋体" w:cs="宋体"/>
          <w:color w:val="000000"/>
          <w:sz w:val="24"/>
          <w:szCs w:val="24"/>
        </w:rPr>
      </w:pPr>
      <w:r>
        <w:rPr>
          <w:rFonts w:hint="eastAsia" w:ascii="宋体" w:hAnsi="宋体" w:cs="宋体"/>
          <w:color w:val="000000"/>
          <w:sz w:val="24"/>
          <w:szCs w:val="24"/>
        </w:rPr>
        <w:t xml:space="preserve"> 在响应文件递交截止时间以后递交的</w:t>
      </w:r>
      <w:r>
        <w:rPr>
          <w:rFonts w:hint="eastAsia" w:ascii="宋体" w:hAnsi="宋体" w:cs="仿宋"/>
          <w:sz w:val="24"/>
          <w:szCs w:val="24"/>
        </w:rPr>
        <w:t>CA数字证书</w:t>
      </w:r>
      <w:r>
        <w:rPr>
          <w:rFonts w:hint="eastAsia" w:ascii="宋体" w:hAnsi="宋体" w:cs="宋体"/>
          <w:color w:val="000000"/>
          <w:sz w:val="24"/>
          <w:szCs w:val="24"/>
        </w:rPr>
        <w:t>，采购代理机构将拒绝接收。</w:t>
      </w:r>
    </w:p>
    <w:p>
      <w:pPr>
        <w:spacing w:line="460" w:lineRule="exact"/>
        <w:rPr>
          <w:rFonts w:ascii="宋体" w:hAnsi="宋体" w:cs="宋体"/>
          <w:b/>
          <w:color w:val="000000"/>
          <w:sz w:val="24"/>
          <w:szCs w:val="24"/>
        </w:rPr>
      </w:pPr>
      <w:r>
        <w:rPr>
          <w:rFonts w:hint="eastAsia" w:ascii="宋体" w:hAnsi="宋体" w:cs="宋体"/>
          <w:b/>
          <w:color w:val="000000"/>
          <w:sz w:val="24"/>
          <w:szCs w:val="24"/>
        </w:rPr>
        <w:t>21. 响应文件的补充、修改或撤回</w:t>
      </w:r>
    </w:p>
    <w:p>
      <w:pPr>
        <w:spacing w:line="460" w:lineRule="exact"/>
        <w:ind w:left="600" w:hanging="600" w:hangingChars="250"/>
        <w:rPr>
          <w:rFonts w:ascii="宋体" w:hAnsi="宋体" w:cs="宋体"/>
          <w:color w:val="000000"/>
          <w:sz w:val="24"/>
          <w:szCs w:val="24"/>
        </w:rPr>
      </w:pPr>
      <w:r>
        <w:rPr>
          <w:rFonts w:hint="eastAsia" w:ascii="宋体" w:hAnsi="宋体" w:cs="宋体"/>
          <w:color w:val="000000"/>
          <w:sz w:val="24"/>
          <w:szCs w:val="24"/>
        </w:rPr>
        <w:t>21.1供应商在提交响应文件截止时间前，可以对所提交的响应文件进行补充、修改或者撤回，</w:t>
      </w:r>
      <w:r>
        <w:rPr>
          <w:rFonts w:hint="eastAsia" w:ascii="宋体" w:hAnsi="宋体" w:cs="仿宋"/>
          <w:sz w:val="24"/>
          <w:szCs w:val="24"/>
        </w:rPr>
        <w:t>供应商可以在江西省公共资源交易网上重新上传修改后响应文件或撤回其投标。</w:t>
      </w:r>
    </w:p>
    <w:p>
      <w:pPr>
        <w:spacing w:line="460" w:lineRule="exact"/>
        <w:ind w:left="600" w:hanging="600" w:hangingChars="250"/>
        <w:rPr>
          <w:rFonts w:ascii="宋体" w:hAnsi="宋体" w:cs="宋体"/>
          <w:sz w:val="24"/>
          <w:szCs w:val="24"/>
        </w:rPr>
      </w:pPr>
      <w:r>
        <w:rPr>
          <w:rFonts w:hint="eastAsia" w:ascii="宋体" w:hAnsi="宋体" w:cs="宋体"/>
          <w:color w:val="000000"/>
          <w:sz w:val="24"/>
          <w:szCs w:val="24"/>
        </w:rPr>
        <w:t>21.2从响应文件递交截止期至谈判有效期期满这段时间内，供应商不得撤回其响应文件，否则不予退还其交纳的谈判保证金。</w:t>
      </w:r>
    </w:p>
    <w:p>
      <w:pPr>
        <w:pStyle w:val="4"/>
        <w:spacing w:before="0" w:after="0" w:line="460" w:lineRule="exact"/>
        <w:ind w:firstLine="3238" w:firstLineChars="1152"/>
        <w:jc w:val="left"/>
        <w:rPr>
          <w:rFonts w:ascii="宋体" w:hAnsi="宋体" w:eastAsia="宋体" w:cs="宋体"/>
          <w:sz w:val="28"/>
          <w:szCs w:val="28"/>
        </w:rPr>
      </w:pPr>
      <w:bookmarkStart w:id="55" w:name="_Toc501638127"/>
      <w:r>
        <w:rPr>
          <w:rFonts w:hint="eastAsia" w:ascii="宋体" w:hAnsi="宋体" w:eastAsia="宋体" w:cs="宋体"/>
          <w:sz w:val="28"/>
          <w:szCs w:val="28"/>
        </w:rPr>
        <w:t>六、 谈判</w:t>
      </w:r>
      <w:bookmarkEnd w:id="55"/>
    </w:p>
    <w:p>
      <w:pPr>
        <w:spacing w:line="460" w:lineRule="exact"/>
        <w:rPr>
          <w:rFonts w:ascii="宋体" w:hAnsi="宋体" w:cs="宋体"/>
          <w:b/>
          <w:sz w:val="24"/>
          <w:szCs w:val="24"/>
        </w:rPr>
      </w:pPr>
      <w:r>
        <w:rPr>
          <w:rFonts w:hint="eastAsia" w:ascii="宋体" w:hAnsi="宋体" w:cs="宋体"/>
          <w:b/>
          <w:sz w:val="24"/>
          <w:szCs w:val="24"/>
        </w:rPr>
        <w:t>22. 谈判组织</w:t>
      </w:r>
    </w:p>
    <w:p>
      <w:pPr>
        <w:spacing w:line="460" w:lineRule="exact"/>
        <w:ind w:left="563" w:leftChars="268"/>
        <w:rPr>
          <w:rFonts w:ascii="宋体" w:hAnsi="宋体" w:cs="宋体"/>
          <w:sz w:val="24"/>
          <w:szCs w:val="24"/>
        </w:rPr>
      </w:pPr>
      <w:r>
        <w:rPr>
          <w:rFonts w:hint="eastAsia" w:ascii="宋体" w:hAnsi="宋体" w:cs="宋体"/>
          <w:sz w:val="24"/>
          <w:szCs w:val="24"/>
        </w:rPr>
        <w:t>采购代理机构在“第一章 谈判邀请”中规定的时间、地点组织谈判活动。参加谈判的代表应签名报到以证明其出席。</w:t>
      </w:r>
    </w:p>
    <w:p>
      <w:pPr>
        <w:spacing w:line="460" w:lineRule="exact"/>
        <w:rPr>
          <w:rFonts w:ascii="宋体" w:hAnsi="宋体" w:cs="宋体"/>
          <w:b/>
          <w:sz w:val="24"/>
          <w:szCs w:val="24"/>
        </w:rPr>
      </w:pPr>
      <w:r>
        <w:rPr>
          <w:rFonts w:hint="eastAsia" w:ascii="宋体" w:hAnsi="宋体" w:cs="宋体"/>
          <w:b/>
          <w:sz w:val="24"/>
          <w:szCs w:val="24"/>
        </w:rPr>
        <w:t>23. 谈判小组</w:t>
      </w:r>
    </w:p>
    <w:p>
      <w:pPr>
        <w:spacing w:line="460" w:lineRule="exact"/>
        <w:ind w:left="479" w:leftChars="228"/>
        <w:rPr>
          <w:rFonts w:ascii="宋体" w:hAnsi="宋体" w:cs="宋体"/>
          <w:sz w:val="24"/>
          <w:szCs w:val="24"/>
          <w:lang w:val="en-GB"/>
        </w:rPr>
      </w:pPr>
      <w:r>
        <w:rPr>
          <w:rFonts w:hint="eastAsia" w:ascii="宋体" w:hAnsi="宋体" w:cs="宋体"/>
          <w:sz w:val="24"/>
          <w:szCs w:val="24"/>
          <w:lang w:val="en-GB"/>
        </w:rPr>
        <w:t xml:space="preserve"> 在相关的政府采购评审专家库中随机抽取评审专家，依法成立谈判小组。评审工作由谈判小组负责。</w:t>
      </w:r>
    </w:p>
    <w:p>
      <w:pPr>
        <w:spacing w:line="460" w:lineRule="exact"/>
        <w:rPr>
          <w:rFonts w:ascii="宋体" w:hAnsi="宋体" w:cs="宋体"/>
          <w:b/>
          <w:sz w:val="24"/>
          <w:szCs w:val="24"/>
        </w:rPr>
      </w:pPr>
      <w:r>
        <w:rPr>
          <w:rFonts w:hint="eastAsia" w:ascii="宋体" w:hAnsi="宋体" w:cs="宋体"/>
          <w:b/>
          <w:sz w:val="24"/>
          <w:szCs w:val="24"/>
        </w:rPr>
        <w:t>24. 谈判程序</w:t>
      </w:r>
    </w:p>
    <w:p>
      <w:pPr>
        <w:spacing w:line="460" w:lineRule="exact"/>
        <w:ind w:left="480" w:hanging="480" w:hangingChars="200"/>
        <w:rPr>
          <w:rFonts w:hint="eastAsia" w:ascii="宋体" w:hAnsi="宋体" w:cs="仿宋"/>
          <w:bCs/>
          <w:sz w:val="24"/>
          <w:szCs w:val="24"/>
        </w:rPr>
      </w:pPr>
      <w:r>
        <w:rPr>
          <w:rFonts w:hint="eastAsia" w:ascii="宋体" w:hAnsi="宋体" w:cs="仿宋"/>
          <w:bCs/>
          <w:sz w:val="24"/>
          <w:szCs w:val="24"/>
          <w:lang w:val="en-GB"/>
        </w:rPr>
        <w:t>24.1</w:t>
      </w:r>
      <w:r>
        <w:rPr>
          <w:rFonts w:hint="eastAsia" w:ascii="宋体" w:hAnsi="宋体" w:cs="仿宋"/>
          <w:bCs/>
          <w:sz w:val="24"/>
          <w:szCs w:val="24"/>
        </w:rPr>
        <w:t>采购代理机构在“第一章 谈判邀请”中规定的时间和地点组织谈判。</w:t>
      </w:r>
    </w:p>
    <w:p>
      <w:pPr>
        <w:spacing w:line="460" w:lineRule="exact"/>
        <w:ind w:left="480" w:hanging="480" w:hangingChars="200"/>
        <w:rPr>
          <w:rFonts w:ascii="宋体" w:hAnsi="宋体" w:cs="仿宋"/>
          <w:bCs/>
          <w:sz w:val="24"/>
          <w:szCs w:val="24"/>
          <w:lang w:val="en-GB"/>
        </w:rPr>
      </w:pPr>
      <w:r>
        <w:rPr>
          <w:rFonts w:hint="eastAsia" w:ascii="宋体" w:hAnsi="宋体" w:cs="仿宋"/>
          <w:bCs/>
          <w:sz w:val="24"/>
          <w:szCs w:val="24"/>
          <w:lang w:val="en-GB"/>
        </w:rPr>
        <w:t>2</w:t>
      </w:r>
      <w:r>
        <w:rPr>
          <w:rFonts w:hint="eastAsia" w:ascii="宋体" w:hAnsi="宋体" w:cs="仿宋"/>
          <w:bCs/>
          <w:sz w:val="24"/>
          <w:szCs w:val="24"/>
        </w:rPr>
        <w:t>4</w:t>
      </w:r>
      <w:r>
        <w:rPr>
          <w:rFonts w:hint="eastAsia" w:ascii="宋体" w:hAnsi="宋体" w:cs="仿宋"/>
          <w:bCs/>
          <w:sz w:val="24"/>
          <w:szCs w:val="24"/>
          <w:lang w:val="en-GB"/>
        </w:rPr>
        <w:t>.2</w:t>
      </w:r>
      <w:r>
        <w:rPr>
          <w:rFonts w:hint="eastAsia" w:ascii="宋体" w:hAnsi="宋体" w:cs="仿宋"/>
          <w:bCs/>
          <w:sz w:val="24"/>
          <w:szCs w:val="24"/>
        </w:rPr>
        <w:t>谈判</w:t>
      </w:r>
      <w:r>
        <w:rPr>
          <w:rFonts w:hint="eastAsia" w:ascii="宋体" w:hAnsi="宋体" w:cs="仿宋"/>
          <w:bCs/>
          <w:sz w:val="24"/>
          <w:szCs w:val="24"/>
          <w:lang w:val="en-GB"/>
        </w:rPr>
        <w:t>由采购人或者采购代理机构主持，邀请供应商参加。</w:t>
      </w:r>
    </w:p>
    <w:p>
      <w:pPr>
        <w:spacing w:line="460" w:lineRule="exact"/>
        <w:ind w:left="480" w:hanging="482" w:hangingChars="200"/>
        <w:rPr>
          <w:rFonts w:ascii="宋体" w:hAnsi="宋体" w:cs="仿宋"/>
          <w:b/>
          <w:bCs w:val="0"/>
          <w:sz w:val="24"/>
          <w:szCs w:val="24"/>
          <w:lang w:val="en-GB"/>
        </w:rPr>
      </w:pPr>
      <w:r>
        <w:rPr>
          <w:rFonts w:hint="eastAsia" w:ascii="宋体" w:hAnsi="宋体" w:cs="仿宋"/>
          <w:b/>
          <w:bCs w:val="0"/>
          <w:sz w:val="24"/>
          <w:szCs w:val="24"/>
          <w:lang w:val="en-GB"/>
        </w:rPr>
        <w:t>2</w:t>
      </w:r>
      <w:r>
        <w:rPr>
          <w:rFonts w:hint="eastAsia" w:ascii="宋体" w:hAnsi="宋体" w:cs="仿宋"/>
          <w:b/>
          <w:bCs w:val="0"/>
          <w:sz w:val="24"/>
          <w:szCs w:val="24"/>
        </w:rPr>
        <w:t>4</w:t>
      </w:r>
      <w:r>
        <w:rPr>
          <w:rFonts w:hint="eastAsia" w:ascii="宋体" w:hAnsi="宋体" w:cs="仿宋"/>
          <w:b/>
          <w:bCs w:val="0"/>
          <w:sz w:val="24"/>
          <w:szCs w:val="24"/>
          <w:lang w:val="en-GB"/>
        </w:rPr>
        <w:t>.3</w:t>
      </w:r>
      <w:r>
        <w:rPr>
          <w:rFonts w:hint="eastAsia" w:ascii="宋体" w:hAnsi="宋体" w:cs="仿宋"/>
          <w:b/>
          <w:bCs w:val="0"/>
          <w:sz w:val="24"/>
          <w:szCs w:val="24"/>
        </w:rPr>
        <w:t>谈判</w:t>
      </w:r>
      <w:r>
        <w:rPr>
          <w:rFonts w:hint="eastAsia" w:ascii="宋体" w:hAnsi="宋体" w:cs="仿宋"/>
          <w:b/>
          <w:bCs w:val="0"/>
          <w:sz w:val="24"/>
          <w:szCs w:val="24"/>
          <w:lang w:val="en-GB"/>
        </w:rPr>
        <w:t>截止时间前供应商未</w:t>
      </w:r>
      <w:r>
        <w:rPr>
          <w:rFonts w:hint="eastAsia" w:ascii="宋体" w:hAnsi="宋体" w:cs="仿宋"/>
          <w:b/>
          <w:bCs w:val="0"/>
          <w:sz w:val="24"/>
          <w:szCs w:val="24"/>
          <w:lang w:val="en-US" w:eastAsia="zh-CN"/>
        </w:rPr>
        <w:t>签到</w:t>
      </w:r>
      <w:r>
        <w:rPr>
          <w:rFonts w:hint="eastAsia" w:ascii="宋体" w:hAnsi="宋体" w:cs="仿宋"/>
          <w:b/>
          <w:bCs w:val="0"/>
          <w:sz w:val="24"/>
          <w:szCs w:val="24"/>
          <w:lang w:val="en-GB"/>
        </w:rPr>
        <w:t>或</w:t>
      </w:r>
      <w:r>
        <w:rPr>
          <w:rFonts w:hint="eastAsia" w:ascii="宋体" w:hAnsi="宋体" w:cs="仿宋"/>
          <w:b/>
          <w:bCs w:val="0"/>
          <w:sz w:val="24"/>
          <w:szCs w:val="24"/>
          <w:lang w:val="en-US" w:eastAsia="zh-CN"/>
        </w:rPr>
        <w:t>在规定时间内</w:t>
      </w:r>
      <w:r>
        <w:rPr>
          <w:rFonts w:hint="eastAsia" w:ascii="宋体" w:hAnsi="宋体" w:cs="仿宋"/>
          <w:b/>
          <w:bCs w:val="0"/>
          <w:sz w:val="24"/>
          <w:szCs w:val="24"/>
          <w:lang w:val="en-GB"/>
        </w:rPr>
        <w:t>CA数字证书</w:t>
      </w:r>
      <w:r>
        <w:rPr>
          <w:rFonts w:hint="eastAsia" w:ascii="宋体" w:hAnsi="宋体" w:cs="仿宋"/>
          <w:b/>
          <w:bCs w:val="0"/>
          <w:sz w:val="24"/>
          <w:szCs w:val="24"/>
          <w:lang w:val="en-US" w:eastAsia="zh-CN"/>
        </w:rPr>
        <w:t>未</w:t>
      </w:r>
      <w:r>
        <w:rPr>
          <w:rFonts w:hint="eastAsia" w:ascii="宋体" w:hAnsi="宋体" w:cs="仿宋"/>
          <w:b/>
          <w:bCs w:val="0"/>
          <w:sz w:val="24"/>
          <w:szCs w:val="24"/>
          <w:lang w:val="en-GB"/>
        </w:rPr>
        <w:t>解密</w:t>
      </w:r>
      <w:r>
        <w:rPr>
          <w:rFonts w:hint="eastAsia" w:ascii="宋体" w:hAnsi="宋体" w:cs="仿宋"/>
          <w:b/>
          <w:bCs w:val="0"/>
          <w:sz w:val="24"/>
          <w:szCs w:val="24"/>
        </w:rPr>
        <w:t>响应</w:t>
      </w:r>
      <w:r>
        <w:rPr>
          <w:rFonts w:hint="eastAsia" w:ascii="宋体" w:hAnsi="宋体" w:cs="仿宋"/>
          <w:b/>
          <w:bCs w:val="0"/>
          <w:sz w:val="24"/>
          <w:szCs w:val="24"/>
          <w:lang w:val="en-GB"/>
        </w:rPr>
        <w:t>文件的，视为无效响应。</w:t>
      </w:r>
    </w:p>
    <w:p>
      <w:pPr>
        <w:spacing w:line="440" w:lineRule="exact"/>
        <w:ind w:left="510" w:hanging="510"/>
        <w:rPr>
          <w:rFonts w:ascii="宋体" w:hAnsi="宋体" w:cs="宋体"/>
          <w:sz w:val="24"/>
          <w:szCs w:val="24"/>
        </w:rPr>
      </w:pPr>
      <w:r>
        <w:rPr>
          <w:rFonts w:hint="eastAsia" w:ascii="宋体" w:hAnsi="宋体" w:cs="宋体"/>
          <w:sz w:val="24"/>
          <w:szCs w:val="24"/>
          <w:lang w:val="en-GB"/>
        </w:rPr>
        <w:t>24.</w:t>
      </w:r>
      <w:r>
        <w:rPr>
          <w:rFonts w:hint="eastAsia" w:ascii="宋体" w:hAnsi="宋体" w:cs="宋体"/>
          <w:sz w:val="24"/>
          <w:szCs w:val="24"/>
        </w:rPr>
        <w:t>4</w:t>
      </w:r>
      <w:r>
        <w:rPr>
          <w:rFonts w:hint="eastAsia" w:ascii="宋体" w:hAnsi="宋体" w:cs="宋体"/>
          <w:b/>
          <w:sz w:val="24"/>
          <w:szCs w:val="24"/>
          <w:lang w:val="en-GB"/>
        </w:rPr>
        <w:t>谈判小组对各供应商的谈判响应文件进行初审，并确定谈判内容。</w:t>
      </w:r>
      <w:r>
        <w:rPr>
          <w:rFonts w:hint="eastAsia" w:ascii="宋体" w:hAnsi="宋体" w:cs="宋体"/>
          <w:sz w:val="24"/>
          <w:szCs w:val="24"/>
        </w:rPr>
        <w:t>谈判响应文件的初审分为</w:t>
      </w:r>
    </w:p>
    <w:p>
      <w:pPr>
        <w:spacing w:line="460" w:lineRule="exact"/>
        <w:ind w:left="480" w:hanging="480" w:hangingChars="200"/>
        <w:rPr>
          <w:rFonts w:ascii="宋体" w:hAnsi="宋体" w:cs="宋体"/>
          <w:sz w:val="24"/>
          <w:szCs w:val="24"/>
        </w:rPr>
      </w:pPr>
      <w:r>
        <w:rPr>
          <w:rFonts w:hint="eastAsia" w:ascii="宋体" w:hAnsi="宋体" w:cs="宋体"/>
          <w:sz w:val="24"/>
          <w:szCs w:val="24"/>
          <w:lang w:val="en-GB"/>
        </w:rPr>
        <w:t>（1）资格性检查。依据法律法规和谈判</w:t>
      </w:r>
      <w:r>
        <w:rPr>
          <w:rFonts w:hint="eastAsia" w:ascii="宋体" w:hAnsi="宋体" w:cs="宋体"/>
          <w:sz w:val="24"/>
          <w:szCs w:val="24"/>
        </w:rPr>
        <w:t>文件“第四章 响应文件格式”的规定，对响应文件中的资格证明文件进行审查，以确定供应商是否具备参加谈判资格。</w:t>
      </w:r>
    </w:p>
    <w:p>
      <w:pPr>
        <w:spacing w:line="460" w:lineRule="exact"/>
        <w:ind w:left="480" w:hanging="480" w:hangingChars="200"/>
        <w:rPr>
          <w:rFonts w:ascii="宋体" w:hAnsi="宋体" w:cs="宋体"/>
          <w:sz w:val="24"/>
          <w:szCs w:val="24"/>
        </w:rPr>
      </w:pPr>
      <w:r>
        <w:rPr>
          <w:rFonts w:hint="eastAsia" w:ascii="宋体" w:hAnsi="宋体" w:cs="仿宋"/>
          <w:bCs/>
          <w:sz w:val="24"/>
          <w:szCs w:val="24"/>
          <w:lang w:val="en-GB"/>
        </w:rPr>
        <w:t>（2）</w:t>
      </w:r>
      <w:r>
        <w:rPr>
          <w:rFonts w:hint="eastAsia" w:ascii="宋体" w:hAnsi="宋体" w:cs="宋体"/>
          <w:sz w:val="24"/>
          <w:szCs w:val="24"/>
          <w:lang w:val="en-GB"/>
        </w:rPr>
        <w:t>谈判期间</w:t>
      </w:r>
      <w:r>
        <w:rPr>
          <w:rFonts w:hint="eastAsia" w:ascii="宋体" w:hAnsi="宋体" w:cs="宋体"/>
          <w:sz w:val="24"/>
          <w:szCs w:val="24"/>
        </w:rPr>
        <w:t>供应商通过“信用中国”网站和中国政府采购网查询相关主体信用记录，被列入失信被执行人、重大税收违法失信主体、政府采购严重违法失信行为记录名单的供应商（处</w:t>
      </w:r>
    </w:p>
    <w:p>
      <w:pPr>
        <w:spacing w:line="460" w:lineRule="exact"/>
        <w:ind w:left="480" w:hanging="480" w:hangingChars="200"/>
        <w:rPr>
          <w:rFonts w:ascii="宋体" w:hAnsi="宋体" w:cs="仿宋"/>
          <w:bCs/>
          <w:sz w:val="24"/>
          <w:szCs w:val="24"/>
          <w:lang w:val="en-GB"/>
        </w:rPr>
      </w:pPr>
      <w:r>
        <w:rPr>
          <w:rFonts w:hint="eastAsia" w:ascii="宋体" w:hAnsi="宋体" w:cs="宋体"/>
          <w:sz w:val="24"/>
          <w:szCs w:val="24"/>
        </w:rPr>
        <w:t>罚期限尚未届满的），不得参与本项目的政府采购活动。</w:t>
      </w:r>
      <w:r>
        <w:rPr>
          <w:rFonts w:hint="eastAsia" w:ascii="宋体" w:hAnsi="宋体" w:cs="宋体"/>
          <w:sz w:val="24"/>
          <w:szCs w:val="24"/>
          <w:lang w:val="en-GB"/>
        </w:rPr>
        <w:t>其响应无效。</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（3）符合性检查。依据谈判文件的规定，从响应文件的有效性、完整性和对谈判文件的响应程度进行审查，以确定是否对谈判文件的实质性要求做出响应。</w:t>
      </w:r>
    </w:p>
    <w:p>
      <w:pPr>
        <w:spacing w:line="460" w:lineRule="exact"/>
        <w:ind w:left="482" w:hanging="482" w:hangingChars="200"/>
        <w:rPr>
          <w:rFonts w:ascii="宋体" w:hAnsi="宋体" w:cs="宋体"/>
          <w:b/>
          <w:sz w:val="24"/>
          <w:szCs w:val="24"/>
          <w:lang w:val="en-GB"/>
        </w:rPr>
      </w:pPr>
      <w:r>
        <w:rPr>
          <w:rFonts w:hint="eastAsia" w:ascii="宋体" w:hAnsi="宋体" w:cs="宋体"/>
          <w:b/>
          <w:sz w:val="24"/>
          <w:szCs w:val="24"/>
          <w:lang w:val="en-GB"/>
        </w:rPr>
        <w:t>24.</w:t>
      </w:r>
      <w:r>
        <w:rPr>
          <w:rFonts w:hint="eastAsia" w:ascii="宋体" w:hAnsi="宋体" w:cs="宋体"/>
          <w:b/>
          <w:sz w:val="24"/>
          <w:szCs w:val="24"/>
        </w:rPr>
        <w:t>5</w:t>
      </w:r>
      <w:r>
        <w:rPr>
          <w:rFonts w:hint="eastAsia" w:ascii="宋体" w:hAnsi="宋体" w:cs="宋体"/>
          <w:b/>
          <w:sz w:val="24"/>
          <w:szCs w:val="24"/>
          <w:lang w:val="en-GB"/>
        </w:rPr>
        <w:t>初审出现下列情况者，响应文件被视为无效</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未提交谈判响应书；</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未提交报价表；</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未提供谈判保证金或金额不足，谈判保证金形式不符合谈判文件要求的；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未按谈判文件“第四章 响应文件格式9”的规定提供资格、资信证明文件的；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未按谈判文件要求签字、签章的，或签字（签章）人无法定代表人有效委托的；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谈判文件规定为国产产品，提供进口产品参加谈判的。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谈判有效期响应不足的；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技术文件技术规格中的响应与事实不符或虚假响应的；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超过了采购项目预算或最高限价的；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谈判文件规定的其他响应无效条款。</w:t>
      </w:r>
    </w:p>
    <w:p>
      <w:pPr>
        <w:spacing w:line="460" w:lineRule="exact"/>
        <w:ind w:left="567" w:hanging="567"/>
        <w:rPr>
          <w:rFonts w:ascii="宋体" w:hAnsi="宋体" w:cs="宋体"/>
          <w:sz w:val="24"/>
          <w:szCs w:val="24"/>
        </w:rPr>
      </w:pPr>
      <w:r>
        <w:rPr>
          <w:rFonts w:hint="eastAsia" w:ascii="宋体" w:hAnsi="宋体" w:cs="宋体"/>
          <w:sz w:val="24"/>
          <w:szCs w:val="24"/>
        </w:rPr>
        <w:t xml:space="preserve">24.6谈判 </w:t>
      </w:r>
    </w:p>
    <w:p>
      <w:pPr>
        <w:spacing w:line="460" w:lineRule="exact"/>
        <w:ind w:left="563" w:leftChars="268"/>
        <w:rPr>
          <w:rFonts w:ascii="宋体" w:hAnsi="宋体" w:cs="宋体"/>
          <w:sz w:val="24"/>
          <w:szCs w:val="24"/>
          <w:lang w:val="en-GB"/>
        </w:rPr>
      </w:pPr>
      <w:r>
        <w:rPr>
          <w:rFonts w:hint="eastAsia" w:ascii="宋体" w:hAnsi="宋体" w:cs="宋体"/>
          <w:sz w:val="24"/>
          <w:szCs w:val="24"/>
          <w:lang w:val="en-GB"/>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pPr>
        <w:spacing w:line="460" w:lineRule="exact"/>
        <w:ind w:left="567" w:hanging="567"/>
        <w:rPr>
          <w:rFonts w:ascii="宋体" w:hAnsi="宋体" w:cs="宋体"/>
          <w:sz w:val="24"/>
          <w:szCs w:val="24"/>
        </w:rPr>
      </w:pPr>
      <w:r>
        <w:rPr>
          <w:rFonts w:hint="eastAsia" w:ascii="宋体" w:hAnsi="宋体" w:cs="宋体"/>
          <w:sz w:val="24"/>
          <w:szCs w:val="24"/>
        </w:rPr>
        <w:t>24.7谈判文件修正</w:t>
      </w:r>
    </w:p>
    <w:p>
      <w:pPr>
        <w:spacing w:line="460" w:lineRule="exact"/>
        <w:ind w:left="540" w:hanging="540" w:hangingChars="225"/>
        <w:rPr>
          <w:rFonts w:ascii="宋体" w:hAnsi="宋体" w:cs="宋体"/>
          <w:sz w:val="24"/>
          <w:szCs w:val="24"/>
        </w:rPr>
      </w:pPr>
      <w:r>
        <w:rPr>
          <w:rFonts w:hint="eastAsia" w:ascii="宋体" w:hAnsi="宋体" w:cs="宋体"/>
          <w:sz w:val="24"/>
          <w:szCs w:val="24"/>
        </w:rPr>
        <w:t>（1）在谈判过程中，谈判小组可以根据谈判文件和谈判情况实质性变动采购需求中的技术、服务要求以及合同草案条款，但不得变动谈判文件中的其他内容。实质性变动的内容，须经采购人代表确认。</w:t>
      </w:r>
    </w:p>
    <w:p>
      <w:pPr>
        <w:spacing w:line="460" w:lineRule="exact"/>
        <w:ind w:left="540" w:hanging="540" w:hangingChars="225"/>
        <w:rPr>
          <w:rFonts w:ascii="宋体" w:hAnsi="宋体" w:cs="宋体"/>
          <w:sz w:val="24"/>
          <w:szCs w:val="24"/>
        </w:rPr>
      </w:pPr>
      <w:r>
        <w:rPr>
          <w:rFonts w:hint="eastAsia" w:ascii="宋体" w:hAnsi="宋体" w:cs="宋体"/>
          <w:sz w:val="24"/>
          <w:szCs w:val="24"/>
        </w:rPr>
        <w:t>（2）对谈判文件做出的实质性变动是谈判文件的有效组成部分，谈判小组应当及时以书面形式同时通知所有参加谈判的供应商。</w:t>
      </w:r>
    </w:p>
    <w:p>
      <w:pPr>
        <w:spacing w:line="460" w:lineRule="exact"/>
        <w:ind w:left="540" w:hanging="540" w:hangingChars="225"/>
        <w:rPr>
          <w:rFonts w:ascii="宋体" w:hAnsi="宋体" w:cs="宋体"/>
          <w:sz w:val="24"/>
          <w:szCs w:val="24"/>
        </w:rPr>
      </w:pPr>
      <w:r>
        <w:rPr>
          <w:rFonts w:hint="eastAsia" w:ascii="宋体" w:hAnsi="宋体" w:cs="宋体"/>
          <w:sz w:val="24"/>
          <w:szCs w:val="24"/>
        </w:rPr>
        <w:t>（3）供应商按照谈判文件的变动情况和谈判小组的要求重新提交响应文件，并由其法定代表人或授权代表签字或者加盖公章。</w:t>
      </w:r>
    </w:p>
    <w:p>
      <w:pPr>
        <w:spacing w:line="460" w:lineRule="exact"/>
        <w:ind w:left="505" w:leftChars="12" w:hanging="480" w:hangingChars="200"/>
        <w:rPr>
          <w:rFonts w:ascii="宋体" w:hAnsi="宋体" w:cs="宋体"/>
          <w:sz w:val="24"/>
          <w:szCs w:val="24"/>
        </w:rPr>
      </w:pPr>
      <w:r>
        <w:rPr>
          <w:rFonts w:hint="eastAsia" w:ascii="宋体" w:hAnsi="宋体" w:cs="宋体"/>
          <w:sz w:val="24"/>
          <w:szCs w:val="24"/>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pPr>
        <w:spacing w:line="460" w:lineRule="exact"/>
        <w:ind w:left="567" w:hanging="567"/>
        <w:rPr>
          <w:rFonts w:ascii="宋体" w:hAnsi="宋体" w:cs="宋体"/>
          <w:sz w:val="24"/>
          <w:szCs w:val="24"/>
        </w:rPr>
      </w:pPr>
      <w:r>
        <w:rPr>
          <w:rFonts w:hint="eastAsia" w:ascii="宋体" w:hAnsi="宋体" w:cs="宋体"/>
          <w:sz w:val="24"/>
          <w:szCs w:val="24"/>
        </w:rPr>
        <w:t>24.8 最后报价</w:t>
      </w:r>
    </w:p>
    <w:p>
      <w:pPr>
        <w:spacing w:line="460" w:lineRule="exact"/>
        <w:ind w:left="480" w:hanging="480" w:hangingChars="200"/>
        <w:rPr>
          <w:rFonts w:ascii="宋体" w:hAnsi="宋体" w:cs="宋体"/>
          <w:sz w:val="24"/>
          <w:szCs w:val="24"/>
        </w:rPr>
      </w:pPr>
      <w:r>
        <w:rPr>
          <w:rFonts w:hint="eastAsia" w:ascii="宋体" w:hAnsi="宋体" w:cs="宋体"/>
          <w:sz w:val="24"/>
          <w:szCs w:val="24"/>
        </w:rPr>
        <w:t>（1）谈判结束后，谈判小组要求所有继续参加谈判的供应商在规定时间内提交最后报价，提交最后报价的供应商不得少于3家。</w:t>
      </w:r>
    </w:p>
    <w:p>
      <w:pPr>
        <w:spacing w:line="460" w:lineRule="exact"/>
        <w:rPr>
          <w:rFonts w:ascii="宋体" w:hAnsi="宋体" w:cs="宋体"/>
          <w:sz w:val="24"/>
          <w:szCs w:val="24"/>
        </w:rPr>
      </w:pPr>
      <w:r>
        <w:rPr>
          <w:rFonts w:hint="eastAsia" w:ascii="宋体" w:hAnsi="宋体" w:cs="宋体"/>
          <w:sz w:val="24"/>
          <w:szCs w:val="24"/>
        </w:rPr>
        <w:t>（2）</w:t>
      </w:r>
      <w:r>
        <w:rPr>
          <w:rFonts w:hint="eastAsia" w:ascii="宋体" w:hAnsi="宋体" w:cs="宋体"/>
          <w:kern w:val="0"/>
          <w:szCs w:val="21"/>
        </w:rPr>
        <w:t>最</w:t>
      </w:r>
      <w:r>
        <w:rPr>
          <w:rFonts w:hint="eastAsia" w:ascii="宋体" w:hAnsi="宋体" w:cs="宋体"/>
          <w:sz w:val="24"/>
          <w:szCs w:val="24"/>
        </w:rPr>
        <w:t>后报价是供应商响应文件的有效组成部分。</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（3）最后报价如未作分项报价的，其分项报价则按总报价的降价比例计算。</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（4）若没有对谈判文件服务要求、商务作实质性修改或对服务要求、商务作了实质性修改，但没有提高采购要求，最后报价(含分项报价)不得高于上一轮报价；否则，</w:t>
      </w:r>
      <w:r>
        <w:rPr>
          <w:rFonts w:hint="eastAsia" w:ascii="宋体" w:hAnsi="宋体" w:cs="宋体"/>
          <w:b/>
          <w:sz w:val="24"/>
          <w:szCs w:val="24"/>
          <w:lang w:val="en-GB"/>
        </w:rPr>
        <w:t>视为无效响应。</w:t>
      </w:r>
    </w:p>
    <w:p>
      <w:pPr>
        <w:spacing w:line="440" w:lineRule="atLeast"/>
        <w:ind w:left="480" w:hanging="480" w:hangingChars="200"/>
        <w:rPr>
          <w:rFonts w:ascii="宋体" w:hAnsi="宋体" w:cs="宋体"/>
          <w:sz w:val="24"/>
          <w:szCs w:val="24"/>
        </w:rPr>
      </w:pPr>
      <w:r>
        <w:rPr>
          <w:rFonts w:hint="eastAsia" w:ascii="宋体" w:hAnsi="宋体" w:cs="宋体"/>
          <w:sz w:val="24"/>
          <w:szCs w:val="24"/>
        </w:rPr>
        <w:t>（5）未在规定时间内提交最后报价或最后报价不符合谈判文件要求的；</w:t>
      </w:r>
      <w:r>
        <w:rPr>
          <w:rFonts w:hint="eastAsia" w:ascii="宋体" w:hAnsi="宋体" w:cs="宋体"/>
          <w:b/>
          <w:sz w:val="24"/>
          <w:szCs w:val="24"/>
        </w:rPr>
        <w:t>视为无效响应</w:t>
      </w:r>
      <w:r>
        <w:rPr>
          <w:rFonts w:hint="eastAsia" w:ascii="宋体" w:hAnsi="宋体" w:cs="宋体"/>
          <w:sz w:val="24"/>
          <w:szCs w:val="24"/>
        </w:rPr>
        <w:t>。</w:t>
      </w:r>
    </w:p>
    <w:p>
      <w:pPr>
        <w:spacing w:line="460" w:lineRule="exact"/>
        <w:ind w:left="480" w:leftChars="57" w:hanging="360" w:hangingChars="150"/>
        <w:rPr>
          <w:rFonts w:ascii="宋体" w:hAnsi="宋体" w:cs="宋体"/>
          <w:sz w:val="24"/>
          <w:szCs w:val="24"/>
        </w:rPr>
      </w:pPr>
      <w:r>
        <w:rPr>
          <w:rFonts w:hint="eastAsia" w:ascii="宋体" w:hAnsi="宋体" w:cs="宋体"/>
          <w:sz w:val="24"/>
          <w:szCs w:val="24"/>
        </w:rPr>
        <w:t>(6)已提交响应文件的供应商，在提交最后报价之前，可以根据谈判情况退出谈判。采购人、采购代理机构应当退还退出谈判的供应商的保证金。</w:t>
      </w:r>
    </w:p>
    <w:p>
      <w:pPr>
        <w:spacing w:line="460" w:lineRule="exact"/>
        <w:ind w:left="480" w:leftChars="57" w:hanging="360" w:hangingChars="150"/>
        <w:rPr>
          <w:rFonts w:ascii="宋体" w:hAnsi="宋体" w:cs="宋体"/>
          <w:sz w:val="24"/>
          <w:szCs w:val="24"/>
        </w:rPr>
      </w:pPr>
      <w:r>
        <w:rPr>
          <w:rFonts w:hint="eastAsia" w:ascii="宋体" w:hAnsi="宋体" w:cs="宋体"/>
          <w:color w:val="000000"/>
          <w:sz w:val="24"/>
          <w:szCs w:val="24"/>
        </w:rPr>
        <w:t>24.9</w:t>
      </w:r>
      <w:r>
        <w:rPr>
          <w:rFonts w:hint="eastAsia" w:ascii="宋体" w:hAnsi="宋体" w:cs="仿宋"/>
          <w:b/>
          <w:bCs/>
          <w:sz w:val="24"/>
          <w:szCs w:val="24"/>
        </w:rPr>
        <w:t>本项目采用电子化谈判模式，各供应商需</w:t>
      </w:r>
      <w:r>
        <w:rPr>
          <w:rFonts w:hint="eastAsia" w:ascii="宋体" w:hAnsi="宋体" w:cs="仿宋"/>
          <w:b/>
          <w:bCs/>
          <w:sz w:val="24"/>
          <w:szCs w:val="24"/>
          <w:lang w:val="en-US" w:eastAsia="zh-CN"/>
        </w:rPr>
        <w:t>在系统进行</w:t>
      </w:r>
      <w:r>
        <w:rPr>
          <w:rFonts w:hint="eastAsia" w:ascii="宋体" w:hAnsi="宋体" w:cs="仿宋"/>
          <w:b/>
          <w:bCs/>
          <w:sz w:val="24"/>
          <w:szCs w:val="24"/>
        </w:rPr>
        <w:t>报价，二次报价时间为20分钟，20分钟内未完成二次报价的，视为退出谈判。</w:t>
      </w:r>
    </w:p>
    <w:p>
      <w:pPr>
        <w:spacing w:line="460" w:lineRule="exact"/>
        <w:rPr>
          <w:rFonts w:ascii="宋体" w:hAnsi="宋体" w:cs="宋体"/>
          <w:b/>
          <w:sz w:val="24"/>
          <w:szCs w:val="24"/>
        </w:rPr>
      </w:pPr>
      <w:r>
        <w:rPr>
          <w:rFonts w:hint="eastAsia" w:ascii="宋体" w:hAnsi="宋体" w:cs="宋体"/>
          <w:b/>
          <w:sz w:val="24"/>
          <w:szCs w:val="24"/>
        </w:rPr>
        <w:t>25. 与谈判小组的接触</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25.1 除按本须知“第24条”规定外，从谈判之日起至授予合同期间，供应商不得就其谈判有关事项与谈判小组私下接触。</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25.2 供应商试图对谈判小组的评审施加任何影响，都可能导致其响应文件作无效处理。</w:t>
      </w:r>
    </w:p>
    <w:p>
      <w:pPr>
        <w:spacing w:line="460" w:lineRule="exact"/>
        <w:rPr>
          <w:rFonts w:ascii="宋体" w:hAnsi="宋体" w:cs="宋体"/>
          <w:b/>
          <w:sz w:val="24"/>
          <w:szCs w:val="24"/>
        </w:rPr>
      </w:pPr>
      <w:bookmarkStart w:id="56" w:name="_Toc376848253"/>
      <w:r>
        <w:rPr>
          <w:rFonts w:hint="eastAsia" w:ascii="宋体" w:hAnsi="宋体" w:cs="宋体"/>
          <w:b/>
          <w:sz w:val="24"/>
          <w:szCs w:val="24"/>
        </w:rPr>
        <w:t>26.终止谈判采购活动的情形</w:t>
      </w:r>
    </w:p>
    <w:p>
      <w:pPr>
        <w:spacing w:line="460" w:lineRule="exact"/>
        <w:ind w:firstLine="360" w:firstLineChars="150"/>
        <w:rPr>
          <w:rFonts w:ascii="宋体" w:hAnsi="宋体" w:cs="宋体"/>
          <w:sz w:val="24"/>
          <w:szCs w:val="24"/>
          <w:lang w:val="en-GB"/>
        </w:rPr>
      </w:pPr>
      <w:r>
        <w:rPr>
          <w:rFonts w:hint="eastAsia" w:ascii="宋体" w:hAnsi="宋体" w:cs="宋体"/>
          <w:sz w:val="24"/>
          <w:szCs w:val="24"/>
          <w:lang w:val="en-GB"/>
        </w:rPr>
        <w:t>出现下列情形之一的，终止谈判采购活动</w:t>
      </w:r>
    </w:p>
    <w:p>
      <w:pPr>
        <w:spacing w:line="460" w:lineRule="exact"/>
        <w:ind w:firstLine="540" w:firstLineChars="225"/>
        <w:rPr>
          <w:rFonts w:ascii="宋体" w:hAnsi="宋体" w:cs="宋体"/>
          <w:sz w:val="24"/>
          <w:szCs w:val="24"/>
        </w:rPr>
      </w:pPr>
      <w:r>
        <w:rPr>
          <w:rFonts w:hint="eastAsia" w:ascii="宋体" w:hAnsi="宋体" w:cs="宋体"/>
          <w:sz w:val="24"/>
          <w:szCs w:val="24"/>
        </w:rPr>
        <w:t>（1）因情况变化，不再符合规定的谈判采购方式适用情形的；</w:t>
      </w:r>
    </w:p>
    <w:p>
      <w:pPr>
        <w:spacing w:line="460" w:lineRule="exact"/>
        <w:ind w:firstLine="540" w:firstLineChars="225"/>
        <w:rPr>
          <w:rFonts w:ascii="宋体" w:hAnsi="宋体" w:cs="宋体"/>
          <w:sz w:val="24"/>
          <w:szCs w:val="24"/>
        </w:rPr>
      </w:pPr>
      <w:r>
        <w:rPr>
          <w:rFonts w:hint="eastAsia" w:ascii="宋体" w:hAnsi="宋体" w:cs="宋体"/>
          <w:sz w:val="24"/>
          <w:szCs w:val="24"/>
        </w:rPr>
        <w:t>（2）出现影响采购公正的违法、违规行为的。</w:t>
      </w:r>
    </w:p>
    <w:p>
      <w:pPr>
        <w:spacing w:line="460" w:lineRule="exact"/>
        <w:ind w:left="1140" w:leftChars="257" w:hanging="600" w:hangingChars="250"/>
        <w:rPr>
          <w:rFonts w:ascii="宋体" w:hAnsi="宋体" w:cs="宋体"/>
          <w:sz w:val="24"/>
          <w:szCs w:val="24"/>
        </w:rPr>
      </w:pPr>
      <w:r>
        <w:rPr>
          <w:rFonts w:hint="eastAsia" w:ascii="宋体" w:hAnsi="宋体" w:cs="宋体"/>
          <w:sz w:val="24"/>
          <w:szCs w:val="24"/>
        </w:rPr>
        <w:t>（3）在采购过程中符合竞争要求的供应商或者报价未超过采购预算的供应商不足3家的。</w:t>
      </w:r>
      <w:bookmarkStart w:id="57" w:name="_Toc377297026"/>
    </w:p>
    <w:p>
      <w:pPr>
        <w:pStyle w:val="4"/>
        <w:spacing w:before="0" w:after="0" w:line="460" w:lineRule="exact"/>
        <w:ind w:firstLine="2389" w:firstLineChars="850"/>
        <w:jc w:val="left"/>
        <w:rPr>
          <w:rFonts w:ascii="宋体" w:hAnsi="宋体" w:eastAsia="宋体" w:cs="宋体"/>
          <w:sz w:val="28"/>
          <w:szCs w:val="28"/>
        </w:rPr>
      </w:pPr>
      <w:bookmarkStart w:id="58" w:name="_Toc501638128"/>
      <w:r>
        <w:rPr>
          <w:rFonts w:hint="eastAsia" w:ascii="宋体" w:hAnsi="宋体" w:eastAsia="宋体" w:cs="宋体"/>
          <w:sz w:val="28"/>
          <w:szCs w:val="28"/>
        </w:rPr>
        <w:t>七、推荐成交候选供应商、确定成交供应商</w:t>
      </w:r>
      <w:bookmarkEnd w:id="57"/>
      <w:bookmarkEnd w:id="58"/>
    </w:p>
    <w:p>
      <w:pPr>
        <w:spacing w:line="440" w:lineRule="exact"/>
        <w:rPr>
          <w:rFonts w:ascii="宋体" w:hAnsi="宋体" w:cs="宋体"/>
          <w:b/>
          <w:bCs/>
          <w:sz w:val="24"/>
          <w:szCs w:val="24"/>
        </w:rPr>
      </w:pPr>
      <w:r>
        <w:rPr>
          <w:rFonts w:hint="eastAsia" w:ascii="宋体" w:hAnsi="宋体" w:cs="宋体"/>
          <w:b/>
          <w:bCs/>
          <w:sz w:val="24"/>
          <w:szCs w:val="24"/>
        </w:rPr>
        <w:t>27.推荐成交候选供应商方法</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27.1谈判小组从质量和服务均能满足谈判文件实质性响应要求的供应商中，按照最后报价由低到高的顺序提出3名以上成交候选人，并编写评审报告。</w:t>
      </w:r>
    </w:p>
    <w:p>
      <w:pPr>
        <w:spacing w:line="440" w:lineRule="exact"/>
        <w:ind w:left="480" w:hanging="480" w:hangingChars="200"/>
        <w:rPr>
          <w:rFonts w:ascii="宋体" w:hAnsi="宋体" w:cs="宋体"/>
          <w:sz w:val="24"/>
          <w:szCs w:val="24"/>
          <w:lang w:val="en-GB"/>
        </w:rPr>
      </w:pPr>
      <w:r>
        <w:rPr>
          <w:rFonts w:hint="eastAsia" w:ascii="宋体" w:hAnsi="宋体" w:cs="宋体"/>
          <w:sz w:val="24"/>
          <w:szCs w:val="24"/>
          <w:lang w:val="en-GB"/>
        </w:rPr>
        <w:t>27.2享受落实政府采购政策的供应商，最后报价用按规定比例扣除后的价格参与评审。</w:t>
      </w:r>
    </w:p>
    <w:p>
      <w:pPr>
        <w:spacing w:line="440" w:lineRule="exact"/>
        <w:ind w:left="600" w:hanging="600" w:hangingChars="250"/>
        <w:rPr>
          <w:rFonts w:ascii="宋体" w:hAnsi="宋体" w:cs="宋体"/>
          <w:sz w:val="24"/>
          <w:szCs w:val="24"/>
        </w:rPr>
      </w:pPr>
      <w:r>
        <w:rPr>
          <w:rFonts w:hint="eastAsia" w:ascii="宋体" w:hAnsi="宋体" w:cs="宋体"/>
          <w:sz w:val="24"/>
          <w:szCs w:val="24"/>
        </w:rPr>
        <w:t>27.3提供相同品牌产品的不同供应商参加本项目谈判的，以其中通过资格性审查、符合性审查且最后报价最低的参加评审。报价相同的，由谈判小组随机抽取一个参加评审的供应商，</w:t>
      </w:r>
      <w:r>
        <w:rPr>
          <w:rFonts w:hint="eastAsia" w:ascii="宋体" w:hAnsi="宋体" w:cs="宋体"/>
          <w:b/>
          <w:sz w:val="24"/>
          <w:szCs w:val="24"/>
        </w:rPr>
        <w:t>其他响应文件无效</w:t>
      </w:r>
      <w:r>
        <w:rPr>
          <w:rFonts w:hint="eastAsia" w:ascii="宋体" w:hAnsi="宋体" w:cs="宋体"/>
          <w:sz w:val="24"/>
          <w:szCs w:val="24"/>
        </w:rPr>
        <w:t>。</w:t>
      </w:r>
    </w:p>
    <w:p>
      <w:pPr>
        <w:spacing w:line="440" w:lineRule="exact"/>
        <w:ind w:left="481" w:leftChars="229"/>
        <w:rPr>
          <w:rFonts w:ascii="宋体" w:hAnsi="宋体" w:cs="宋体"/>
          <w:sz w:val="24"/>
          <w:szCs w:val="24"/>
          <w:lang w:val="en-GB"/>
        </w:rPr>
      </w:pPr>
      <w:r>
        <w:rPr>
          <w:rFonts w:hint="eastAsia" w:ascii="宋体" w:hAnsi="宋体" w:cs="宋体"/>
          <w:sz w:val="24"/>
          <w:szCs w:val="24"/>
        </w:rPr>
        <w:t>非单一产品采购项目中，多家供应商提供的核心产品为相同品牌产品的，视为提供相同品牌产品，核心产品详见“供应商须知前附表”。</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27.4最终报价相同的，按节能产品、环境标志产品金额占报价比例（简称“比例”）由高到低顺序排列；最终报价及比例相同的，由谈判小组随机抽取确定排序。</w:t>
      </w:r>
    </w:p>
    <w:p>
      <w:pPr>
        <w:spacing w:line="440" w:lineRule="exact"/>
        <w:rPr>
          <w:rFonts w:ascii="宋体" w:hAnsi="宋体" w:cs="宋体"/>
          <w:b/>
          <w:bCs/>
          <w:sz w:val="24"/>
          <w:szCs w:val="24"/>
        </w:rPr>
      </w:pPr>
      <w:r>
        <w:rPr>
          <w:rFonts w:hint="eastAsia" w:ascii="宋体" w:hAnsi="宋体" w:cs="宋体"/>
          <w:b/>
          <w:bCs/>
          <w:sz w:val="24"/>
          <w:szCs w:val="24"/>
        </w:rPr>
        <w:t>28.确定成交供应商</w:t>
      </w:r>
    </w:p>
    <w:p>
      <w:pPr>
        <w:spacing w:line="440" w:lineRule="exact"/>
        <w:rPr>
          <w:rFonts w:ascii="宋体" w:hAnsi="宋体" w:cs="宋体"/>
          <w:bCs/>
          <w:sz w:val="24"/>
          <w:szCs w:val="24"/>
        </w:rPr>
      </w:pPr>
      <w:r>
        <w:rPr>
          <w:rFonts w:hint="eastAsia" w:ascii="宋体" w:hAnsi="宋体" w:cs="宋体"/>
          <w:bCs/>
          <w:sz w:val="24"/>
          <w:szCs w:val="24"/>
        </w:rPr>
        <w:t>28.1</w:t>
      </w:r>
      <w:r>
        <w:rPr>
          <w:rFonts w:hint="eastAsia" w:ascii="宋体" w:hAnsi="宋体" w:cs="宋体"/>
          <w:sz w:val="24"/>
          <w:szCs w:val="24"/>
        </w:rPr>
        <w:t>详见“供应商须知前附表”。</w:t>
      </w:r>
    </w:p>
    <w:bookmarkEnd w:id="56"/>
    <w:p>
      <w:pPr>
        <w:pStyle w:val="4"/>
        <w:spacing w:before="0" w:after="0" w:line="460" w:lineRule="exact"/>
        <w:ind w:firstLine="3238" w:firstLineChars="1152"/>
        <w:jc w:val="left"/>
        <w:rPr>
          <w:rFonts w:ascii="宋体" w:hAnsi="宋体" w:eastAsia="宋体" w:cs="宋体"/>
          <w:sz w:val="28"/>
          <w:szCs w:val="28"/>
        </w:rPr>
      </w:pPr>
      <w:bookmarkStart w:id="59" w:name="_Toc376848254"/>
      <w:bookmarkStart w:id="60" w:name="_Toc501638129"/>
      <w:bookmarkStart w:id="61" w:name="_Toc286758340"/>
      <w:r>
        <w:rPr>
          <w:rFonts w:hint="eastAsia" w:ascii="宋体" w:hAnsi="宋体" w:eastAsia="宋体" w:cs="宋体"/>
          <w:sz w:val="28"/>
          <w:szCs w:val="28"/>
        </w:rPr>
        <w:t>八、成交结果公告</w:t>
      </w:r>
      <w:bookmarkEnd w:id="59"/>
      <w:r>
        <w:rPr>
          <w:rFonts w:hint="eastAsia" w:ascii="宋体" w:hAnsi="宋体" w:eastAsia="宋体" w:cs="宋体"/>
          <w:sz w:val="28"/>
          <w:szCs w:val="28"/>
        </w:rPr>
        <w:t>、成交通知书</w:t>
      </w:r>
      <w:bookmarkEnd w:id="60"/>
    </w:p>
    <w:p>
      <w:pPr>
        <w:spacing w:line="440" w:lineRule="exact"/>
        <w:rPr>
          <w:rFonts w:ascii="宋体" w:hAnsi="宋体" w:cs="宋体"/>
          <w:b/>
          <w:bCs/>
          <w:sz w:val="24"/>
          <w:szCs w:val="24"/>
        </w:rPr>
      </w:pPr>
      <w:r>
        <w:rPr>
          <w:rFonts w:hint="eastAsia" w:ascii="宋体" w:hAnsi="宋体" w:cs="宋体"/>
          <w:b/>
          <w:bCs/>
          <w:sz w:val="24"/>
          <w:szCs w:val="24"/>
        </w:rPr>
        <w:t xml:space="preserve">29. </w:t>
      </w:r>
      <w:bookmarkEnd w:id="61"/>
      <w:r>
        <w:rPr>
          <w:rFonts w:hint="eastAsia" w:ascii="宋体" w:hAnsi="宋体" w:cs="宋体"/>
          <w:b/>
          <w:bCs/>
          <w:sz w:val="24"/>
          <w:szCs w:val="24"/>
        </w:rPr>
        <w:t>成交结果公告</w:t>
      </w:r>
    </w:p>
    <w:p>
      <w:pPr>
        <w:spacing w:line="440" w:lineRule="exact"/>
        <w:ind w:left="479" w:leftChars="228"/>
        <w:rPr>
          <w:rFonts w:ascii="宋体" w:hAnsi="宋体" w:cs="宋体"/>
          <w:sz w:val="24"/>
          <w:szCs w:val="24"/>
        </w:rPr>
      </w:pPr>
      <w:r>
        <w:rPr>
          <w:rFonts w:hint="eastAsia" w:ascii="宋体" w:hAnsi="宋体" w:cs="宋体"/>
          <w:sz w:val="24"/>
          <w:szCs w:val="24"/>
        </w:rPr>
        <w:t>成交供应商确定后，采购代理机构在</w:t>
      </w:r>
      <w:r>
        <w:rPr>
          <w:rFonts w:hint="eastAsia" w:ascii="宋体" w:hAnsi="宋体" w:cs="宋体"/>
          <w:bCs/>
          <w:sz w:val="24"/>
          <w:szCs w:val="24"/>
        </w:rPr>
        <w:t>江西省公共资源交易网（网址：</w:t>
      </w:r>
      <w:r>
        <w:rPr>
          <w:rFonts w:hint="eastAsia"/>
        </w:rPr>
        <w:fldChar w:fldCharType="begin"/>
      </w:r>
      <w:r>
        <w:instrText xml:space="preserve"> HYPERLINK "http://ggzy"</w:instrText>
      </w:r>
      <w:r>
        <w:rPr>
          <w:rFonts w:hint="eastAsia"/>
        </w:rPr>
        <w:fldChar w:fldCharType="separate"/>
      </w:r>
      <w:r>
        <w:rPr>
          <w:rStyle w:val="31"/>
          <w:rFonts w:hint="eastAsia" w:ascii="宋体" w:hAnsi="宋体" w:cs="宋体"/>
          <w:bCs/>
          <w:color w:val="auto"/>
          <w:sz w:val="24"/>
          <w:szCs w:val="24"/>
        </w:rPr>
        <w:t>http://ggzy</w:t>
      </w:r>
      <w:r>
        <w:rPr>
          <w:rStyle w:val="31"/>
          <w:rFonts w:hint="eastAsia" w:ascii="宋体" w:hAnsi="宋体" w:cs="宋体"/>
          <w:bCs/>
          <w:color w:val="auto"/>
          <w:sz w:val="24"/>
          <w:szCs w:val="24"/>
        </w:rPr>
        <w:fldChar w:fldCharType="end"/>
      </w:r>
      <w:r>
        <w:rPr>
          <w:rFonts w:hint="eastAsia" w:ascii="宋体" w:hAnsi="宋体" w:cs="宋体"/>
          <w:bCs/>
          <w:sz w:val="24"/>
          <w:szCs w:val="24"/>
        </w:rPr>
        <w:t>.jiangxi.gov.cn/jxzbw/）和江西省政府采购网（网址：</w:t>
      </w:r>
      <w:r>
        <w:rPr>
          <w:rFonts w:hint="eastAsia"/>
        </w:rPr>
        <w:fldChar w:fldCharType="begin"/>
      </w:r>
      <w:r>
        <w:instrText xml:space="preserve"> HYPERLINK "http://ggzy.jiangxi.gov.cn/jxzbw/"</w:instrText>
      </w:r>
      <w:r>
        <w:rPr>
          <w:rFonts w:hint="eastAsia"/>
        </w:rPr>
        <w:fldChar w:fldCharType="separate"/>
      </w:r>
      <w:r>
        <w:rPr>
          <w:rStyle w:val="31"/>
          <w:rFonts w:hint="eastAsia" w:ascii="宋体" w:hAnsi="宋体" w:cs="宋体"/>
          <w:bCs/>
          <w:color w:val="auto"/>
          <w:sz w:val="24"/>
        </w:rPr>
        <w:t>http://ggzy.jiangxi.gov.cn/jxzbw/</w:t>
      </w:r>
      <w:r>
        <w:rPr>
          <w:rStyle w:val="31"/>
          <w:rFonts w:hint="eastAsia" w:ascii="宋体" w:hAnsi="宋体" w:cs="宋体"/>
          <w:bCs/>
          <w:color w:val="auto"/>
          <w:sz w:val="24"/>
        </w:rPr>
        <w:fldChar w:fldCharType="end"/>
      </w:r>
      <w:r>
        <w:rPr>
          <w:rFonts w:hint="eastAsia" w:ascii="宋体" w:hAnsi="宋体" w:cs="宋体"/>
          <w:bCs/>
          <w:sz w:val="24"/>
        </w:rPr>
        <w:t>zfcg/</w:t>
      </w:r>
      <w:r>
        <w:rPr>
          <w:rFonts w:hint="eastAsia" w:ascii="宋体" w:hAnsi="宋体" w:cs="宋体"/>
          <w:bCs/>
          <w:sz w:val="24"/>
          <w:szCs w:val="24"/>
        </w:rPr>
        <w:t>）上公告</w:t>
      </w:r>
      <w:r>
        <w:rPr>
          <w:rFonts w:hint="eastAsia" w:ascii="宋体" w:hAnsi="宋体" w:cs="宋体"/>
          <w:sz w:val="24"/>
          <w:szCs w:val="24"/>
        </w:rPr>
        <w:t>成交结果，公告期限为1个工作日。</w:t>
      </w:r>
    </w:p>
    <w:p>
      <w:pPr>
        <w:spacing w:line="440" w:lineRule="exact"/>
        <w:rPr>
          <w:rFonts w:ascii="宋体" w:hAnsi="宋体" w:cs="宋体"/>
          <w:b/>
          <w:bCs/>
          <w:sz w:val="24"/>
          <w:szCs w:val="24"/>
        </w:rPr>
      </w:pPr>
      <w:r>
        <w:rPr>
          <w:rFonts w:hint="eastAsia" w:ascii="宋体" w:hAnsi="宋体" w:cs="宋体"/>
          <w:b/>
          <w:bCs/>
          <w:sz w:val="24"/>
          <w:szCs w:val="24"/>
        </w:rPr>
        <w:t>30.成交通知书</w:t>
      </w:r>
    </w:p>
    <w:p>
      <w:pPr>
        <w:spacing w:line="440" w:lineRule="exact"/>
        <w:ind w:left="480" w:hanging="480" w:hangingChars="200"/>
        <w:rPr>
          <w:rFonts w:ascii="宋体" w:hAnsi="宋体" w:cs="宋体"/>
          <w:sz w:val="24"/>
          <w:szCs w:val="24"/>
        </w:rPr>
      </w:pPr>
      <w:r>
        <w:rPr>
          <w:rFonts w:hint="eastAsia" w:ascii="宋体" w:hAnsi="宋体" w:cs="宋体"/>
          <w:sz w:val="24"/>
          <w:szCs w:val="24"/>
        </w:rPr>
        <w:t>30.1采购代理机构公告成交结果，向成交供应商发出成交通知书，并通知所有未成交的供应商。</w:t>
      </w:r>
    </w:p>
    <w:p>
      <w:pPr>
        <w:spacing w:line="440" w:lineRule="exact"/>
        <w:rPr>
          <w:rFonts w:ascii="宋体" w:hAnsi="宋体" w:cs="宋体"/>
          <w:sz w:val="24"/>
          <w:szCs w:val="24"/>
        </w:rPr>
      </w:pPr>
      <w:r>
        <w:rPr>
          <w:rFonts w:hint="eastAsia" w:ascii="宋体" w:hAnsi="宋体" w:cs="宋体"/>
          <w:sz w:val="24"/>
          <w:szCs w:val="24"/>
        </w:rPr>
        <w:t>30.2成交通知书是合同的一个组成部分。</w:t>
      </w:r>
    </w:p>
    <w:p>
      <w:pPr>
        <w:pStyle w:val="4"/>
        <w:spacing w:before="0" w:after="0" w:line="460" w:lineRule="exact"/>
        <w:ind w:firstLine="3238" w:firstLineChars="1152"/>
        <w:jc w:val="left"/>
        <w:rPr>
          <w:rFonts w:ascii="宋体" w:hAnsi="宋体" w:eastAsia="宋体" w:cs="宋体"/>
          <w:sz w:val="28"/>
          <w:szCs w:val="28"/>
        </w:rPr>
      </w:pPr>
      <w:bookmarkStart w:id="62" w:name="_Toc501638130"/>
      <w:r>
        <w:rPr>
          <w:rFonts w:hint="eastAsia" w:ascii="宋体" w:hAnsi="宋体" w:eastAsia="宋体" w:cs="宋体"/>
          <w:sz w:val="28"/>
          <w:szCs w:val="28"/>
        </w:rPr>
        <w:t>九、履约保证金、签订合同</w:t>
      </w:r>
      <w:bookmarkEnd w:id="62"/>
    </w:p>
    <w:p>
      <w:pPr>
        <w:spacing w:line="440" w:lineRule="exact"/>
        <w:ind w:left="357" w:hanging="357"/>
        <w:jc w:val="left"/>
        <w:rPr>
          <w:rFonts w:ascii="宋体" w:hAnsi="宋体" w:cs="宋体"/>
          <w:b/>
          <w:bCs/>
          <w:sz w:val="24"/>
          <w:szCs w:val="24"/>
        </w:rPr>
      </w:pPr>
      <w:r>
        <w:rPr>
          <w:rFonts w:hint="eastAsia" w:ascii="宋体" w:hAnsi="宋体" w:cs="宋体"/>
          <w:b/>
          <w:bCs/>
          <w:sz w:val="24"/>
          <w:szCs w:val="24"/>
        </w:rPr>
        <w:t>31. 履约保证金</w:t>
      </w:r>
    </w:p>
    <w:p>
      <w:pPr>
        <w:spacing w:line="440" w:lineRule="exact"/>
        <w:ind w:left="567" w:hanging="567"/>
        <w:rPr>
          <w:rFonts w:ascii="宋体" w:hAnsi="宋体" w:cs="宋体"/>
          <w:sz w:val="24"/>
          <w:szCs w:val="24"/>
        </w:rPr>
      </w:pPr>
      <w:r>
        <w:rPr>
          <w:rFonts w:hint="eastAsia" w:ascii="宋体" w:hAnsi="宋体" w:cs="宋体"/>
          <w:spacing w:val="-12"/>
          <w:sz w:val="24"/>
          <w:szCs w:val="24"/>
        </w:rPr>
        <w:t>31.1</w:t>
      </w:r>
      <w:r>
        <w:rPr>
          <w:rFonts w:hint="eastAsia" w:ascii="宋体" w:hAnsi="宋体" w:cs="宋体"/>
          <w:sz w:val="24"/>
          <w:szCs w:val="24"/>
        </w:rPr>
        <w:t>成交供应商</w:t>
      </w:r>
      <w:r>
        <w:rPr>
          <w:rFonts w:hint="eastAsia" w:ascii="宋体" w:hAnsi="宋体" w:cs="仿宋"/>
          <w:sz w:val="24"/>
          <w:szCs w:val="24"/>
        </w:rPr>
        <w:t>在与采购人签订采购合同时</w:t>
      </w:r>
      <w:r>
        <w:rPr>
          <w:rFonts w:hint="eastAsia" w:ascii="宋体" w:hAnsi="宋体" w:cs="宋体"/>
          <w:sz w:val="24"/>
          <w:szCs w:val="24"/>
        </w:rPr>
        <w:t>，应</w:t>
      </w:r>
      <w:r>
        <w:rPr>
          <w:rFonts w:hint="eastAsia" w:ascii="宋体" w:hAnsi="宋体" w:cs="宋体"/>
          <w:spacing w:val="-12"/>
          <w:sz w:val="24"/>
          <w:szCs w:val="24"/>
        </w:rPr>
        <w:t>向采购人提交“供应商须知前附表”规定的履约保证金。</w:t>
      </w:r>
      <w:r>
        <w:rPr>
          <w:rFonts w:hint="eastAsia" w:ascii="宋体" w:hAnsi="宋体" w:cs="宋体"/>
          <w:sz w:val="24"/>
          <w:szCs w:val="24"/>
        </w:rPr>
        <w:t>履约保证金按采购人的要求汇入采购人指定账户。</w:t>
      </w:r>
    </w:p>
    <w:p>
      <w:pPr>
        <w:spacing w:line="440" w:lineRule="exact"/>
        <w:ind w:left="567" w:hanging="567"/>
        <w:rPr>
          <w:rFonts w:ascii="宋体" w:hAnsi="宋体" w:cs="宋体"/>
          <w:sz w:val="24"/>
          <w:szCs w:val="24"/>
        </w:rPr>
      </w:pPr>
      <w:r>
        <w:rPr>
          <w:rFonts w:hint="eastAsia" w:ascii="宋体" w:hAnsi="宋体" w:cs="宋体"/>
          <w:sz w:val="24"/>
          <w:szCs w:val="24"/>
        </w:rPr>
        <w:t>31.2 履约保证金用于补偿因成交供应商不能完成其合同义务而使采购人蒙受的损失。</w:t>
      </w:r>
    </w:p>
    <w:p>
      <w:pPr>
        <w:spacing w:line="420" w:lineRule="exact"/>
        <w:rPr>
          <w:rFonts w:ascii="宋体" w:hAnsi="宋体" w:cs="宋体"/>
          <w:b/>
          <w:bCs/>
          <w:sz w:val="24"/>
          <w:szCs w:val="24"/>
        </w:rPr>
      </w:pPr>
      <w:r>
        <w:rPr>
          <w:rFonts w:hint="eastAsia" w:ascii="宋体" w:hAnsi="宋体" w:cs="宋体"/>
          <w:b/>
          <w:bCs/>
          <w:sz w:val="24"/>
          <w:szCs w:val="24"/>
        </w:rPr>
        <w:t>32. 签订合同</w:t>
      </w:r>
    </w:p>
    <w:p>
      <w:pPr>
        <w:spacing w:line="420" w:lineRule="exact"/>
        <w:ind w:left="567" w:hanging="567"/>
        <w:rPr>
          <w:rFonts w:ascii="宋体" w:hAnsi="宋体" w:cs="宋体"/>
          <w:sz w:val="24"/>
          <w:szCs w:val="24"/>
        </w:rPr>
      </w:pPr>
      <w:r>
        <w:rPr>
          <w:rFonts w:hint="eastAsia" w:ascii="宋体" w:hAnsi="宋体" w:cs="宋体"/>
          <w:sz w:val="24"/>
          <w:szCs w:val="24"/>
        </w:rPr>
        <w:t>32.1 成交供应商应按成交通知书规定的时间、地点与采购人签订合同，否则按拒绝签订合同处理。</w:t>
      </w:r>
    </w:p>
    <w:p>
      <w:pPr>
        <w:spacing w:line="420" w:lineRule="exact"/>
        <w:ind w:left="567" w:hanging="567"/>
        <w:rPr>
          <w:rFonts w:ascii="宋体" w:hAnsi="宋体" w:cs="宋体"/>
          <w:sz w:val="24"/>
          <w:szCs w:val="24"/>
        </w:rPr>
      </w:pPr>
      <w:r>
        <w:rPr>
          <w:rFonts w:hint="eastAsia" w:ascii="宋体" w:hAnsi="宋体" w:cs="宋体"/>
          <w:sz w:val="24"/>
          <w:szCs w:val="24"/>
        </w:rPr>
        <w:t>32.2 谈判文件、成交供应商的响应文件及评审过程中有关澄清文件均为签订合同的依据。</w:t>
      </w:r>
    </w:p>
    <w:p>
      <w:pPr>
        <w:spacing w:line="420" w:lineRule="exact"/>
        <w:ind w:left="567" w:hanging="567"/>
        <w:rPr>
          <w:rFonts w:ascii="宋体" w:hAnsi="宋体" w:cs="宋体"/>
          <w:sz w:val="24"/>
          <w:szCs w:val="24"/>
        </w:rPr>
      </w:pPr>
      <w:r>
        <w:rPr>
          <w:rFonts w:hint="eastAsia" w:ascii="宋体" w:hAnsi="宋体" w:cs="宋体"/>
          <w:sz w:val="24"/>
          <w:szCs w:val="24"/>
        </w:rPr>
        <w:t>32.3合同履行中，采购人需追加与合同标的相同的货物的，在不改变合同其他条款的前提下，可以与供应商协商签订补充合同，但所有补充合同的采购金额不得超过原合同采购金额的百分之十。</w:t>
      </w:r>
    </w:p>
    <w:p>
      <w:pPr>
        <w:spacing w:line="460" w:lineRule="exact"/>
        <w:ind w:left="480" w:hanging="480" w:hangingChars="200"/>
        <w:rPr>
          <w:rFonts w:ascii="宋体" w:hAnsi="宋体" w:cs="宋体"/>
          <w:sz w:val="24"/>
          <w:szCs w:val="24"/>
        </w:rPr>
      </w:pPr>
      <w:r>
        <w:rPr>
          <w:rFonts w:hint="eastAsia" w:ascii="宋体" w:hAnsi="宋体" w:cs="宋体"/>
          <w:sz w:val="24"/>
          <w:szCs w:val="24"/>
        </w:rPr>
        <w:t>32.4成交供应商拒绝签订政府采购合同的，采购人可以按本须知“第28条”规定的原则确定下一个候选人为成交供应商，也可以重新开展政府采购活动。拒绝签订政府采购合同的成交供应商不得参加该项目重新开展的采购活动，并不予退还其交纳的谈判保证金，同时上报省财政监管部门依法处理。</w:t>
      </w:r>
    </w:p>
    <w:p>
      <w:pPr>
        <w:pStyle w:val="4"/>
        <w:spacing w:before="0" w:after="0" w:line="420" w:lineRule="exact"/>
        <w:jc w:val="center"/>
        <w:rPr>
          <w:rFonts w:ascii="宋体" w:hAnsi="宋体" w:eastAsia="宋体" w:cs="宋体"/>
          <w:sz w:val="28"/>
          <w:szCs w:val="28"/>
        </w:rPr>
      </w:pPr>
      <w:bookmarkStart w:id="63" w:name="_Toc501638131"/>
      <w:r>
        <w:rPr>
          <w:rFonts w:hint="eastAsia" w:ascii="宋体" w:hAnsi="宋体" w:eastAsia="宋体" w:cs="宋体"/>
          <w:sz w:val="28"/>
          <w:szCs w:val="28"/>
        </w:rPr>
        <w:t>十、询问和质疑</w:t>
      </w:r>
      <w:bookmarkEnd w:id="63"/>
    </w:p>
    <w:p>
      <w:pPr>
        <w:spacing w:line="460" w:lineRule="exact"/>
        <w:rPr>
          <w:rFonts w:ascii="宋体" w:hAnsi="宋体" w:cs="宋体"/>
          <w:b/>
          <w:bCs/>
          <w:sz w:val="24"/>
          <w:szCs w:val="24"/>
        </w:rPr>
      </w:pPr>
      <w:r>
        <w:rPr>
          <w:rFonts w:hint="eastAsia" w:ascii="宋体" w:hAnsi="宋体" w:cs="宋体"/>
          <w:b/>
          <w:sz w:val="24"/>
          <w:szCs w:val="24"/>
        </w:rPr>
        <w:t>33.</w:t>
      </w:r>
      <w:r>
        <w:rPr>
          <w:rFonts w:hint="eastAsia" w:ascii="宋体" w:hAnsi="宋体" w:cs="宋体"/>
          <w:b/>
          <w:bCs/>
          <w:sz w:val="24"/>
          <w:szCs w:val="24"/>
        </w:rPr>
        <w:t>询问</w:t>
      </w:r>
    </w:p>
    <w:p>
      <w:pPr>
        <w:spacing w:line="460" w:lineRule="exact"/>
        <w:ind w:left="454" w:leftChars="216"/>
        <w:rPr>
          <w:rFonts w:ascii="宋体" w:hAnsi="宋体" w:cs="宋体"/>
          <w:sz w:val="24"/>
          <w:szCs w:val="24"/>
          <w:bdr w:val="single" w:color="auto" w:sz="4" w:space="0"/>
        </w:rPr>
      </w:pPr>
      <w:r>
        <w:rPr>
          <w:rFonts w:hint="eastAsia" w:ascii="宋体" w:hAnsi="宋体" w:cs="宋体"/>
          <w:bCs/>
          <w:sz w:val="24"/>
          <w:szCs w:val="24"/>
        </w:rPr>
        <w:t>供应商对政府采购活动事项有疑问的，可以向采购人或者采购代理机构提出询问，</w:t>
      </w:r>
      <w:r>
        <w:rPr>
          <w:rFonts w:hint="eastAsia" w:ascii="宋体" w:hAnsi="宋体" w:cs="宋体"/>
          <w:sz w:val="24"/>
          <w:szCs w:val="24"/>
        </w:rPr>
        <w:t xml:space="preserve">采购代理机构应当在3个工作日内对供应商依法提出的询问作出答复。 </w:t>
      </w:r>
    </w:p>
    <w:p>
      <w:pPr>
        <w:spacing w:line="440" w:lineRule="exact"/>
        <w:rPr>
          <w:rFonts w:ascii="宋体" w:hAnsi="宋体" w:cs="宋体"/>
          <w:b/>
          <w:bCs/>
          <w:sz w:val="24"/>
          <w:szCs w:val="24"/>
        </w:rPr>
      </w:pPr>
      <w:r>
        <w:rPr>
          <w:rFonts w:hint="eastAsia" w:ascii="宋体" w:hAnsi="宋体" w:cs="宋体"/>
          <w:b/>
          <w:bCs/>
          <w:sz w:val="24"/>
          <w:szCs w:val="24"/>
        </w:rPr>
        <w:t>34.质疑</w:t>
      </w:r>
    </w:p>
    <w:p>
      <w:pPr>
        <w:spacing w:line="360" w:lineRule="auto"/>
        <w:rPr>
          <w:rFonts w:ascii="宋体" w:hAnsi="宋体" w:cs="宋体"/>
          <w:bCs/>
          <w:sz w:val="24"/>
          <w:szCs w:val="24"/>
        </w:rPr>
      </w:pPr>
      <w:r>
        <w:rPr>
          <w:rFonts w:hint="eastAsia" w:ascii="宋体" w:hAnsi="宋体" w:cs="宋体"/>
          <w:bCs/>
          <w:sz w:val="24"/>
          <w:szCs w:val="24"/>
        </w:rPr>
        <w:t>34.1 供应商认为谈判文件、谈判过程、成交结果使自己的权益受到损害的，可以在知道或者应知其权益受到损害之日起7个工作日内，以书面形式向采购人、采购代理机构提出质疑。</w:t>
      </w:r>
    </w:p>
    <w:p>
      <w:pPr>
        <w:spacing w:line="360" w:lineRule="auto"/>
        <w:ind w:left="147" w:leftChars="70"/>
        <w:rPr>
          <w:rFonts w:ascii="宋体" w:hAnsi="宋体" w:cs="宋体"/>
          <w:bCs/>
          <w:sz w:val="24"/>
          <w:szCs w:val="24"/>
        </w:rPr>
      </w:pPr>
      <w:r>
        <w:rPr>
          <w:rFonts w:hint="eastAsia" w:ascii="宋体" w:hAnsi="宋体" w:cs="宋体"/>
          <w:bCs/>
          <w:sz w:val="24"/>
          <w:szCs w:val="24"/>
        </w:rPr>
        <w:t>1）对可以质疑的谈判文件提出质疑的，为收到谈判文件之日或者谈判文件公告期限届满之日起7个工作日内；</w:t>
      </w:r>
    </w:p>
    <w:p>
      <w:pPr>
        <w:spacing w:line="360" w:lineRule="auto"/>
        <w:ind w:firstLine="120" w:firstLineChars="50"/>
        <w:rPr>
          <w:rFonts w:ascii="宋体" w:hAnsi="宋体" w:cs="宋体"/>
          <w:bCs/>
          <w:sz w:val="24"/>
          <w:szCs w:val="24"/>
        </w:rPr>
      </w:pPr>
      <w:r>
        <w:rPr>
          <w:rFonts w:hint="eastAsia" w:ascii="宋体" w:hAnsi="宋体" w:cs="宋体"/>
          <w:bCs/>
          <w:sz w:val="24"/>
          <w:szCs w:val="24"/>
        </w:rPr>
        <w:t>2）对谈判过程提出质疑的，为各谈判程序环节结束之日起7个工作日内；</w:t>
      </w:r>
    </w:p>
    <w:p>
      <w:pPr>
        <w:spacing w:line="360" w:lineRule="auto"/>
        <w:ind w:firstLine="120" w:firstLineChars="50"/>
        <w:rPr>
          <w:rFonts w:ascii="宋体" w:hAnsi="宋体" w:cs="宋体"/>
          <w:bCs/>
          <w:sz w:val="24"/>
          <w:szCs w:val="24"/>
        </w:rPr>
      </w:pPr>
      <w:r>
        <w:rPr>
          <w:rFonts w:hint="eastAsia" w:ascii="宋体" w:hAnsi="宋体" w:cs="宋体"/>
          <w:bCs/>
          <w:sz w:val="24"/>
          <w:szCs w:val="24"/>
        </w:rPr>
        <w:t>3）对成交结果提出质疑的，为成交结果公告期限届满之日起7个工作日内。</w:t>
      </w:r>
    </w:p>
    <w:p>
      <w:pPr>
        <w:spacing w:line="360" w:lineRule="auto"/>
        <w:rPr>
          <w:rFonts w:ascii="宋体" w:hAnsi="宋体" w:cs="宋体"/>
          <w:bCs/>
          <w:sz w:val="24"/>
          <w:szCs w:val="24"/>
        </w:rPr>
      </w:pPr>
      <w:r>
        <w:rPr>
          <w:rFonts w:hint="eastAsia" w:ascii="宋体" w:hAnsi="宋体" w:cs="宋体"/>
          <w:bCs/>
          <w:sz w:val="24"/>
          <w:szCs w:val="24"/>
        </w:rPr>
        <w:t>34.2 供应商应在法定质疑期内一次性提出针对同一采购程序环节的质疑。</w:t>
      </w:r>
    </w:p>
    <w:p>
      <w:pPr>
        <w:spacing w:line="360" w:lineRule="auto"/>
        <w:rPr>
          <w:rFonts w:ascii="宋体" w:hAnsi="宋体" w:cs="宋体"/>
          <w:bCs/>
          <w:sz w:val="24"/>
          <w:szCs w:val="24"/>
        </w:rPr>
      </w:pPr>
      <w:r>
        <w:rPr>
          <w:rFonts w:hint="eastAsia" w:ascii="宋体" w:hAnsi="宋体" w:cs="宋体"/>
          <w:bCs/>
          <w:sz w:val="24"/>
          <w:szCs w:val="24"/>
        </w:rPr>
        <w:t>34.3 提出质疑的供应商应当是参与所质疑项目采购活动的供应商。</w:t>
      </w:r>
    </w:p>
    <w:p>
      <w:pPr>
        <w:spacing w:line="360" w:lineRule="auto"/>
        <w:ind w:left="600" w:hanging="600" w:hangingChars="250"/>
        <w:rPr>
          <w:rFonts w:ascii="宋体" w:hAnsi="宋体" w:cs="宋体"/>
          <w:bCs/>
          <w:sz w:val="24"/>
          <w:szCs w:val="24"/>
        </w:rPr>
      </w:pPr>
      <w:r>
        <w:rPr>
          <w:rFonts w:hint="eastAsia" w:ascii="宋体" w:hAnsi="宋体" w:cs="宋体"/>
          <w:bCs/>
          <w:sz w:val="24"/>
          <w:szCs w:val="24"/>
        </w:rPr>
        <w:t>34.4潜在供应商已依法获取其可质疑的谈判文件的，可以对该文件提出质疑。</w:t>
      </w:r>
    </w:p>
    <w:p>
      <w:pPr>
        <w:spacing w:line="360" w:lineRule="auto"/>
        <w:rPr>
          <w:rFonts w:ascii="宋体" w:hAnsi="宋体" w:cs="宋体"/>
          <w:bCs/>
          <w:sz w:val="24"/>
          <w:szCs w:val="24"/>
        </w:rPr>
      </w:pPr>
      <w:r>
        <w:rPr>
          <w:rFonts w:hint="eastAsia" w:ascii="宋体" w:hAnsi="宋体" w:cs="宋体"/>
          <w:bCs/>
          <w:sz w:val="24"/>
          <w:szCs w:val="24"/>
        </w:rPr>
        <w:t>34.5供应商提出质疑应当提交质疑函和必要的证明材料。质疑函应当包括下列内容（格式参照中国政府采购网 </w:t>
      </w:r>
      <w:r>
        <w:rPr>
          <w:rFonts w:hint="eastAsia"/>
        </w:rPr>
        <w:fldChar w:fldCharType="begin"/>
      </w:r>
      <w:r>
        <w:instrText xml:space="preserve"> HYPERLINK "http://www.ccgp.gov.cn/"</w:instrText>
      </w:r>
      <w:r>
        <w:rPr>
          <w:rFonts w:hint="eastAsia"/>
        </w:rPr>
        <w:fldChar w:fldCharType="separate"/>
      </w:r>
      <w:r>
        <w:rPr>
          <w:rFonts w:hint="eastAsia" w:ascii="宋体" w:hAnsi="宋体" w:cs="宋体"/>
          <w:sz w:val="24"/>
          <w:szCs w:val="24"/>
        </w:rPr>
        <w:t>http://www.ccgp.gov.cn/</w:t>
      </w:r>
      <w:r>
        <w:rPr>
          <w:rFonts w:hint="eastAsia" w:ascii="宋体" w:hAnsi="宋体" w:cs="宋体"/>
          <w:sz w:val="24"/>
          <w:szCs w:val="24"/>
        </w:rPr>
        <w:fldChar w:fldCharType="end"/>
      </w:r>
      <w:r>
        <w:rPr>
          <w:rFonts w:hint="eastAsia" w:ascii="宋体" w:hAnsi="宋体" w:cs="宋体"/>
          <w:sz w:val="24"/>
          <w:szCs w:val="24"/>
        </w:rPr>
        <w:t>下载专区的</w:t>
      </w:r>
      <w:r>
        <w:rPr>
          <w:rFonts w:hint="eastAsia" w:ascii="宋体" w:hAnsi="宋体" w:cs="宋体"/>
          <w:bCs/>
          <w:sz w:val="24"/>
          <w:szCs w:val="24"/>
        </w:rPr>
        <w:t>《政府采购供应商质疑函范本》）。</w:t>
      </w:r>
    </w:p>
    <w:p>
      <w:pPr>
        <w:widowControl/>
        <w:spacing w:line="360" w:lineRule="auto"/>
        <w:jc w:val="left"/>
        <w:rPr>
          <w:rFonts w:ascii="宋体" w:hAnsi="宋体" w:cs="宋体"/>
          <w:bCs/>
          <w:sz w:val="24"/>
          <w:szCs w:val="24"/>
        </w:rPr>
      </w:pPr>
      <w:r>
        <w:rPr>
          <w:rFonts w:hint="eastAsia" w:ascii="宋体" w:hAnsi="宋体" w:cs="宋体"/>
          <w:bCs/>
          <w:sz w:val="24"/>
          <w:szCs w:val="24"/>
        </w:rPr>
        <w:t>　　（一）供应商的姓名或者名称、地址、邮编、联系人及联系电话；</w:t>
      </w:r>
    </w:p>
    <w:p>
      <w:pPr>
        <w:widowControl/>
        <w:spacing w:line="360" w:lineRule="auto"/>
        <w:jc w:val="left"/>
        <w:rPr>
          <w:rFonts w:ascii="宋体" w:hAnsi="宋体" w:cs="宋体"/>
          <w:bCs/>
          <w:sz w:val="24"/>
          <w:szCs w:val="24"/>
        </w:rPr>
      </w:pPr>
      <w:r>
        <w:rPr>
          <w:rFonts w:hint="eastAsia" w:ascii="宋体" w:hAnsi="宋体" w:cs="宋体"/>
          <w:bCs/>
          <w:sz w:val="24"/>
          <w:szCs w:val="24"/>
        </w:rPr>
        <w:t>　　（二）质疑项目的名称、编号；</w:t>
      </w:r>
    </w:p>
    <w:p>
      <w:pPr>
        <w:widowControl/>
        <w:spacing w:line="360" w:lineRule="auto"/>
        <w:jc w:val="left"/>
        <w:rPr>
          <w:rFonts w:ascii="宋体" w:hAnsi="宋体" w:cs="宋体"/>
          <w:bCs/>
          <w:sz w:val="24"/>
          <w:szCs w:val="24"/>
        </w:rPr>
      </w:pPr>
      <w:r>
        <w:rPr>
          <w:rFonts w:hint="eastAsia" w:ascii="宋体" w:hAnsi="宋体" w:cs="宋体"/>
          <w:bCs/>
          <w:sz w:val="24"/>
          <w:szCs w:val="24"/>
        </w:rPr>
        <w:t>　　（三）具体、明确的质疑事项和与质疑事项相关的请求；</w:t>
      </w:r>
    </w:p>
    <w:p>
      <w:pPr>
        <w:widowControl/>
        <w:spacing w:line="360" w:lineRule="auto"/>
        <w:jc w:val="left"/>
        <w:rPr>
          <w:rFonts w:ascii="宋体" w:hAnsi="宋体" w:cs="宋体"/>
          <w:bCs/>
          <w:sz w:val="24"/>
          <w:szCs w:val="24"/>
        </w:rPr>
      </w:pPr>
      <w:r>
        <w:rPr>
          <w:rFonts w:hint="eastAsia" w:ascii="宋体" w:hAnsi="宋体" w:cs="宋体"/>
          <w:bCs/>
          <w:sz w:val="24"/>
          <w:szCs w:val="24"/>
        </w:rPr>
        <w:t>　　（四）事实依据；</w:t>
      </w:r>
    </w:p>
    <w:p>
      <w:pPr>
        <w:widowControl/>
        <w:spacing w:line="360" w:lineRule="auto"/>
        <w:jc w:val="left"/>
        <w:rPr>
          <w:rFonts w:ascii="宋体" w:hAnsi="宋体" w:cs="宋体"/>
          <w:bCs/>
          <w:sz w:val="24"/>
          <w:szCs w:val="24"/>
        </w:rPr>
      </w:pPr>
      <w:r>
        <w:rPr>
          <w:rFonts w:hint="eastAsia" w:ascii="宋体" w:hAnsi="宋体" w:cs="宋体"/>
          <w:bCs/>
          <w:sz w:val="24"/>
          <w:szCs w:val="24"/>
        </w:rPr>
        <w:t>　　（五）必要的法律依据；</w:t>
      </w:r>
    </w:p>
    <w:p>
      <w:pPr>
        <w:widowControl/>
        <w:spacing w:line="360" w:lineRule="auto"/>
        <w:jc w:val="left"/>
        <w:rPr>
          <w:rFonts w:ascii="宋体" w:hAnsi="宋体" w:cs="宋体"/>
          <w:bCs/>
          <w:sz w:val="24"/>
          <w:szCs w:val="24"/>
        </w:rPr>
      </w:pPr>
      <w:r>
        <w:rPr>
          <w:rFonts w:hint="eastAsia" w:ascii="宋体" w:hAnsi="宋体" w:cs="宋体"/>
          <w:bCs/>
          <w:sz w:val="24"/>
          <w:szCs w:val="24"/>
        </w:rPr>
        <w:t>　　（六）提出质疑的日期。</w:t>
      </w:r>
    </w:p>
    <w:p>
      <w:pPr>
        <w:widowControl/>
        <w:spacing w:line="360" w:lineRule="auto"/>
        <w:ind w:firstLine="489"/>
        <w:jc w:val="left"/>
        <w:rPr>
          <w:rFonts w:ascii="宋体" w:hAnsi="宋体" w:cs="宋体"/>
          <w:bCs/>
          <w:sz w:val="24"/>
          <w:szCs w:val="24"/>
        </w:rPr>
      </w:pPr>
      <w:r>
        <w:rPr>
          <w:rFonts w:hint="eastAsia" w:ascii="宋体" w:hAnsi="宋体" w:cs="宋体"/>
          <w:bCs/>
          <w:sz w:val="24"/>
          <w:szCs w:val="24"/>
        </w:rPr>
        <w:t>供应商为自然人的，应当由本人签字；供应商为法人或者其他组织的，应当由法定代表人、主要负责人，或者其授权代表签字或者盖章，并加盖公章。</w:t>
      </w:r>
    </w:p>
    <w:p>
      <w:pPr>
        <w:widowControl/>
        <w:spacing w:line="360" w:lineRule="auto"/>
        <w:ind w:firstLine="489"/>
        <w:jc w:val="left"/>
        <w:rPr>
          <w:rFonts w:ascii="宋体" w:hAnsi="宋体" w:cs="宋体"/>
          <w:bCs/>
          <w:sz w:val="24"/>
          <w:szCs w:val="24"/>
        </w:rPr>
      </w:pPr>
      <w:r>
        <w:rPr>
          <w:rFonts w:hint="eastAsia" w:ascii="宋体" w:hAnsi="宋体" w:cs="宋体"/>
          <w:bCs/>
          <w:sz w:val="24"/>
          <w:szCs w:val="24"/>
        </w:rPr>
        <w:t>对谈判文件质疑的，须同时提供下载谈判文件的凭证。</w:t>
      </w:r>
    </w:p>
    <w:p>
      <w:pPr>
        <w:widowControl/>
        <w:spacing w:line="360" w:lineRule="auto"/>
        <w:jc w:val="left"/>
        <w:rPr>
          <w:rFonts w:ascii="宋体" w:hAnsi="宋体" w:cs="宋体"/>
          <w:bCs/>
          <w:sz w:val="24"/>
          <w:szCs w:val="24"/>
        </w:rPr>
      </w:pPr>
      <w:r>
        <w:rPr>
          <w:rFonts w:hint="eastAsia" w:ascii="宋体" w:hAnsi="宋体" w:cs="宋体"/>
          <w:bCs/>
          <w:sz w:val="24"/>
          <w:szCs w:val="24"/>
        </w:rPr>
        <w:t>34.6质疑函接收方式</w:t>
      </w:r>
    </w:p>
    <w:p>
      <w:pPr>
        <w:widowControl/>
        <w:spacing w:line="360" w:lineRule="auto"/>
        <w:jc w:val="left"/>
        <w:rPr>
          <w:rFonts w:ascii="宋体" w:hAnsi="宋体" w:cs="宋体"/>
          <w:bCs/>
          <w:sz w:val="24"/>
          <w:szCs w:val="24"/>
        </w:rPr>
      </w:pPr>
      <w:r>
        <w:rPr>
          <w:rFonts w:hint="eastAsia" w:ascii="宋体" w:hAnsi="宋体" w:cs="宋体"/>
          <w:bCs/>
          <w:sz w:val="24"/>
          <w:szCs w:val="24"/>
        </w:rPr>
        <w:t>34.6.1对谈判文件质疑</w:t>
      </w:r>
    </w:p>
    <w:p>
      <w:pPr>
        <w:widowControl/>
        <w:spacing w:line="360" w:lineRule="auto"/>
        <w:jc w:val="left"/>
        <w:rPr>
          <w:rFonts w:ascii="宋体" w:hAnsi="宋体" w:cs="宋体"/>
          <w:bCs/>
          <w:i/>
          <w:sz w:val="24"/>
          <w:szCs w:val="24"/>
        </w:rPr>
      </w:pPr>
      <w:r>
        <w:rPr>
          <w:rFonts w:hint="eastAsia" w:ascii="宋体" w:hAnsi="宋体" w:cs="宋体"/>
          <w:bCs/>
          <w:sz w:val="24"/>
          <w:szCs w:val="24"/>
        </w:rPr>
        <w:t xml:space="preserve">      接收部门：</w:t>
      </w:r>
      <w:r>
        <w:rPr>
          <w:rFonts w:hint="eastAsia" w:ascii="宋体" w:hAnsi="宋体" w:cs="宋体"/>
          <w:kern w:val="0"/>
          <w:sz w:val="24"/>
        </w:rPr>
        <w:t>江西省机电设备招标有限公司政府采购部</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联系电话：0791-86270385</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通讯地址：江西省南昌市东湖区省政府大院北二路92号咨询大厦310室</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邮编：330046</w:t>
      </w:r>
    </w:p>
    <w:p>
      <w:pPr>
        <w:widowControl/>
        <w:spacing w:line="360" w:lineRule="auto"/>
        <w:jc w:val="left"/>
        <w:rPr>
          <w:rFonts w:ascii="宋体" w:hAnsi="宋体" w:cs="宋体"/>
          <w:bCs/>
          <w:sz w:val="24"/>
          <w:szCs w:val="24"/>
        </w:rPr>
      </w:pPr>
      <w:r>
        <w:rPr>
          <w:rFonts w:hint="eastAsia" w:ascii="宋体" w:hAnsi="宋体" w:cs="宋体"/>
          <w:bCs/>
          <w:sz w:val="24"/>
          <w:szCs w:val="24"/>
        </w:rPr>
        <w:t>34.6.2对谈判过程、成交结果质疑</w:t>
      </w:r>
    </w:p>
    <w:p>
      <w:pPr>
        <w:widowControl/>
        <w:spacing w:line="360" w:lineRule="auto"/>
        <w:jc w:val="left"/>
        <w:rPr>
          <w:rFonts w:ascii="宋体" w:hAnsi="宋体" w:cs="宋体"/>
          <w:bCs/>
          <w:sz w:val="24"/>
          <w:szCs w:val="24"/>
        </w:rPr>
      </w:pPr>
      <w:r>
        <w:rPr>
          <w:rFonts w:hint="eastAsia" w:ascii="宋体" w:hAnsi="宋体" w:cs="宋体"/>
          <w:bCs/>
          <w:sz w:val="24"/>
          <w:szCs w:val="24"/>
        </w:rPr>
        <w:t>接收部门：</w:t>
      </w:r>
      <w:r>
        <w:rPr>
          <w:rFonts w:hint="eastAsia" w:ascii="宋体" w:hAnsi="宋体" w:cs="宋体"/>
          <w:kern w:val="0"/>
          <w:sz w:val="24"/>
        </w:rPr>
        <w:t>江西省机电设备招标有限公司</w:t>
      </w:r>
      <w:r>
        <w:rPr>
          <w:rFonts w:hint="eastAsia" w:ascii="宋体" w:hAnsi="宋体" w:cs="宋体"/>
          <w:bCs/>
          <w:sz w:val="24"/>
          <w:szCs w:val="24"/>
        </w:rPr>
        <w:t>质疑室</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联系电话：0791-86274941</w:t>
      </w:r>
    </w:p>
    <w:p>
      <w:pPr>
        <w:widowControl/>
        <w:spacing w:line="360" w:lineRule="auto"/>
        <w:jc w:val="left"/>
        <w:rPr>
          <w:rFonts w:ascii="宋体" w:hAnsi="宋体" w:cs="宋体"/>
          <w:bCs/>
          <w:i/>
          <w:sz w:val="24"/>
          <w:szCs w:val="24"/>
        </w:rPr>
      </w:pPr>
      <w:r>
        <w:rPr>
          <w:rFonts w:hint="eastAsia" w:ascii="宋体" w:hAnsi="宋体" w:cs="宋体"/>
          <w:bCs/>
          <w:sz w:val="24"/>
          <w:szCs w:val="24"/>
        </w:rPr>
        <w:t xml:space="preserve">      通讯地址：江西省南昌市东湖区省政府大院北二路92号咨询大厦402室</w:t>
      </w:r>
    </w:p>
    <w:p>
      <w:pPr>
        <w:rPr>
          <w:rFonts w:ascii="宋体" w:hAnsi="宋体" w:cs="宋体"/>
          <w:b/>
          <w:i/>
          <w:sz w:val="24"/>
          <w:szCs w:val="24"/>
        </w:rPr>
      </w:pPr>
      <w:r>
        <w:rPr>
          <w:rFonts w:hint="eastAsia" w:ascii="宋体" w:hAnsi="宋体" w:cs="宋体"/>
          <w:bCs/>
          <w:sz w:val="24"/>
          <w:szCs w:val="24"/>
        </w:rPr>
        <w:t xml:space="preserve">      邮编：330046</w:t>
      </w:r>
    </w:p>
    <w:p>
      <w:pPr>
        <w:widowControl/>
        <w:spacing w:line="360" w:lineRule="auto"/>
        <w:jc w:val="left"/>
        <w:rPr>
          <w:rFonts w:ascii="宋体" w:hAnsi="宋体" w:cs="宋体"/>
          <w:sz w:val="28"/>
          <w:szCs w:val="28"/>
        </w:rPr>
      </w:pPr>
    </w:p>
    <w:p>
      <w:pPr>
        <w:pStyle w:val="4"/>
        <w:spacing w:before="0" w:after="0" w:line="460" w:lineRule="exact"/>
        <w:jc w:val="center"/>
        <w:rPr>
          <w:rFonts w:ascii="宋体" w:hAnsi="宋体" w:eastAsia="宋体" w:cs="宋体"/>
          <w:sz w:val="28"/>
          <w:szCs w:val="28"/>
        </w:rPr>
      </w:pPr>
      <w:bookmarkStart w:id="64" w:name="_Toc45786108"/>
      <w:r>
        <w:rPr>
          <w:rFonts w:hint="eastAsia" w:ascii="宋体" w:hAnsi="宋体" w:eastAsia="宋体" w:cs="宋体"/>
          <w:sz w:val="28"/>
          <w:szCs w:val="28"/>
        </w:rPr>
        <w:t>十一、意外情况的情形和处理</w:t>
      </w:r>
      <w:bookmarkEnd w:id="64"/>
    </w:p>
    <w:p>
      <w:pPr>
        <w:pStyle w:val="4"/>
        <w:spacing w:before="0" w:after="0" w:line="500" w:lineRule="atLeast"/>
        <w:rPr>
          <w:rFonts w:ascii="宋体" w:hAnsi="宋体" w:eastAsia="宋体" w:cs="仿宋"/>
          <w:sz w:val="24"/>
          <w:szCs w:val="24"/>
        </w:rPr>
      </w:pPr>
      <w:bookmarkStart w:id="65" w:name="_Toc45786109"/>
      <w:r>
        <w:rPr>
          <w:rFonts w:hint="eastAsia" w:ascii="宋体" w:hAnsi="宋体" w:eastAsia="宋体" w:cs="仿宋"/>
          <w:sz w:val="24"/>
          <w:szCs w:val="24"/>
        </w:rPr>
        <w:t>35. 意外情况的情形</w:t>
      </w:r>
      <w:bookmarkEnd w:id="65"/>
    </w:p>
    <w:p>
      <w:pPr>
        <w:spacing w:line="360" w:lineRule="auto"/>
        <w:ind w:left="1" w:firstLine="480" w:firstLineChars="200"/>
        <w:rPr>
          <w:rFonts w:ascii="宋体" w:hAnsi="宋体" w:cs="仿宋"/>
          <w:sz w:val="24"/>
          <w:szCs w:val="24"/>
        </w:rPr>
      </w:pPr>
      <w:r>
        <w:rPr>
          <w:rFonts w:hint="eastAsia" w:ascii="宋体" w:hAnsi="宋体" w:cs="仿宋"/>
          <w:sz w:val="24"/>
          <w:szCs w:val="24"/>
        </w:rPr>
        <w:t>开标场所出现下列情形导致系统无法正常运行，或者无法保证交易过程的公平、公正和信息安全时，招标人、招标代理机构、交易中心免责：</w:t>
      </w:r>
    </w:p>
    <w:p>
      <w:pPr>
        <w:spacing w:line="360" w:lineRule="auto"/>
        <w:ind w:left="1"/>
        <w:rPr>
          <w:rFonts w:ascii="宋体" w:hAnsi="宋体" w:cs="仿宋"/>
          <w:sz w:val="24"/>
          <w:szCs w:val="24"/>
        </w:rPr>
      </w:pPr>
      <w:r>
        <w:rPr>
          <w:rFonts w:hint="eastAsia" w:ascii="宋体" w:hAnsi="宋体" w:cs="仿宋"/>
          <w:sz w:val="24"/>
          <w:szCs w:val="24"/>
        </w:rPr>
        <w:t>①所涉开标项目电子服务、交易系统服务器发生故障而无法访问网站或无法使用系统；</w:t>
      </w:r>
    </w:p>
    <w:p>
      <w:pPr>
        <w:spacing w:line="360" w:lineRule="auto"/>
        <w:ind w:left="1"/>
        <w:rPr>
          <w:rFonts w:ascii="宋体" w:hAnsi="宋体" w:cs="仿宋"/>
          <w:sz w:val="24"/>
          <w:szCs w:val="24"/>
        </w:rPr>
      </w:pPr>
      <w:r>
        <w:rPr>
          <w:rFonts w:hint="eastAsia" w:ascii="宋体" w:hAnsi="宋体" w:cs="仿宋"/>
          <w:sz w:val="24"/>
          <w:szCs w:val="24"/>
        </w:rPr>
        <w:t>②所涉开标项目电子服务、交易系统的软件或网络数据库出现错误，不能进行操作；</w:t>
      </w:r>
    </w:p>
    <w:p>
      <w:pPr>
        <w:spacing w:line="360" w:lineRule="auto"/>
        <w:ind w:left="1"/>
        <w:rPr>
          <w:rFonts w:ascii="宋体" w:hAnsi="宋体" w:cs="仿宋"/>
          <w:sz w:val="24"/>
          <w:szCs w:val="24"/>
        </w:rPr>
      </w:pPr>
      <w:r>
        <w:rPr>
          <w:rFonts w:hint="eastAsia" w:ascii="宋体" w:hAnsi="宋体" w:cs="仿宋"/>
          <w:sz w:val="24"/>
          <w:szCs w:val="24"/>
        </w:rPr>
        <w:t>③系统存在安全漏洞，有潜在的涉密危险；</w:t>
      </w:r>
    </w:p>
    <w:p>
      <w:pPr>
        <w:spacing w:line="360" w:lineRule="auto"/>
        <w:ind w:left="1"/>
        <w:rPr>
          <w:rFonts w:ascii="宋体" w:hAnsi="宋体" w:cs="仿宋"/>
          <w:sz w:val="24"/>
          <w:szCs w:val="24"/>
        </w:rPr>
      </w:pPr>
      <w:r>
        <w:rPr>
          <w:rFonts w:hint="eastAsia" w:ascii="宋体" w:hAnsi="宋体" w:cs="仿宋"/>
          <w:sz w:val="24"/>
          <w:szCs w:val="24"/>
        </w:rPr>
        <w:t>④运行服务器病毒发作导致系统无法正常运行的；</w:t>
      </w:r>
    </w:p>
    <w:p>
      <w:pPr>
        <w:spacing w:line="360" w:lineRule="auto"/>
        <w:ind w:left="1"/>
        <w:rPr>
          <w:rFonts w:ascii="宋体" w:hAnsi="宋体" w:cs="仿宋"/>
          <w:sz w:val="24"/>
          <w:szCs w:val="24"/>
        </w:rPr>
      </w:pPr>
      <w:r>
        <w:rPr>
          <w:rFonts w:hint="eastAsia" w:ascii="宋体" w:hAnsi="宋体" w:cs="仿宋"/>
          <w:sz w:val="24"/>
          <w:szCs w:val="24"/>
        </w:rPr>
        <w:t>⑤电力系统发生故障导致交易系统无法运行的；</w:t>
      </w:r>
    </w:p>
    <w:p>
      <w:pPr>
        <w:spacing w:line="360" w:lineRule="auto"/>
        <w:ind w:left="1"/>
        <w:rPr>
          <w:rFonts w:ascii="宋体" w:hAnsi="宋体" w:cs="仿宋"/>
          <w:sz w:val="24"/>
          <w:szCs w:val="24"/>
        </w:rPr>
      </w:pPr>
      <w:r>
        <w:rPr>
          <w:rFonts w:hint="eastAsia" w:ascii="宋体" w:hAnsi="宋体" w:cs="仿宋"/>
          <w:sz w:val="24"/>
          <w:szCs w:val="24"/>
        </w:rPr>
        <w:t>⑥其他不可抗力（地震、洪水等）原因导致开标活动无法正常进行的。</w:t>
      </w:r>
    </w:p>
    <w:p>
      <w:pPr>
        <w:spacing w:line="360" w:lineRule="auto"/>
        <w:ind w:firstLine="480" w:firstLineChars="200"/>
        <w:rPr>
          <w:rFonts w:ascii="宋体" w:hAnsi="宋体" w:cs="仿宋"/>
          <w:sz w:val="24"/>
          <w:szCs w:val="24"/>
        </w:rPr>
      </w:pPr>
      <w:r>
        <w:rPr>
          <w:rFonts w:hint="eastAsia" w:ascii="宋体" w:hAnsi="宋体" w:cs="仿宋"/>
          <w:sz w:val="24"/>
          <w:szCs w:val="24"/>
        </w:rPr>
        <w:t>出现上述所列情形，不能及时解决的，应由项目招标人监管部门和交易中心及时进行协商。可以采取以下办法处理：</w:t>
      </w:r>
    </w:p>
    <w:p>
      <w:pPr>
        <w:spacing w:line="360" w:lineRule="auto"/>
        <w:ind w:left="1"/>
        <w:rPr>
          <w:rFonts w:ascii="宋体" w:hAnsi="宋体" w:cs="仿宋"/>
          <w:sz w:val="24"/>
          <w:szCs w:val="24"/>
        </w:rPr>
      </w:pPr>
      <w:r>
        <w:rPr>
          <w:rFonts w:hint="eastAsia" w:ascii="宋体" w:hAnsi="宋体" w:cs="仿宋"/>
          <w:sz w:val="24"/>
          <w:szCs w:val="24"/>
        </w:rPr>
        <w:t>（一）系统或网络故障在三小时内能排除的，项目不暂停开标，三小时内系统恢复运行后继续实施开标。</w:t>
      </w:r>
    </w:p>
    <w:p>
      <w:pPr>
        <w:spacing w:line="360" w:lineRule="auto"/>
        <w:ind w:left="567" w:hanging="567"/>
        <w:rPr>
          <w:rFonts w:ascii="宋体" w:hAnsi="宋体" w:cs="宋体"/>
          <w:sz w:val="24"/>
          <w:szCs w:val="24"/>
        </w:rPr>
      </w:pPr>
      <w:r>
        <w:rPr>
          <w:rFonts w:hint="eastAsia" w:ascii="宋体" w:hAnsi="宋体" w:cs="仿宋"/>
          <w:sz w:val="24"/>
          <w:szCs w:val="24"/>
        </w:rPr>
        <w:t>（二）系统或网络故障如</w:t>
      </w:r>
      <w:r>
        <w:rPr>
          <w:rFonts w:hint="eastAsia" w:ascii="宋体" w:hAnsi="宋体" w:cs="宋体"/>
          <w:sz w:val="24"/>
          <w:szCs w:val="24"/>
        </w:rPr>
        <w:t>无法排除的，采购活动终止，重新组织采购活动。</w:t>
      </w:r>
    </w:p>
    <w:p>
      <w:pPr>
        <w:widowControl/>
        <w:spacing w:line="360" w:lineRule="auto"/>
        <w:jc w:val="center"/>
        <w:rPr>
          <w:rFonts w:ascii="宋体" w:hAnsi="宋体" w:cs="仿宋"/>
          <w:sz w:val="24"/>
          <w:szCs w:val="24"/>
        </w:rPr>
      </w:pPr>
      <w:r>
        <w:rPr>
          <w:rFonts w:hint="eastAsia" w:ascii="宋体" w:hAnsi="宋体" w:cs="仿宋"/>
          <w:sz w:val="24"/>
          <w:szCs w:val="24"/>
        </w:rPr>
        <w:t>7、投标人应仔细阅读江西省公共资源交易网（ https://www.jxsggzy.cn/web/ ）有关不见面开标的内容，如有疑问请联系新点工作人员，联系电话：400-998-0000。</w:t>
      </w:r>
    </w:p>
    <w:p>
      <w:pPr>
        <w:pStyle w:val="4"/>
        <w:spacing w:before="0" w:after="0" w:line="460" w:lineRule="exact"/>
        <w:jc w:val="center"/>
        <w:rPr>
          <w:rFonts w:ascii="宋体" w:hAnsi="宋体" w:eastAsia="宋体" w:cs="宋体"/>
          <w:sz w:val="28"/>
          <w:szCs w:val="28"/>
        </w:rPr>
      </w:pPr>
      <w:r>
        <w:rPr>
          <w:rFonts w:hint="eastAsia" w:ascii="宋体" w:hAnsi="宋体" w:eastAsia="宋体" w:cs="宋体"/>
          <w:sz w:val="28"/>
          <w:szCs w:val="28"/>
        </w:rPr>
        <w:t>十二、采购代理服务费</w:t>
      </w:r>
    </w:p>
    <w:p>
      <w:pPr>
        <w:spacing w:line="420" w:lineRule="exact"/>
        <w:rPr>
          <w:rFonts w:ascii="宋体" w:hAnsi="宋体" w:cs="宋体"/>
          <w:b/>
          <w:bCs/>
          <w:sz w:val="24"/>
          <w:szCs w:val="24"/>
        </w:rPr>
      </w:pPr>
      <w:r>
        <w:rPr>
          <w:rFonts w:hint="eastAsia" w:ascii="宋体" w:hAnsi="宋体" w:cs="宋体"/>
          <w:b/>
          <w:bCs/>
          <w:sz w:val="24"/>
          <w:szCs w:val="24"/>
        </w:rPr>
        <w:t>37. 采购代理服务费</w:t>
      </w:r>
    </w:p>
    <w:p>
      <w:pPr>
        <w:spacing w:line="420" w:lineRule="exact"/>
        <w:ind w:left="567" w:hanging="567"/>
        <w:rPr>
          <w:rFonts w:ascii="宋体" w:hAnsi="宋体" w:cs="宋体"/>
          <w:sz w:val="24"/>
          <w:szCs w:val="24"/>
        </w:rPr>
      </w:pPr>
      <w:r>
        <w:rPr>
          <w:rFonts w:hint="eastAsia" w:ascii="宋体" w:hAnsi="宋体" w:cs="宋体"/>
          <w:sz w:val="24"/>
          <w:szCs w:val="24"/>
        </w:rPr>
        <w:t>37.1成交供应商在领取成交通知书时须按“供应商须知前附表”规定的收费标准</w:t>
      </w:r>
      <w:r>
        <w:rPr>
          <w:rFonts w:hint="eastAsia" w:ascii="宋体" w:hAnsi="宋体" w:cs="宋体"/>
          <w:b/>
          <w:sz w:val="24"/>
          <w:szCs w:val="24"/>
        </w:rPr>
        <w:t>，</w:t>
      </w:r>
      <w:r>
        <w:rPr>
          <w:rFonts w:hint="eastAsia" w:ascii="宋体" w:hAnsi="宋体" w:cs="宋体"/>
          <w:sz w:val="24"/>
          <w:szCs w:val="24"/>
        </w:rPr>
        <w:t>向采购代理机构缴纳采购代理服务费。</w:t>
      </w:r>
    </w:p>
    <w:p>
      <w:pPr>
        <w:spacing w:line="460" w:lineRule="exact"/>
        <w:rPr>
          <w:rFonts w:ascii="宋体" w:hAnsi="宋体" w:cs="宋体"/>
          <w:sz w:val="24"/>
        </w:rPr>
      </w:pPr>
      <w:r>
        <w:rPr>
          <w:rFonts w:hint="eastAsia" w:ascii="宋体" w:hAnsi="宋体" w:cs="宋体"/>
          <w:sz w:val="24"/>
          <w:szCs w:val="24"/>
        </w:rPr>
        <w:t>37.2 采购代理服务费采用银行转账、支票、汇票、本票等非现金形式交纳</w:t>
      </w:r>
      <w:r>
        <w:rPr>
          <w:rFonts w:hint="eastAsia" w:ascii="宋体" w:hAnsi="宋体" w:cs="宋体"/>
          <w:kern w:val="0"/>
          <w:sz w:val="28"/>
          <w:szCs w:val="28"/>
        </w:rPr>
        <w:t>。</w:t>
      </w:r>
    </w:p>
    <w:p>
      <w:pPr>
        <w:spacing w:line="560" w:lineRule="exact"/>
        <w:ind w:left="480" w:hanging="480" w:hangingChars="200"/>
        <w:rPr>
          <w:rFonts w:ascii="宋体" w:hAnsi="宋体" w:cs="宋体"/>
          <w:sz w:val="24"/>
          <w:szCs w:val="24"/>
        </w:rPr>
      </w:pPr>
      <w:r>
        <w:rPr>
          <w:rFonts w:hint="eastAsia" w:ascii="宋体" w:hAnsi="宋体" w:cs="宋体"/>
          <w:sz w:val="24"/>
          <w:szCs w:val="24"/>
        </w:rPr>
        <w:t>37.3 成交供应商如未按本须知“第37.1条”规定办理，采购代理机构将按本须知“第15.5条”规定不予退还其谈判保证金。</w:t>
      </w:r>
    </w:p>
    <w:p>
      <w:pPr>
        <w:pStyle w:val="4"/>
        <w:spacing w:before="0" w:after="0" w:line="460" w:lineRule="exact"/>
        <w:jc w:val="center"/>
        <w:rPr>
          <w:rFonts w:ascii="宋体" w:hAnsi="宋体" w:eastAsia="宋体" w:cs="宋体"/>
          <w:sz w:val="28"/>
          <w:szCs w:val="28"/>
        </w:rPr>
      </w:pPr>
      <w:r>
        <w:rPr>
          <w:rFonts w:hint="eastAsia" w:ascii="宋体" w:hAnsi="宋体" w:eastAsia="宋体" w:cs="宋体"/>
          <w:sz w:val="28"/>
          <w:szCs w:val="28"/>
        </w:rPr>
        <w:t>十三、附则</w:t>
      </w:r>
    </w:p>
    <w:p>
      <w:pPr>
        <w:spacing w:line="440" w:lineRule="exact"/>
        <w:rPr>
          <w:rFonts w:ascii="宋体" w:hAnsi="宋体" w:cs="宋体"/>
          <w:b/>
          <w:sz w:val="24"/>
          <w:szCs w:val="24"/>
        </w:rPr>
      </w:pPr>
      <w:r>
        <w:rPr>
          <w:rFonts w:hint="eastAsia" w:ascii="宋体" w:hAnsi="宋体" w:cs="宋体"/>
          <w:b/>
          <w:sz w:val="24"/>
          <w:szCs w:val="24"/>
        </w:rPr>
        <w:t>38. 解释权</w:t>
      </w:r>
    </w:p>
    <w:p>
      <w:pPr>
        <w:widowControl/>
        <w:spacing w:line="360" w:lineRule="auto"/>
        <w:jc w:val="left"/>
        <w:rPr>
          <w:rFonts w:ascii="宋体" w:hAnsi="宋体" w:cs="仿宋"/>
          <w:sz w:val="24"/>
          <w:szCs w:val="24"/>
        </w:rPr>
      </w:pPr>
      <w:r>
        <w:rPr>
          <w:rFonts w:hint="eastAsia" w:ascii="宋体" w:hAnsi="宋体" w:cs="宋体"/>
          <w:sz w:val="24"/>
          <w:szCs w:val="24"/>
        </w:rPr>
        <w:t>本谈判文件是根据国家有关法律、法规以及政府采购管理有关规定编制，解释权属江西省机电设备招标有限公司。</w:t>
      </w:r>
    </w:p>
    <w:p>
      <w:pPr>
        <w:widowControl/>
        <w:spacing w:line="360" w:lineRule="auto"/>
        <w:jc w:val="center"/>
        <w:rPr>
          <w:rFonts w:ascii="宋体" w:hAnsi="宋体" w:cs="仿宋"/>
          <w:sz w:val="24"/>
          <w:szCs w:val="24"/>
        </w:rPr>
      </w:pPr>
    </w:p>
    <w:p>
      <w:pPr>
        <w:pStyle w:val="4"/>
        <w:spacing w:before="0" w:after="0" w:line="460" w:lineRule="exact"/>
        <w:jc w:val="center"/>
        <w:rPr>
          <w:rFonts w:ascii="宋体" w:hAnsi="宋体" w:eastAsia="宋体" w:cs="宋体"/>
          <w:sz w:val="28"/>
          <w:szCs w:val="28"/>
        </w:rPr>
      </w:pPr>
      <w:r>
        <w:rPr>
          <w:rFonts w:hint="eastAsia" w:ascii="宋体" w:hAnsi="宋体" w:eastAsia="宋体" w:cs="宋体"/>
          <w:sz w:val="28"/>
          <w:szCs w:val="28"/>
        </w:rPr>
        <w:t>十二、采购代理服务费</w:t>
      </w:r>
      <w:bookmarkEnd w:id="50"/>
      <w:bookmarkEnd w:id="51"/>
    </w:p>
    <w:p>
      <w:pPr>
        <w:spacing w:line="420" w:lineRule="exact"/>
        <w:rPr>
          <w:rFonts w:ascii="宋体" w:hAnsi="宋体" w:cs="宋体"/>
          <w:b/>
          <w:bCs/>
          <w:sz w:val="24"/>
          <w:szCs w:val="24"/>
        </w:rPr>
      </w:pPr>
      <w:r>
        <w:rPr>
          <w:rFonts w:hint="eastAsia" w:ascii="宋体" w:hAnsi="宋体" w:cs="宋体"/>
          <w:b/>
          <w:bCs/>
          <w:sz w:val="24"/>
          <w:szCs w:val="24"/>
        </w:rPr>
        <w:t>37. 采购代理服务费</w:t>
      </w:r>
    </w:p>
    <w:p>
      <w:pPr>
        <w:spacing w:line="420" w:lineRule="exact"/>
        <w:ind w:left="567" w:hanging="567"/>
        <w:rPr>
          <w:rFonts w:ascii="宋体" w:hAnsi="宋体" w:cs="宋体"/>
          <w:sz w:val="24"/>
          <w:szCs w:val="24"/>
        </w:rPr>
      </w:pPr>
      <w:r>
        <w:rPr>
          <w:rFonts w:hint="eastAsia" w:ascii="宋体" w:hAnsi="宋体" w:cs="宋体"/>
          <w:sz w:val="24"/>
          <w:szCs w:val="24"/>
        </w:rPr>
        <w:t>37.1成交供应商在领取成交通知书时须按“供应商须知前附表”规定的收费标准</w:t>
      </w:r>
      <w:r>
        <w:rPr>
          <w:rFonts w:hint="eastAsia" w:ascii="宋体" w:hAnsi="宋体" w:cs="宋体"/>
          <w:b/>
          <w:sz w:val="24"/>
          <w:szCs w:val="24"/>
        </w:rPr>
        <w:t>，</w:t>
      </w:r>
      <w:r>
        <w:rPr>
          <w:rFonts w:hint="eastAsia" w:ascii="宋体" w:hAnsi="宋体" w:cs="宋体"/>
          <w:sz w:val="24"/>
          <w:szCs w:val="24"/>
        </w:rPr>
        <w:t>向采购代理机构缴纳采购代理服务费。</w:t>
      </w:r>
    </w:p>
    <w:p>
      <w:pPr>
        <w:spacing w:line="460" w:lineRule="exact"/>
        <w:rPr>
          <w:rFonts w:ascii="宋体" w:hAnsi="宋体" w:cs="宋体"/>
          <w:sz w:val="24"/>
        </w:rPr>
      </w:pPr>
      <w:r>
        <w:rPr>
          <w:rFonts w:hint="eastAsia" w:ascii="宋体" w:hAnsi="宋体" w:cs="宋体"/>
          <w:sz w:val="24"/>
          <w:szCs w:val="24"/>
        </w:rPr>
        <w:t>37.2 采购代理服务费采用银行转账、支票、汇票、本票等非现金形式交纳</w:t>
      </w:r>
      <w:r>
        <w:rPr>
          <w:rFonts w:hint="eastAsia" w:ascii="宋体" w:hAnsi="宋体" w:cs="宋体"/>
          <w:kern w:val="0"/>
          <w:sz w:val="28"/>
          <w:szCs w:val="28"/>
        </w:rPr>
        <w:t>。</w:t>
      </w:r>
    </w:p>
    <w:p>
      <w:pPr>
        <w:spacing w:line="560" w:lineRule="exact"/>
        <w:ind w:left="480" w:hanging="480" w:hangingChars="200"/>
        <w:rPr>
          <w:rFonts w:ascii="宋体" w:hAnsi="宋体" w:cs="宋体"/>
          <w:sz w:val="24"/>
          <w:szCs w:val="24"/>
        </w:rPr>
      </w:pPr>
      <w:r>
        <w:rPr>
          <w:rFonts w:hint="eastAsia" w:ascii="宋体" w:hAnsi="宋体" w:cs="宋体"/>
          <w:sz w:val="24"/>
          <w:szCs w:val="24"/>
        </w:rPr>
        <w:t>37.3 成交供应商如未按本须知“第37.1条”规定办理，采购代理机构将按本须知“第15.5条”规定不予退还其谈判保证金。</w:t>
      </w:r>
      <w:bookmarkEnd w:id="52"/>
      <w:bookmarkEnd w:id="53"/>
      <w:bookmarkStart w:id="66" w:name="_Toc376848257"/>
      <w:bookmarkStart w:id="67" w:name="_Toc245611283"/>
    </w:p>
    <w:p>
      <w:pPr>
        <w:pStyle w:val="4"/>
        <w:spacing w:before="0" w:after="0" w:line="460" w:lineRule="exact"/>
        <w:jc w:val="center"/>
        <w:rPr>
          <w:rFonts w:ascii="宋体" w:hAnsi="宋体" w:eastAsia="宋体" w:cs="宋体"/>
          <w:sz w:val="28"/>
          <w:szCs w:val="28"/>
        </w:rPr>
      </w:pPr>
      <w:bookmarkStart w:id="68" w:name="_Toc501638133"/>
      <w:r>
        <w:rPr>
          <w:rFonts w:hint="eastAsia" w:ascii="宋体" w:hAnsi="宋体" w:eastAsia="宋体" w:cs="宋体"/>
          <w:sz w:val="28"/>
          <w:szCs w:val="28"/>
        </w:rPr>
        <w:t>十三、附则</w:t>
      </w:r>
      <w:bookmarkEnd w:id="66"/>
      <w:bookmarkEnd w:id="68"/>
    </w:p>
    <w:p>
      <w:pPr>
        <w:spacing w:line="440" w:lineRule="exact"/>
        <w:rPr>
          <w:rFonts w:ascii="宋体" w:hAnsi="宋体" w:cs="宋体"/>
          <w:b/>
          <w:sz w:val="24"/>
          <w:szCs w:val="24"/>
        </w:rPr>
      </w:pPr>
      <w:r>
        <w:rPr>
          <w:rFonts w:hint="eastAsia" w:ascii="宋体" w:hAnsi="宋体" w:cs="宋体"/>
          <w:b/>
          <w:sz w:val="24"/>
          <w:szCs w:val="24"/>
        </w:rPr>
        <w:t>38. 解释权</w:t>
      </w:r>
      <w:bookmarkEnd w:id="67"/>
    </w:p>
    <w:p>
      <w:pPr>
        <w:spacing w:line="440" w:lineRule="exact"/>
        <w:ind w:left="599" w:leftChars="228" w:hanging="120" w:hangingChars="50"/>
        <w:rPr>
          <w:rFonts w:ascii="宋体" w:hAnsi="宋体" w:cs="宋体"/>
          <w:sz w:val="24"/>
          <w:szCs w:val="24"/>
        </w:rPr>
      </w:pPr>
      <w:r>
        <w:rPr>
          <w:rFonts w:hint="eastAsia" w:ascii="宋体" w:hAnsi="宋体" w:cs="宋体"/>
          <w:sz w:val="24"/>
          <w:szCs w:val="24"/>
        </w:rPr>
        <w:t>本谈判文件是根据国家有关法律、法规以及政府采购管理有关规定编制，解释权属江西省机电设备招标有限公司。</w:t>
      </w:r>
    </w:p>
    <w:p>
      <w:pPr>
        <w:pStyle w:val="3"/>
        <w:jc w:val="center"/>
        <w:rPr>
          <w:rFonts w:hAnsi="宋体" w:cs="宋体"/>
        </w:rPr>
      </w:pPr>
      <w:r>
        <w:rPr>
          <w:rFonts w:hint="eastAsia" w:hAnsi="宋体" w:cs="宋体"/>
        </w:rPr>
        <w:br w:type="page"/>
      </w:r>
      <w:bookmarkStart w:id="69" w:name="_Toc501638134"/>
      <w:r>
        <w:rPr>
          <w:rFonts w:hint="eastAsia" w:hAnsi="宋体" w:cs="宋体"/>
          <w:b/>
          <w:bCs/>
          <w:sz w:val="32"/>
        </w:rPr>
        <w:t>第三章　</w:t>
      </w:r>
      <w:bookmarkEnd w:id="69"/>
      <w:bookmarkStart w:id="70" w:name="_Toc387418052"/>
      <w:bookmarkStart w:id="71" w:name="_Toc225565935"/>
      <w:r>
        <w:rPr>
          <w:rFonts w:hint="eastAsia" w:hAnsi="宋体" w:cs="宋体"/>
          <w:b/>
          <w:bCs/>
          <w:sz w:val="32"/>
        </w:rPr>
        <w:t>拟签订的合同文本</w:t>
      </w:r>
    </w:p>
    <w:p>
      <w:pPr>
        <w:spacing w:line="580" w:lineRule="exact"/>
        <w:rPr>
          <w:rFonts w:ascii="宋体" w:hAnsi="宋体" w:cs="宋体"/>
          <w:kern w:val="0"/>
          <w:sz w:val="32"/>
          <w:szCs w:val="32"/>
        </w:rPr>
      </w:pPr>
    </w:p>
    <w:bookmarkEnd w:id="70"/>
    <w:bookmarkEnd w:id="71"/>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甲方（采购单位）：________</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乙方（供货单位）：________</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签订时间：________年____月____日</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签订地点：</w:t>
      </w:r>
    </w:p>
    <w:p>
      <w:pPr>
        <w:pStyle w:val="2"/>
      </w:pP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根据《中华人民共和国民法典》及________年____月____日（招标代理机构名称）关于________项目的中标结果和招标文件（招标编号：________）的要求，经双方协商一致，签订本合同。详细价格、技术说明及其他有关合同货物的特定信息由合同附件予以说明，所有附件及本项目的招投标文件、会议纪要、协议等均为本合同不可分割之一部分。</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第一条　合同货物</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乙方根据甲方要求提供以下货物：　　</w:t>
      </w:r>
    </w:p>
    <w:tbl>
      <w:tblPr>
        <w:tblStyle w:val="20"/>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417"/>
        <w:gridCol w:w="1276"/>
        <w:gridCol w:w="992"/>
        <w:gridCol w:w="1276"/>
        <w:gridCol w:w="709"/>
        <w:gridCol w:w="709"/>
        <w:gridCol w:w="804"/>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序号</w:t>
            </w:r>
          </w:p>
        </w:tc>
        <w:tc>
          <w:tcPr>
            <w:tcW w:w="1417"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货物名称</w:t>
            </w:r>
          </w:p>
        </w:tc>
        <w:tc>
          <w:tcPr>
            <w:tcW w:w="1276"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规格型号</w:t>
            </w:r>
          </w:p>
        </w:tc>
        <w:tc>
          <w:tcPr>
            <w:tcW w:w="992"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原产国</w:t>
            </w:r>
          </w:p>
        </w:tc>
        <w:tc>
          <w:tcPr>
            <w:tcW w:w="1276"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生产厂商</w:t>
            </w:r>
          </w:p>
        </w:tc>
        <w:tc>
          <w:tcPr>
            <w:tcW w:w="709"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单位</w:t>
            </w:r>
          </w:p>
        </w:tc>
        <w:tc>
          <w:tcPr>
            <w:tcW w:w="709"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数量</w:t>
            </w:r>
          </w:p>
        </w:tc>
        <w:tc>
          <w:tcPr>
            <w:tcW w:w="804"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单价</w:t>
            </w:r>
          </w:p>
        </w:tc>
        <w:tc>
          <w:tcPr>
            <w:tcW w:w="1180"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单项合计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widowControl/>
              <w:spacing w:line="360" w:lineRule="atLeast"/>
              <w:ind w:right="480"/>
              <w:jc w:val="center"/>
              <w:rPr>
                <w:rFonts w:cs="仿宋" w:asciiTheme="minorEastAsia" w:hAnsiTheme="minorEastAsia" w:eastAsiaTheme="minorEastAsia"/>
                <w:kern w:val="0"/>
                <w:sz w:val="24"/>
                <w:szCs w:val="24"/>
              </w:rPr>
            </w:pPr>
          </w:p>
        </w:tc>
        <w:tc>
          <w:tcPr>
            <w:tcW w:w="1417" w:type="dxa"/>
          </w:tcPr>
          <w:p>
            <w:pPr>
              <w:widowControl/>
              <w:spacing w:line="360" w:lineRule="atLeast"/>
              <w:ind w:right="480"/>
              <w:jc w:val="center"/>
              <w:rPr>
                <w:rFonts w:cs="仿宋" w:asciiTheme="minorEastAsia" w:hAnsiTheme="minorEastAsia" w:eastAsiaTheme="minorEastAsia"/>
                <w:kern w:val="0"/>
                <w:sz w:val="24"/>
                <w:szCs w:val="24"/>
              </w:rPr>
            </w:pPr>
          </w:p>
        </w:tc>
        <w:tc>
          <w:tcPr>
            <w:tcW w:w="1276" w:type="dxa"/>
          </w:tcPr>
          <w:p>
            <w:pPr>
              <w:widowControl/>
              <w:spacing w:line="360" w:lineRule="atLeast"/>
              <w:ind w:right="480"/>
              <w:jc w:val="center"/>
              <w:rPr>
                <w:rFonts w:cs="仿宋" w:asciiTheme="minorEastAsia" w:hAnsiTheme="minorEastAsia" w:eastAsiaTheme="minorEastAsia"/>
                <w:kern w:val="0"/>
                <w:sz w:val="24"/>
                <w:szCs w:val="24"/>
              </w:rPr>
            </w:pPr>
          </w:p>
        </w:tc>
        <w:tc>
          <w:tcPr>
            <w:tcW w:w="992" w:type="dxa"/>
          </w:tcPr>
          <w:p>
            <w:pPr>
              <w:widowControl/>
              <w:spacing w:line="360" w:lineRule="atLeast"/>
              <w:ind w:right="480"/>
              <w:jc w:val="center"/>
              <w:rPr>
                <w:rFonts w:cs="仿宋" w:asciiTheme="minorEastAsia" w:hAnsiTheme="minorEastAsia" w:eastAsiaTheme="minorEastAsia"/>
                <w:kern w:val="0"/>
                <w:sz w:val="24"/>
                <w:szCs w:val="24"/>
              </w:rPr>
            </w:pPr>
          </w:p>
        </w:tc>
        <w:tc>
          <w:tcPr>
            <w:tcW w:w="1276" w:type="dxa"/>
          </w:tcPr>
          <w:p>
            <w:pPr>
              <w:widowControl/>
              <w:spacing w:line="360" w:lineRule="atLeast"/>
              <w:ind w:right="480"/>
              <w:jc w:val="center"/>
              <w:rPr>
                <w:rFonts w:cs="仿宋" w:asciiTheme="minorEastAsia" w:hAnsiTheme="minorEastAsia" w:eastAsiaTheme="minorEastAsia"/>
                <w:kern w:val="0"/>
                <w:sz w:val="24"/>
                <w:szCs w:val="24"/>
              </w:rPr>
            </w:pPr>
          </w:p>
        </w:tc>
        <w:tc>
          <w:tcPr>
            <w:tcW w:w="709" w:type="dxa"/>
          </w:tcPr>
          <w:p>
            <w:pPr>
              <w:widowControl/>
              <w:spacing w:line="360" w:lineRule="atLeast"/>
              <w:ind w:right="480"/>
              <w:jc w:val="center"/>
              <w:rPr>
                <w:rFonts w:cs="仿宋" w:asciiTheme="minorEastAsia" w:hAnsiTheme="minorEastAsia" w:eastAsiaTheme="minorEastAsia"/>
                <w:kern w:val="0"/>
                <w:sz w:val="24"/>
                <w:szCs w:val="24"/>
              </w:rPr>
            </w:pPr>
          </w:p>
        </w:tc>
        <w:tc>
          <w:tcPr>
            <w:tcW w:w="709" w:type="dxa"/>
          </w:tcPr>
          <w:p>
            <w:pPr>
              <w:widowControl/>
              <w:spacing w:line="360" w:lineRule="atLeast"/>
              <w:ind w:right="480"/>
              <w:jc w:val="center"/>
              <w:rPr>
                <w:rFonts w:cs="仿宋" w:asciiTheme="minorEastAsia" w:hAnsiTheme="minorEastAsia" w:eastAsiaTheme="minorEastAsia"/>
                <w:kern w:val="0"/>
                <w:sz w:val="24"/>
                <w:szCs w:val="24"/>
              </w:rPr>
            </w:pPr>
          </w:p>
        </w:tc>
        <w:tc>
          <w:tcPr>
            <w:tcW w:w="804" w:type="dxa"/>
          </w:tcPr>
          <w:p>
            <w:pPr>
              <w:widowControl/>
              <w:spacing w:line="360" w:lineRule="atLeast"/>
              <w:ind w:right="480"/>
              <w:jc w:val="center"/>
              <w:rPr>
                <w:rFonts w:cs="仿宋" w:asciiTheme="minorEastAsia" w:hAnsiTheme="minorEastAsia" w:eastAsiaTheme="minorEastAsia"/>
                <w:kern w:val="0"/>
                <w:sz w:val="24"/>
                <w:szCs w:val="24"/>
              </w:rPr>
            </w:pPr>
          </w:p>
        </w:tc>
        <w:tc>
          <w:tcPr>
            <w:tcW w:w="1180" w:type="dxa"/>
          </w:tcPr>
          <w:p>
            <w:pPr>
              <w:widowControl/>
              <w:spacing w:line="360" w:lineRule="atLeast"/>
              <w:ind w:right="480"/>
              <w:jc w:val="center"/>
              <w:rPr>
                <w:rFonts w:cs="仿宋" w:asciiTheme="minorEastAsia" w:hAnsiTheme="minorEastAsia" w:eastAsiaTheme="minorEastAsia"/>
                <w:kern w:val="0"/>
                <w:sz w:val="24"/>
                <w:szCs w:val="24"/>
              </w:rPr>
            </w:pPr>
          </w:p>
        </w:tc>
      </w:tr>
    </w:tbl>
    <w:p>
      <w:pPr>
        <w:spacing w:line="580" w:lineRule="exact"/>
        <w:ind w:firstLine="63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第二条　合同总价</w:t>
      </w:r>
    </w:p>
    <w:p>
      <w:pPr>
        <w:spacing w:line="580" w:lineRule="exact"/>
        <w:ind w:firstLine="63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总价为人民币（大写）：________ ，即RMB________。该合同总价是货物设计、制造、包装、仓储、运输、安装及验收合格之前及保修期内备品备件发生的所有含税费用。本合同执行期间合同总价不变。</w:t>
      </w:r>
    </w:p>
    <w:p>
      <w:pPr>
        <w:spacing w:line="440" w:lineRule="exact"/>
        <w:ind w:left="105" w:leftChars="50" w:firstLine="194" w:firstLineChars="81"/>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第三条　专利权</w:t>
      </w:r>
    </w:p>
    <w:p>
      <w:pPr>
        <w:spacing w:line="440" w:lineRule="exact"/>
        <w:ind w:left="105" w:leftChars="50" w:firstLine="194" w:firstLineChars="81"/>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  乙方应保护甲方在使用该货物或其任何一部分时不受第三方提出侵犯专利权、商标权、著作权或其它知识产权起诉的指控。如果任何第三方提出侵权指控，乙方须与第三方交涉并承担可能发生的一切法律责任和费用。</w:t>
      </w:r>
    </w:p>
    <w:p>
      <w:pPr>
        <w:spacing w:line="44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第四条　包装和装运标志</w:t>
      </w:r>
    </w:p>
    <w:p>
      <w:pPr>
        <w:spacing w:line="44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除合同另有规定外，乙方提供的全部货物，均应采用国家或专业标准保护措施进行包装，使包装应适应于海运、或空运、或陆上长距离运输，并有良好的防潮、防震、防锈和防粗暴装卸等保护措施，确保货物安全无损运抵现场。由于包装不善所引起的货物锈蚀、损坏和损失造成的后果均由乙方承担。</w:t>
      </w:r>
    </w:p>
    <w:p>
      <w:pPr>
        <w:spacing w:line="44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2.每件包装箱内应附一份详细装箱单和质量合格证。</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3..除合同另有规定外，装运标志均应采用国家或专业标准进行标志。由于标志不妥所造成货物损坏和损失的后果均由乙方承担。</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第五条　质量</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乙方须提供全新的、符合国家有关质量标准和规范、环保要求的货物，其质量、规格及技术特征符合合同附件的要求。</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每台货物上均应钉有名牌（内容包括：制造商、货物名称、型号规格、出厂日期等）并附有产品质量检验合格标志。</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货物制造质量出现问题，乙方应负责三包（包修、包换、包退），费用由乙方负责。</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货到现场后由于甲方保管不当造成的质量问题，乙方亦应负责修理，但费用由甲方负担。</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第六条　交货及验收</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在合同签订后________日内，乙方免费送货至甲方地点：________，由甲方与乙方一起进行到货验收及由乙方免费完成货物和系统的安装调试工作，然后由双方共同进行质量验收，如质量验收合格，双方签署质量验收表。</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货物的到货验收包括：型号、规格、数量、外观质量及货物包装完整无损。</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货物和系统安装调试完成后10天之内，甲方无故不进行验收工作而使用货物的，视同已安装调试完成并验收合格。</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货物和系统调试验收的标准：按行业通行标准、厂方出厂标准和乙方投标文件的承诺（详见合同附件载明的标准，并不低于国家相关标准）。</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5. 国内产品或合资厂的产品必须具备出厂合格证和原厂保修卡。</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6. 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第七条　付款方式</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以招标文件为准。</w:t>
      </w:r>
    </w:p>
    <w:p>
      <w:pPr>
        <w:widowControl/>
        <w:spacing w:line="360" w:lineRule="auto"/>
        <w:ind w:firstLine="240" w:firstLineChars="100"/>
        <w:jc w:val="left"/>
        <w:textAlignment w:val="center"/>
        <w:rPr>
          <w:rFonts w:ascii="宋体" w:hAnsi="宋体"/>
          <w:sz w:val="24"/>
          <w:highlight w:val="yellow"/>
        </w:rPr>
      </w:pPr>
    </w:p>
    <w:p>
      <w:pPr>
        <w:widowControl/>
        <w:spacing w:line="360" w:lineRule="auto"/>
        <w:ind w:firstLine="240" w:firstLineChars="100"/>
        <w:jc w:val="left"/>
        <w:textAlignment w:val="center"/>
        <w:rPr>
          <w:rFonts w:cs="仿宋" w:asciiTheme="minorEastAsia" w:hAnsiTheme="minorEastAsia" w:eastAsiaTheme="minorEastAsia"/>
          <w:kern w:val="0"/>
          <w:sz w:val="24"/>
          <w:szCs w:val="24"/>
        </w:rPr>
      </w:pPr>
    </w:p>
    <w:p>
      <w:pPr>
        <w:spacing w:line="440" w:lineRule="exact"/>
        <w:ind w:left="105" w:leftChars="50" w:firstLine="480" w:firstLineChars="200"/>
        <w:rPr>
          <w:rFonts w:ascii="仿宋" w:hAnsi="仿宋" w:eastAsia="仿宋" w:cs="仿宋"/>
          <w:kern w:val="0"/>
          <w:sz w:val="24"/>
          <w:szCs w:val="24"/>
        </w:rPr>
      </w:pPr>
      <w:r>
        <w:rPr>
          <w:rFonts w:hint="eastAsia" w:cs="仿宋" w:asciiTheme="minorEastAsia" w:hAnsiTheme="minorEastAsia" w:eastAsiaTheme="minorEastAsia"/>
          <w:kern w:val="0"/>
          <w:sz w:val="24"/>
          <w:szCs w:val="24"/>
        </w:rPr>
        <w:t>　　</w:t>
      </w:r>
      <w:r>
        <w:rPr>
          <w:rFonts w:hint="eastAsia" w:ascii="仿宋" w:hAnsi="仿宋" w:eastAsia="仿宋" w:cs="仿宋"/>
          <w:kern w:val="0"/>
          <w:sz w:val="24"/>
          <w:szCs w:val="24"/>
        </w:rPr>
        <w:t>本合同供货单位指定的收款账户：</w:t>
      </w:r>
    </w:p>
    <w:p>
      <w:pPr>
        <w:spacing w:line="440" w:lineRule="exact"/>
        <w:ind w:left="105" w:leftChars="50" w:firstLine="480" w:firstLineChars="200"/>
        <w:rPr>
          <w:rFonts w:ascii="仿宋" w:hAnsi="仿宋" w:eastAsia="仿宋" w:cs="仿宋"/>
          <w:kern w:val="0"/>
          <w:sz w:val="24"/>
          <w:szCs w:val="24"/>
        </w:rPr>
      </w:pPr>
      <w:r>
        <w:rPr>
          <w:rFonts w:hint="eastAsia" w:ascii="仿宋" w:hAnsi="仿宋" w:eastAsia="仿宋" w:cs="仿宋"/>
          <w:kern w:val="0"/>
          <w:sz w:val="24"/>
          <w:szCs w:val="24"/>
        </w:rPr>
        <w:t>户名：_____________________</w:t>
      </w:r>
    </w:p>
    <w:p>
      <w:pPr>
        <w:spacing w:line="440" w:lineRule="exact"/>
        <w:ind w:left="105" w:leftChars="50" w:firstLine="480" w:firstLineChars="200"/>
        <w:rPr>
          <w:rFonts w:ascii="仿宋" w:hAnsi="仿宋" w:eastAsia="仿宋" w:cs="仿宋"/>
          <w:kern w:val="0"/>
          <w:sz w:val="24"/>
          <w:szCs w:val="24"/>
        </w:rPr>
      </w:pPr>
      <w:r>
        <w:rPr>
          <w:rFonts w:hint="eastAsia" w:ascii="仿宋" w:hAnsi="仿宋" w:eastAsia="仿宋" w:cs="仿宋"/>
          <w:kern w:val="0"/>
          <w:sz w:val="24"/>
          <w:szCs w:val="24"/>
        </w:rPr>
        <w:t>开户行：___________________</w:t>
      </w:r>
    </w:p>
    <w:p>
      <w:pPr>
        <w:spacing w:line="440" w:lineRule="exact"/>
        <w:ind w:left="105" w:leftChars="50" w:firstLine="480" w:firstLineChars="200"/>
        <w:rPr>
          <w:rFonts w:ascii="仿宋" w:hAnsi="仿宋" w:eastAsia="仿宋" w:cs="仿宋"/>
          <w:kern w:val="0"/>
          <w:sz w:val="24"/>
          <w:szCs w:val="24"/>
        </w:rPr>
      </w:pPr>
      <w:r>
        <w:rPr>
          <w:rFonts w:hint="eastAsia" w:ascii="仿宋" w:hAnsi="仿宋" w:eastAsia="仿宋" w:cs="仿宋"/>
          <w:kern w:val="0"/>
          <w:sz w:val="24"/>
          <w:szCs w:val="24"/>
        </w:rPr>
        <w:t>账号：_____________________</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第八条　售后服务</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质量保证期为：         ；质保期自甲方在货物质量验收单上签字之日起计算，保修费用计入总价。</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质量保证期内，乙方负责对其提供的货物整机进行维修和系统维护，不再收取任何费用，但不可抗力（如火灾、雷击等）造成的故障除外。</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货物故障报修的响应时间为：工作期间（星期一至星期五8： 00-18： 00）为________小时；非工作期间为________小时；售后服务电话：________。</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5. 若货物故障在检修8工作小时后仍无法排除，乙方应在48小时内免费提供不低于故障货物规格型号档次的备用货物供甲方使用，直至故障货物修复。</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6. 所有货物保修服务方式均为乙方上门保修，即由乙方派员到货物使用现场维修，由此产生的一切费用均由乙方承担。</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7. 乙方须每隔半年上门对甲方进行回访，（需由用户盖章确认）。</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8. 保修期后的货物维护由双方协商再定。</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第九条　违约责任</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甲方无正当理由拒收货物、拒付货款的，由甲方向乙方偿付合同总价的5‰的违约金。</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甲方应在合同规定时间内向乙方支付货款，每逾期1天甲方向乙方偿付欠款总额的5‰滞纳金，累计滞纳金总额不超过欠款总额的5‰。</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乙方不能交付货物，则由乙方向甲方支付合同总价的5‰的违约金。</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乙方逾期交付货物的，每逾期1天，乙方向甲方偿付逾期交货部分货款总额的5‰的滞纳金，累计滞纳金不超过逾期交货部分货款总额的5‰，逾期交货超过10天，甲方有权终止合同，并按第九条第3款处理。</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5. 乙方所交的货物品种、型号、规格不符合合同规定的，甲方有权拒收设备。乙方向甲方支付货款总额的5‰的违约金。</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6. 如经乙方两次维修，货物仍不能达到合同约定质量标准，甲方有权退货，乙方退回全部货款，并按第九条第3款处理，同时，乙方还须赔偿甲方因此遭受的损失。</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7. 乙方所供货物必须权属清楚，不得侵害他人的知识产权，否则构成对甲方违约，违约金按第九条第3~4款执行。</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第十条　争议及仲裁</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因货物的质量问题发生争议，由质量监督部门或其指定的质量鉴定单位进行质量鉴定。货物符合标准的，鉴定费由甲方承担；货物不符合质量标准的，鉴定费由乙方承担。</w:t>
      </w:r>
    </w:p>
    <w:p>
      <w:pPr>
        <w:spacing w:line="440" w:lineRule="exact"/>
        <w:ind w:left="105" w:leftChars="50"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kern w:val="0"/>
          <w:sz w:val="24"/>
          <w:szCs w:val="24"/>
        </w:rPr>
        <w:t>　　2. 因本合同引起的争议，甲、乙双方应首先通过友好协商解决，如果协商或调解不能解决争议，则</w:t>
      </w:r>
      <w:r>
        <w:rPr>
          <w:rFonts w:hint="eastAsia" w:cs="仿宋" w:asciiTheme="minorEastAsia" w:hAnsiTheme="minorEastAsia" w:eastAsiaTheme="minorEastAsia"/>
          <w:sz w:val="24"/>
          <w:szCs w:val="24"/>
        </w:rPr>
        <w:t>提请仲裁委员会按照其仲裁规则进行仲裁。</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第十一条　其他</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本合同正本5份，具有同等法律效力，甲、乙双方各执2份，招标代理机构1份。合同自签字之日起即时生效。</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本合同未尽事宜，由双方协商处理。</w:t>
      </w:r>
    </w:p>
    <w:p>
      <w:pPr>
        <w:spacing w:line="580" w:lineRule="exact"/>
        <w:ind w:firstLine="420"/>
        <w:rPr>
          <w:rFonts w:cs="仿宋" w:asciiTheme="minorEastAsia" w:hAnsiTheme="minorEastAsia" w:eastAsiaTheme="minorEastAsia"/>
          <w:kern w:val="0"/>
          <w:sz w:val="24"/>
          <w:szCs w:val="24"/>
        </w:rPr>
      </w:pP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甲方（盖章）：________　　　乙方（盖章）：________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签约代表（签字）：________　　签约代表（签字）：________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地址：________　　　　　　　地址：________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电话：________　　　　　　　电话：________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传真：________　　　　　　　传真：________</w:t>
      </w:r>
    </w:p>
    <w:p>
      <w:pPr>
        <w:pStyle w:val="3"/>
        <w:jc w:val="center"/>
        <w:rPr>
          <w:rFonts w:hAnsi="宋体" w:cs="宋体"/>
          <w:b/>
          <w:bCs/>
          <w:sz w:val="32"/>
        </w:rPr>
      </w:pPr>
      <w:r>
        <w:rPr>
          <w:rFonts w:hint="eastAsia" w:cs="仿宋" w:asciiTheme="minorEastAsia" w:hAnsiTheme="minorEastAsia" w:eastAsiaTheme="minorEastAsia"/>
          <w:kern w:val="0"/>
          <w:sz w:val="24"/>
          <w:szCs w:val="24"/>
        </w:rPr>
        <w:t>　　________年____月____日　　　________年____月____日</w:t>
      </w:r>
      <w:r>
        <w:rPr>
          <w:rFonts w:hint="eastAsia" w:hAnsi="宋体" w:cs="宋体"/>
          <w:kern w:val="0"/>
          <w:sz w:val="32"/>
          <w:szCs w:val="32"/>
        </w:rPr>
        <w:br w:type="page"/>
      </w:r>
      <w:bookmarkStart w:id="72" w:name="_Toc501638135"/>
      <w:r>
        <w:rPr>
          <w:rFonts w:hint="eastAsia" w:hAnsi="宋体" w:cs="宋体"/>
          <w:b/>
          <w:bCs/>
          <w:sz w:val="32"/>
        </w:rPr>
        <w:t>第四章  响应文件格式</w:t>
      </w:r>
      <w:bookmarkEnd w:id="72"/>
    </w:p>
    <w:p>
      <w:pPr>
        <w:pStyle w:val="3"/>
        <w:jc w:val="center"/>
        <w:rPr>
          <w:rFonts w:hAnsi="宋体" w:cs="宋体"/>
          <w:b/>
          <w:sz w:val="32"/>
          <w:szCs w:val="32"/>
        </w:rPr>
      </w:pPr>
    </w:p>
    <w:p>
      <w:pPr>
        <w:pStyle w:val="3"/>
        <w:jc w:val="center"/>
        <w:rPr>
          <w:rFonts w:hAnsi="宋体" w:cs="宋体"/>
          <w:b/>
          <w:sz w:val="32"/>
          <w:szCs w:val="32"/>
        </w:rPr>
      </w:pPr>
    </w:p>
    <w:p>
      <w:pPr>
        <w:pStyle w:val="3"/>
        <w:jc w:val="center"/>
        <w:rPr>
          <w:rFonts w:hAnsi="宋体" w:cs="宋体"/>
          <w:b/>
          <w:sz w:val="32"/>
          <w:szCs w:val="32"/>
        </w:rPr>
      </w:pPr>
    </w:p>
    <w:p>
      <w:pPr>
        <w:pStyle w:val="3"/>
        <w:rPr>
          <w:rFonts w:hAnsi="宋体" w:cs="宋体"/>
          <w:b/>
          <w:sz w:val="32"/>
          <w:szCs w:val="32"/>
        </w:rPr>
      </w:pPr>
    </w:p>
    <w:p>
      <w:pPr>
        <w:jc w:val="center"/>
        <w:rPr>
          <w:rFonts w:ascii="宋体" w:hAnsi="宋体" w:cs="宋体"/>
          <w:sz w:val="84"/>
          <w:szCs w:val="84"/>
        </w:rPr>
      </w:pPr>
      <w:r>
        <w:rPr>
          <w:rFonts w:hint="eastAsia" w:ascii="宋体" w:hAnsi="宋体" w:cs="宋体"/>
          <w:sz w:val="84"/>
          <w:szCs w:val="84"/>
        </w:rPr>
        <w:t>谈判响应文件</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8"/>
          <w:u w:val="single"/>
        </w:rPr>
      </w:pPr>
      <w:r>
        <w:rPr>
          <w:rFonts w:hint="eastAsia" w:ascii="宋体" w:hAnsi="宋体" w:cs="宋体"/>
          <w:sz w:val="28"/>
        </w:rPr>
        <w:t xml:space="preserve">               项目名称： </w:t>
      </w: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r>
        <w:rPr>
          <w:rFonts w:hint="eastAsia" w:ascii="宋体" w:hAnsi="宋体" w:cs="宋体"/>
          <w:sz w:val="28"/>
        </w:rPr>
        <w:t xml:space="preserve">               项目编号： </w:t>
      </w: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jc w:val="center"/>
        <w:rPr>
          <w:rFonts w:ascii="宋体" w:hAnsi="宋体" w:cs="宋体"/>
          <w:sz w:val="28"/>
        </w:rPr>
      </w:pPr>
    </w:p>
    <w:p>
      <w:pPr>
        <w:jc w:val="center"/>
        <w:rPr>
          <w:rFonts w:ascii="宋体" w:hAnsi="宋体" w:cs="宋体"/>
          <w:sz w:val="28"/>
        </w:rPr>
      </w:pPr>
      <w:r>
        <w:rPr>
          <w:rFonts w:hint="eastAsia" w:ascii="宋体" w:hAnsi="宋体" w:cs="宋体"/>
          <w:sz w:val="28"/>
        </w:rPr>
        <w:t>单位（</w:t>
      </w:r>
      <w:r>
        <w:rPr>
          <w:rFonts w:hint="eastAsia" w:ascii="宋体" w:hAnsi="宋体" w:cs="宋体"/>
          <w:sz w:val="24"/>
        </w:rPr>
        <w:t>签章</w:t>
      </w:r>
      <w:r>
        <w:rPr>
          <w:rFonts w:hint="eastAsia" w:ascii="宋体" w:hAnsi="宋体" w:cs="宋体"/>
          <w:sz w:val="28"/>
        </w:rPr>
        <w:t>）</w:t>
      </w:r>
    </w:p>
    <w:p>
      <w:pPr>
        <w:jc w:val="center"/>
        <w:rPr>
          <w:rFonts w:ascii="宋体" w:hAnsi="宋体" w:cs="宋体"/>
          <w:sz w:val="28"/>
        </w:rPr>
      </w:pPr>
    </w:p>
    <w:p>
      <w:pPr>
        <w:jc w:val="center"/>
        <w:rPr>
          <w:rFonts w:ascii="宋体" w:hAnsi="宋体" w:cs="宋体"/>
          <w:w w:val="80"/>
          <w:sz w:val="36"/>
        </w:rPr>
        <w:sectPr>
          <w:headerReference r:id="rId3" w:type="default"/>
          <w:footerReference r:id="rId4" w:type="default"/>
          <w:footerReference r:id="rId5" w:type="even"/>
          <w:pgSz w:w="11907" w:h="16840"/>
          <w:pgMar w:top="1474" w:right="850" w:bottom="1474" w:left="1134" w:header="720" w:footer="720" w:gutter="0"/>
          <w:pgNumType w:start="0"/>
          <w:cols w:space="720" w:num="1"/>
          <w:titlePg/>
          <w:docGrid w:linePitch="285" w:charSpace="0"/>
        </w:sectPr>
      </w:pPr>
      <w:r>
        <w:rPr>
          <w:rFonts w:hint="eastAsia" w:ascii="宋体" w:hAnsi="宋体" w:cs="宋体"/>
          <w:sz w:val="28"/>
        </w:rPr>
        <w:t xml:space="preserve">    年   月   日</w:t>
      </w:r>
    </w:p>
    <w:p>
      <w:pPr>
        <w:pStyle w:val="4"/>
        <w:spacing w:before="0" w:after="0" w:line="460" w:lineRule="exact"/>
        <w:jc w:val="center"/>
        <w:rPr>
          <w:rFonts w:ascii="宋体" w:hAnsi="宋体" w:eastAsia="宋体" w:cs="宋体"/>
          <w:sz w:val="30"/>
          <w:szCs w:val="30"/>
        </w:rPr>
      </w:pPr>
      <w:bookmarkStart w:id="73" w:name="_Toc501638136"/>
      <w:r>
        <w:rPr>
          <w:rFonts w:hint="eastAsia" w:ascii="宋体" w:hAnsi="宋体" w:eastAsia="宋体" w:cs="宋体"/>
          <w:sz w:val="30"/>
          <w:szCs w:val="30"/>
        </w:rPr>
        <w:t>格式1. 谈判响应书</w:t>
      </w:r>
      <w:bookmarkEnd w:id="73"/>
    </w:p>
    <w:p>
      <w:pPr>
        <w:spacing w:line="400" w:lineRule="exact"/>
        <w:rPr>
          <w:rFonts w:ascii="宋体" w:hAnsi="宋体" w:cs="宋体"/>
          <w:sz w:val="24"/>
        </w:rPr>
      </w:pPr>
      <w:r>
        <w:rPr>
          <w:rFonts w:hint="eastAsia" w:ascii="宋体" w:hAnsi="宋体" w:cs="宋体"/>
          <w:sz w:val="24"/>
        </w:rPr>
        <w:t>致：江西省机电设备招标有限公司</w:t>
      </w:r>
    </w:p>
    <w:p>
      <w:pPr>
        <w:spacing w:line="400" w:lineRule="exact"/>
        <w:ind w:firstLine="480"/>
        <w:rPr>
          <w:rFonts w:ascii="宋体" w:hAnsi="宋体" w:cs="宋体"/>
          <w:sz w:val="24"/>
        </w:rPr>
      </w:pPr>
      <w:r>
        <w:rPr>
          <w:rFonts w:hint="eastAsia" w:ascii="宋体" w:hAnsi="宋体" w:cs="宋体"/>
          <w:sz w:val="24"/>
        </w:rPr>
        <w:t>根据贵方为</w:t>
      </w:r>
      <w:r>
        <w:rPr>
          <w:rFonts w:hint="eastAsia" w:ascii="宋体" w:hAnsi="宋体" w:cs="宋体"/>
          <w:i/>
          <w:sz w:val="24"/>
        </w:rPr>
        <w:t>(</w:t>
      </w:r>
      <w:r>
        <w:rPr>
          <w:rFonts w:hint="eastAsia" w:ascii="宋体" w:hAnsi="宋体" w:cs="宋体"/>
          <w:i/>
          <w:sz w:val="24"/>
          <w:u w:val="single"/>
        </w:rPr>
        <w:t>项目名称</w:t>
      </w:r>
      <w:r>
        <w:rPr>
          <w:rFonts w:hint="eastAsia" w:ascii="宋体" w:hAnsi="宋体" w:cs="宋体"/>
          <w:i/>
          <w:sz w:val="24"/>
        </w:rPr>
        <w:t>)</w:t>
      </w:r>
      <w:r>
        <w:rPr>
          <w:rFonts w:hint="eastAsia" w:ascii="宋体" w:hAnsi="宋体" w:cs="宋体"/>
          <w:sz w:val="24"/>
        </w:rPr>
        <w:t>项目谈判采购货物及有关服务的谈判邀请</w:t>
      </w:r>
      <w:r>
        <w:rPr>
          <w:rFonts w:hint="eastAsia" w:ascii="宋体" w:hAnsi="宋体" w:cs="宋体"/>
          <w:i/>
          <w:sz w:val="24"/>
          <w:u w:val="single"/>
        </w:rPr>
        <w:t>(项目编号)</w:t>
      </w:r>
      <w:r>
        <w:rPr>
          <w:rFonts w:hint="eastAsia" w:ascii="宋体" w:hAnsi="宋体" w:cs="宋体"/>
          <w:sz w:val="24"/>
        </w:rPr>
        <w:t>，签字代表</w:t>
      </w:r>
      <w:r>
        <w:rPr>
          <w:rFonts w:hint="eastAsia" w:ascii="宋体" w:hAnsi="宋体" w:cs="宋体"/>
          <w:i/>
          <w:sz w:val="24"/>
        </w:rPr>
        <w:t>(</w:t>
      </w:r>
      <w:r>
        <w:rPr>
          <w:rFonts w:hint="eastAsia" w:ascii="宋体" w:hAnsi="宋体" w:cs="宋体"/>
          <w:i/>
          <w:sz w:val="24"/>
          <w:u w:val="single"/>
        </w:rPr>
        <w:t>姓名、职务</w:t>
      </w:r>
      <w:r>
        <w:rPr>
          <w:rFonts w:hint="eastAsia" w:ascii="宋体" w:hAnsi="宋体" w:cs="宋体"/>
          <w:i/>
          <w:sz w:val="24"/>
        </w:rPr>
        <w:t>)</w:t>
      </w:r>
      <w:r>
        <w:rPr>
          <w:rFonts w:hint="eastAsia" w:ascii="宋体" w:hAnsi="宋体" w:cs="宋体"/>
          <w:sz w:val="24"/>
        </w:rPr>
        <w:t>经正式授权并代表我方</w:t>
      </w:r>
      <w:r>
        <w:rPr>
          <w:rFonts w:hint="eastAsia" w:ascii="宋体" w:hAnsi="宋体" w:cs="宋体"/>
          <w:i/>
          <w:sz w:val="24"/>
          <w:u w:val="single"/>
        </w:rPr>
        <w:t>(单位名称、地址)</w:t>
      </w:r>
      <w:r>
        <w:rPr>
          <w:rFonts w:hint="eastAsia" w:ascii="宋体" w:hAnsi="宋体" w:cs="宋体"/>
          <w:sz w:val="24"/>
        </w:rPr>
        <w:t>提交下述文件:</w:t>
      </w:r>
    </w:p>
    <w:p>
      <w:pPr>
        <w:spacing w:line="380" w:lineRule="exact"/>
        <w:ind w:left="707" w:hanging="283"/>
        <w:rPr>
          <w:rFonts w:ascii="宋体" w:hAnsi="宋体" w:cs="仿宋"/>
          <w:sz w:val="24"/>
          <w:szCs w:val="24"/>
        </w:rPr>
      </w:pPr>
      <w:r>
        <w:rPr>
          <w:rFonts w:hint="eastAsia" w:ascii="宋体" w:hAnsi="宋体" w:cs="仿宋"/>
          <w:sz w:val="24"/>
          <w:szCs w:val="24"/>
        </w:rPr>
        <w:t>1、响应书</w:t>
      </w:r>
    </w:p>
    <w:p>
      <w:pPr>
        <w:spacing w:line="380" w:lineRule="exact"/>
        <w:ind w:left="707" w:hanging="283"/>
        <w:rPr>
          <w:rFonts w:ascii="宋体" w:hAnsi="宋体" w:cs="仿宋"/>
          <w:sz w:val="24"/>
          <w:szCs w:val="24"/>
        </w:rPr>
      </w:pPr>
      <w:r>
        <w:rPr>
          <w:rFonts w:hint="eastAsia" w:ascii="宋体" w:hAnsi="宋体" w:cs="仿宋"/>
          <w:sz w:val="24"/>
          <w:szCs w:val="24"/>
        </w:rPr>
        <w:t>2、开标一览表</w:t>
      </w:r>
    </w:p>
    <w:p>
      <w:pPr>
        <w:spacing w:line="380" w:lineRule="exact"/>
        <w:ind w:left="707" w:hanging="283"/>
        <w:rPr>
          <w:rFonts w:ascii="宋体" w:hAnsi="宋体" w:cs="仿宋"/>
          <w:sz w:val="24"/>
          <w:szCs w:val="24"/>
        </w:rPr>
      </w:pPr>
      <w:r>
        <w:rPr>
          <w:rFonts w:hint="eastAsia" w:ascii="宋体" w:hAnsi="宋体" w:cs="仿宋"/>
          <w:sz w:val="24"/>
          <w:szCs w:val="24"/>
        </w:rPr>
        <w:t>3、分项报价表</w:t>
      </w:r>
    </w:p>
    <w:p>
      <w:pPr>
        <w:spacing w:line="380" w:lineRule="exact"/>
        <w:ind w:left="707" w:hanging="283"/>
        <w:rPr>
          <w:rFonts w:ascii="宋体" w:hAnsi="宋体" w:cs="仿宋"/>
          <w:sz w:val="24"/>
          <w:szCs w:val="24"/>
        </w:rPr>
      </w:pPr>
      <w:r>
        <w:rPr>
          <w:rFonts w:hint="eastAsia" w:ascii="宋体" w:hAnsi="宋体" w:cs="仿宋"/>
          <w:sz w:val="24"/>
          <w:szCs w:val="24"/>
        </w:rPr>
        <w:t>4、开标一览明细表</w:t>
      </w:r>
    </w:p>
    <w:p>
      <w:pPr>
        <w:spacing w:line="380" w:lineRule="exact"/>
        <w:ind w:left="707" w:hanging="283"/>
        <w:rPr>
          <w:rFonts w:ascii="宋体" w:hAnsi="宋体" w:cs="仿宋"/>
          <w:sz w:val="24"/>
          <w:szCs w:val="24"/>
        </w:rPr>
      </w:pPr>
      <w:r>
        <w:rPr>
          <w:rFonts w:hint="eastAsia" w:ascii="宋体" w:hAnsi="宋体" w:cs="仿宋"/>
          <w:sz w:val="24"/>
          <w:szCs w:val="24"/>
        </w:rPr>
        <w:t>5、技术需求响应/偏离表</w:t>
      </w:r>
    </w:p>
    <w:p>
      <w:pPr>
        <w:spacing w:line="380" w:lineRule="exact"/>
        <w:ind w:left="707" w:hanging="283"/>
        <w:rPr>
          <w:rFonts w:ascii="宋体" w:hAnsi="宋体" w:cs="仿宋"/>
          <w:sz w:val="24"/>
          <w:szCs w:val="24"/>
        </w:rPr>
      </w:pPr>
      <w:r>
        <w:rPr>
          <w:rFonts w:hint="eastAsia" w:ascii="宋体" w:hAnsi="宋体" w:cs="仿宋"/>
          <w:sz w:val="24"/>
          <w:szCs w:val="24"/>
        </w:rPr>
        <w:t>6、商务条件响应/偏离表</w:t>
      </w:r>
    </w:p>
    <w:p>
      <w:pPr>
        <w:spacing w:line="380" w:lineRule="exact"/>
        <w:ind w:left="707" w:hanging="283"/>
        <w:rPr>
          <w:rFonts w:ascii="宋体" w:hAnsi="宋体" w:cs="仿宋"/>
          <w:sz w:val="24"/>
          <w:szCs w:val="24"/>
        </w:rPr>
      </w:pPr>
      <w:r>
        <w:rPr>
          <w:rFonts w:hint="eastAsia" w:ascii="宋体" w:hAnsi="宋体" w:cs="仿宋"/>
          <w:sz w:val="24"/>
          <w:szCs w:val="24"/>
        </w:rPr>
        <w:t>7、为落实政府采购政策供应商须提供的证明材料</w:t>
      </w:r>
    </w:p>
    <w:p>
      <w:pPr>
        <w:spacing w:line="380" w:lineRule="exact"/>
        <w:ind w:left="707" w:hanging="283"/>
        <w:rPr>
          <w:rFonts w:ascii="宋体" w:hAnsi="宋体" w:cs="仿宋"/>
          <w:sz w:val="24"/>
          <w:szCs w:val="24"/>
        </w:rPr>
      </w:pPr>
      <w:r>
        <w:rPr>
          <w:rFonts w:hint="eastAsia" w:ascii="宋体" w:hAnsi="宋体" w:cs="仿宋"/>
          <w:sz w:val="24"/>
          <w:szCs w:val="24"/>
        </w:rPr>
        <w:t>8、技术文件</w:t>
      </w:r>
    </w:p>
    <w:p>
      <w:pPr>
        <w:spacing w:line="380" w:lineRule="exact"/>
        <w:ind w:left="707" w:hanging="283"/>
        <w:rPr>
          <w:rFonts w:ascii="宋体" w:hAnsi="宋体" w:cs="仿宋"/>
          <w:sz w:val="24"/>
          <w:szCs w:val="24"/>
        </w:rPr>
      </w:pPr>
      <w:r>
        <w:rPr>
          <w:rFonts w:hint="eastAsia" w:ascii="宋体" w:hAnsi="宋体" w:cs="仿宋"/>
          <w:sz w:val="24"/>
          <w:szCs w:val="24"/>
        </w:rPr>
        <w:t>9、供应商应当提交的资格、资信证明文件</w:t>
      </w:r>
    </w:p>
    <w:p>
      <w:pPr>
        <w:spacing w:line="380" w:lineRule="exact"/>
        <w:ind w:left="707" w:hanging="283"/>
        <w:rPr>
          <w:rFonts w:ascii="宋体" w:hAnsi="宋体" w:cs="仿宋"/>
          <w:sz w:val="24"/>
          <w:szCs w:val="24"/>
        </w:rPr>
      </w:pPr>
      <w:r>
        <w:rPr>
          <w:rFonts w:hint="eastAsia" w:ascii="宋体" w:hAnsi="宋体" w:cs="仿宋"/>
          <w:sz w:val="24"/>
          <w:szCs w:val="24"/>
        </w:rPr>
        <w:t>10. 其他证明资料</w:t>
      </w:r>
    </w:p>
    <w:p>
      <w:pPr>
        <w:spacing w:line="400" w:lineRule="exact"/>
        <w:ind w:left="707" w:hanging="283"/>
        <w:rPr>
          <w:rFonts w:ascii="宋体" w:hAnsi="宋体" w:cs="宋体"/>
          <w:sz w:val="24"/>
        </w:rPr>
      </w:pPr>
      <w:r>
        <w:rPr>
          <w:rFonts w:hint="eastAsia" w:ascii="宋体" w:hAnsi="宋体" w:cs="宋体"/>
          <w:sz w:val="24"/>
        </w:rPr>
        <w:t>11. 提交的谈判保证金，金额为    。</w:t>
      </w:r>
    </w:p>
    <w:p>
      <w:pPr>
        <w:spacing w:line="400" w:lineRule="exact"/>
        <w:ind w:left="707" w:hanging="283"/>
        <w:rPr>
          <w:rFonts w:ascii="宋体" w:hAnsi="宋体" w:cs="宋体"/>
          <w:sz w:val="24"/>
        </w:rPr>
      </w:pPr>
    </w:p>
    <w:p>
      <w:pPr>
        <w:spacing w:line="400" w:lineRule="exact"/>
        <w:ind w:left="707" w:hanging="283"/>
        <w:rPr>
          <w:rFonts w:ascii="宋体" w:hAnsi="宋体" w:cs="宋体"/>
          <w:sz w:val="24"/>
        </w:rPr>
      </w:pPr>
      <w:r>
        <w:rPr>
          <w:rFonts w:hint="eastAsia" w:ascii="宋体" w:hAnsi="宋体" w:cs="宋体"/>
          <w:sz w:val="24"/>
        </w:rPr>
        <w:t>据此函,签字代表宣布同意如下:</w:t>
      </w:r>
    </w:p>
    <w:p>
      <w:pPr>
        <w:spacing w:line="400" w:lineRule="exact"/>
        <w:ind w:left="707" w:hanging="283"/>
        <w:rPr>
          <w:rFonts w:ascii="宋体" w:hAnsi="宋体" w:cs="宋体"/>
          <w:sz w:val="24"/>
        </w:rPr>
      </w:pPr>
      <w:r>
        <w:rPr>
          <w:rFonts w:hint="eastAsia" w:ascii="宋体" w:hAnsi="宋体" w:cs="宋体"/>
          <w:sz w:val="24"/>
        </w:rPr>
        <w:t>1. 所附报价表中规定的应提交和交付的货物总价为（用文字和数字表示的总价）。</w:t>
      </w:r>
    </w:p>
    <w:p>
      <w:pPr>
        <w:spacing w:line="400" w:lineRule="exact"/>
        <w:ind w:left="707" w:hanging="283"/>
        <w:rPr>
          <w:rFonts w:ascii="宋体" w:hAnsi="宋体" w:cs="宋体"/>
          <w:sz w:val="24"/>
        </w:rPr>
      </w:pPr>
      <w:r>
        <w:rPr>
          <w:rFonts w:hint="eastAsia" w:ascii="宋体" w:hAnsi="宋体" w:cs="宋体"/>
          <w:sz w:val="24"/>
        </w:rPr>
        <w:t>2. 我方将按谈判文件的规定履行合同责任和义务。</w:t>
      </w:r>
    </w:p>
    <w:p>
      <w:pPr>
        <w:spacing w:line="400" w:lineRule="exact"/>
        <w:ind w:left="707" w:hanging="283"/>
        <w:rPr>
          <w:rFonts w:ascii="宋体" w:hAnsi="宋体" w:cs="宋体"/>
          <w:sz w:val="24"/>
        </w:rPr>
      </w:pPr>
      <w:r>
        <w:rPr>
          <w:rFonts w:hint="eastAsia" w:ascii="宋体" w:hAnsi="宋体" w:cs="宋体"/>
          <w:sz w:val="24"/>
        </w:rPr>
        <w:t>3. 我方已详细审查全部谈判文件，包括第</w:t>
      </w:r>
      <w:r>
        <w:rPr>
          <w:rFonts w:hint="eastAsia" w:ascii="宋体" w:hAnsi="宋体" w:cs="宋体"/>
          <w:sz w:val="24"/>
          <w:u w:val="single"/>
        </w:rPr>
        <w:t>(编号、补遗函)(如果有的话)。</w:t>
      </w:r>
      <w:r>
        <w:rPr>
          <w:rFonts w:hint="eastAsia" w:ascii="宋体" w:hAnsi="宋体" w:cs="宋体"/>
          <w:sz w:val="24"/>
        </w:rPr>
        <w:t>我们完全理解并同意放弃对这方面有不明及误解的权力。</w:t>
      </w:r>
    </w:p>
    <w:p>
      <w:pPr>
        <w:spacing w:line="400" w:lineRule="exact"/>
        <w:ind w:left="707" w:hanging="283"/>
        <w:rPr>
          <w:rFonts w:ascii="宋体" w:hAnsi="宋体" w:cs="宋体"/>
          <w:sz w:val="24"/>
        </w:rPr>
      </w:pPr>
      <w:r>
        <w:rPr>
          <w:rFonts w:hint="eastAsia" w:ascii="宋体" w:hAnsi="宋体" w:cs="宋体"/>
          <w:sz w:val="24"/>
        </w:rPr>
        <w:t xml:space="preserve">4. 本谈判有效期为自谈判之日起 </w:t>
      </w:r>
      <w:r>
        <w:rPr>
          <w:rFonts w:hint="eastAsia" w:ascii="宋体" w:hAnsi="宋体" w:cs="宋体"/>
          <w:sz w:val="24"/>
          <w:u w:val="single"/>
        </w:rPr>
        <w:t xml:space="preserve">  90  </w:t>
      </w:r>
      <w:r>
        <w:rPr>
          <w:rFonts w:hint="eastAsia" w:ascii="宋体" w:hAnsi="宋体" w:cs="宋体"/>
          <w:sz w:val="24"/>
        </w:rPr>
        <w:t>天。</w:t>
      </w:r>
    </w:p>
    <w:p>
      <w:pPr>
        <w:spacing w:line="400" w:lineRule="exact"/>
        <w:ind w:left="707" w:hanging="283"/>
        <w:rPr>
          <w:rFonts w:ascii="宋体" w:hAnsi="宋体" w:cs="宋体"/>
          <w:sz w:val="24"/>
        </w:rPr>
      </w:pPr>
      <w:r>
        <w:rPr>
          <w:rFonts w:hint="eastAsia" w:ascii="宋体" w:hAnsi="宋体" w:cs="宋体"/>
          <w:sz w:val="24"/>
        </w:rPr>
        <w:t>5. 如果在规定的谈判时间后，我方在谈判有效期内撤回响应文件，谈判保证金不予退还。</w:t>
      </w:r>
    </w:p>
    <w:p>
      <w:pPr>
        <w:spacing w:line="400" w:lineRule="exact"/>
        <w:ind w:left="707" w:hanging="283"/>
        <w:rPr>
          <w:rFonts w:ascii="宋体" w:hAnsi="宋体" w:cs="宋体"/>
          <w:sz w:val="24"/>
        </w:rPr>
      </w:pPr>
      <w:r>
        <w:rPr>
          <w:rFonts w:hint="eastAsia" w:ascii="宋体" w:hAnsi="宋体" w:cs="宋体"/>
          <w:sz w:val="24"/>
        </w:rPr>
        <w:t>6. 我方同意提供按照贵方可能要求的与其谈判有关的一切数据或资料。</w:t>
      </w:r>
    </w:p>
    <w:p>
      <w:pPr>
        <w:spacing w:line="400" w:lineRule="exact"/>
        <w:ind w:left="707" w:hanging="283"/>
        <w:rPr>
          <w:rFonts w:ascii="宋体" w:hAnsi="宋体" w:cs="宋体"/>
          <w:sz w:val="24"/>
        </w:rPr>
      </w:pPr>
      <w:r>
        <w:rPr>
          <w:rFonts w:hint="eastAsia" w:ascii="宋体" w:hAnsi="宋体" w:cs="宋体"/>
          <w:sz w:val="24"/>
        </w:rPr>
        <w:t>7. 与本谈判有关的一切正式往来信函请寄:</w:t>
      </w:r>
    </w:p>
    <w:p>
      <w:pPr>
        <w:spacing w:line="400" w:lineRule="exact"/>
        <w:ind w:left="707" w:hanging="283"/>
        <w:rPr>
          <w:rFonts w:ascii="宋体" w:hAnsi="宋体" w:cs="宋体"/>
          <w:sz w:val="24"/>
        </w:rPr>
      </w:pPr>
    </w:p>
    <w:p>
      <w:pPr>
        <w:spacing w:line="432" w:lineRule="auto"/>
        <w:rPr>
          <w:rFonts w:ascii="宋体" w:hAnsi="宋体" w:cs="宋体"/>
          <w:sz w:val="24"/>
          <w:u w:val="single"/>
        </w:rPr>
      </w:pPr>
      <w:r>
        <w:rPr>
          <w:rFonts w:hint="eastAsia" w:ascii="宋体" w:hAnsi="宋体" w:cs="宋体"/>
          <w:sz w:val="24"/>
        </w:rPr>
        <w:t>地址    传真</w:t>
      </w:r>
    </w:p>
    <w:p>
      <w:pPr>
        <w:spacing w:line="432" w:lineRule="auto"/>
        <w:rPr>
          <w:rFonts w:ascii="宋体" w:hAnsi="宋体" w:cs="宋体"/>
          <w:sz w:val="24"/>
          <w:u w:val="single"/>
        </w:rPr>
      </w:pPr>
      <w:r>
        <w:rPr>
          <w:rFonts w:hint="eastAsia" w:ascii="宋体" w:hAnsi="宋体" w:cs="宋体"/>
          <w:sz w:val="24"/>
        </w:rPr>
        <w:t>电话    电子邮件</w:t>
      </w: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u w:val="single"/>
        </w:rPr>
      </w:pPr>
      <w:r>
        <w:rPr>
          <w:rFonts w:hint="eastAsia" w:ascii="宋体" w:hAnsi="宋体" w:cs="宋体"/>
          <w:sz w:val="24"/>
        </w:rPr>
        <w:t xml:space="preserve">法定代表人或委托代理签字或签章： </w:t>
      </w:r>
    </w:p>
    <w:p>
      <w:pPr>
        <w:spacing w:line="432" w:lineRule="auto"/>
        <w:rPr>
          <w:rFonts w:ascii="宋体" w:hAnsi="宋体" w:cs="宋体"/>
          <w:sz w:val="24"/>
        </w:rPr>
      </w:pPr>
      <w:r>
        <w:rPr>
          <w:rFonts w:hint="eastAsia" w:ascii="宋体" w:hAnsi="宋体" w:cs="宋体"/>
          <w:sz w:val="24"/>
        </w:rPr>
        <w:t>日期：</w:t>
      </w:r>
    </w:p>
    <w:p>
      <w:pPr>
        <w:spacing w:line="432" w:lineRule="auto"/>
        <w:jc w:val="center"/>
        <w:rPr>
          <w:rFonts w:ascii="宋体" w:hAnsi="宋体" w:cs="宋体"/>
          <w:sz w:val="28"/>
        </w:rPr>
        <w:sectPr>
          <w:footerReference r:id="rId6" w:type="default"/>
          <w:pgSz w:w="11907" w:h="16840"/>
          <w:pgMar w:top="1474" w:right="1134" w:bottom="1474" w:left="1134" w:header="720" w:footer="720" w:gutter="0"/>
          <w:cols w:space="720" w:num="1"/>
          <w:docGrid w:linePitch="285" w:charSpace="0"/>
        </w:sectPr>
      </w:pPr>
    </w:p>
    <w:p>
      <w:pPr>
        <w:pStyle w:val="4"/>
        <w:jc w:val="center"/>
        <w:rPr>
          <w:rFonts w:ascii="宋体" w:hAnsi="宋体" w:eastAsia="宋体" w:cs="仿宋"/>
          <w:sz w:val="24"/>
          <w:szCs w:val="24"/>
        </w:rPr>
      </w:pPr>
      <w:bookmarkStart w:id="74" w:name="_Toc474492110"/>
      <w:bookmarkStart w:id="75" w:name="_Toc23552"/>
      <w:bookmarkStart w:id="76" w:name="_Toc501638138"/>
      <w:r>
        <w:rPr>
          <w:rFonts w:hint="eastAsia" w:ascii="宋体" w:hAnsi="宋体" w:eastAsia="宋体" w:cs="仿宋"/>
          <w:sz w:val="24"/>
          <w:szCs w:val="24"/>
        </w:rPr>
        <w:t>格式2.开标一览表</w:t>
      </w:r>
      <w:bookmarkEnd w:id="74"/>
      <w:bookmarkEnd w:id="75"/>
    </w:p>
    <w:p>
      <w:pPr>
        <w:spacing w:line="400" w:lineRule="exact"/>
        <w:rPr>
          <w:rFonts w:ascii="宋体" w:hAnsi="宋体" w:cs="仿宋"/>
          <w:sz w:val="24"/>
          <w:szCs w:val="24"/>
        </w:rPr>
      </w:pPr>
    </w:p>
    <w:p>
      <w:pPr>
        <w:spacing w:line="400" w:lineRule="exact"/>
        <w:jc w:val="center"/>
        <w:rPr>
          <w:rFonts w:ascii="宋体" w:hAnsi="宋体" w:cs="仿宋"/>
          <w:b/>
          <w:sz w:val="24"/>
          <w:szCs w:val="24"/>
        </w:rPr>
      </w:pPr>
      <w:r>
        <w:rPr>
          <w:rFonts w:hint="eastAsia" w:ascii="宋体" w:hAnsi="宋体" w:cs="仿宋"/>
          <w:b/>
          <w:sz w:val="24"/>
          <w:szCs w:val="24"/>
        </w:rPr>
        <w:t>投标人按照电子化政府采购谈判要求填写</w:t>
      </w:r>
    </w:p>
    <w:p>
      <w:pPr>
        <w:spacing w:line="432" w:lineRule="auto"/>
        <w:rPr>
          <w:rFonts w:ascii="宋体" w:hAnsi="宋体" w:cs="仿宋"/>
          <w:sz w:val="24"/>
          <w:szCs w:val="24"/>
        </w:rPr>
      </w:pPr>
    </w:p>
    <w:p>
      <w:pPr>
        <w:spacing w:line="432" w:lineRule="auto"/>
        <w:rPr>
          <w:rFonts w:ascii="宋体" w:hAnsi="宋体" w:cs="仿宋"/>
          <w:sz w:val="24"/>
          <w:szCs w:val="24"/>
          <w:u w:val="single"/>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pStyle w:val="4"/>
        <w:jc w:val="center"/>
        <w:rPr>
          <w:rFonts w:ascii="宋体" w:hAnsi="宋体" w:eastAsia="宋体" w:cs="仿宋"/>
          <w:sz w:val="24"/>
          <w:szCs w:val="24"/>
        </w:rPr>
      </w:pPr>
      <w:bookmarkStart w:id="77" w:name="_Toc8385"/>
      <w:bookmarkStart w:id="78" w:name="_Toc474492111"/>
      <w:r>
        <w:rPr>
          <w:rFonts w:hint="eastAsia" w:ascii="宋体" w:hAnsi="宋体" w:eastAsia="宋体" w:cs="仿宋"/>
          <w:sz w:val="24"/>
          <w:szCs w:val="24"/>
        </w:rPr>
        <w:t>格式3.分项报价表</w:t>
      </w:r>
      <w:bookmarkEnd w:id="77"/>
      <w:bookmarkEnd w:id="78"/>
    </w:p>
    <w:p>
      <w:pPr>
        <w:spacing w:line="400" w:lineRule="exact"/>
        <w:jc w:val="center"/>
        <w:rPr>
          <w:rFonts w:ascii="宋体" w:hAnsi="宋体" w:cs="仿宋"/>
          <w:b/>
          <w:sz w:val="24"/>
          <w:szCs w:val="24"/>
        </w:rPr>
      </w:pPr>
      <w:r>
        <w:rPr>
          <w:rFonts w:hint="eastAsia" w:ascii="宋体" w:hAnsi="宋体" w:cs="仿宋"/>
          <w:b/>
          <w:sz w:val="24"/>
          <w:szCs w:val="24"/>
        </w:rPr>
        <w:t>投标人按照电子化政府采购谈判要求填写</w:t>
      </w:r>
    </w:p>
    <w:p>
      <w:pPr>
        <w:pStyle w:val="2"/>
        <w:rPr>
          <w:rFonts w:ascii="宋体" w:hAnsi="宋体" w:cs="仿宋"/>
          <w:b/>
          <w:sz w:val="24"/>
          <w:szCs w:val="24"/>
        </w:rPr>
      </w:pPr>
    </w:p>
    <w:p/>
    <w:p>
      <w:pPr>
        <w:pStyle w:val="4"/>
        <w:spacing w:before="0" w:after="0" w:line="460" w:lineRule="exact"/>
        <w:jc w:val="center"/>
        <w:rPr>
          <w:rFonts w:ascii="宋体" w:hAnsi="宋体" w:eastAsia="宋体" w:cs="宋体"/>
          <w:sz w:val="24"/>
          <w:szCs w:val="24"/>
        </w:rPr>
      </w:pPr>
      <w:r>
        <w:rPr>
          <w:rFonts w:hint="eastAsia" w:ascii="宋体" w:hAnsi="宋体" w:eastAsia="宋体" w:cs="宋体"/>
          <w:sz w:val="24"/>
        </w:rPr>
        <w:t>格式</w:t>
      </w:r>
      <w:r>
        <w:rPr>
          <w:rFonts w:hint="eastAsia" w:ascii="宋体" w:hAnsi="宋体" w:eastAsia="宋体" w:cs="宋体"/>
          <w:sz w:val="30"/>
          <w:szCs w:val="30"/>
        </w:rPr>
        <w:t>4．</w:t>
      </w:r>
      <w:bookmarkEnd w:id="76"/>
      <w:r>
        <w:rPr>
          <w:rFonts w:hint="eastAsia" w:ascii="宋体" w:hAnsi="宋体" w:eastAsia="宋体" w:cs="宋体"/>
          <w:sz w:val="24"/>
          <w:szCs w:val="24"/>
        </w:rPr>
        <w:t>开标一览表明细</w:t>
      </w:r>
    </w:p>
    <w:p>
      <w:pPr>
        <w:pStyle w:val="4"/>
        <w:spacing w:before="0" w:after="0" w:line="460" w:lineRule="exact"/>
        <w:jc w:val="center"/>
        <w:rPr>
          <w:rFonts w:ascii="宋体" w:hAnsi="宋体" w:eastAsia="宋体" w:cs="宋体"/>
          <w:sz w:val="24"/>
        </w:rPr>
      </w:pPr>
    </w:p>
    <w:p>
      <w:pPr>
        <w:spacing w:line="460" w:lineRule="exact"/>
        <w:rPr>
          <w:rFonts w:ascii="宋体" w:hAnsi="宋体" w:cs="宋体"/>
          <w:sz w:val="24"/>
          <w:u w:val="single"/>
        </w:rPr>
      </w:pPr>
      <w:r>
        <w:rPr>
          <w:rFonts w:hint="eastAsia" w:ascii="宋体" w:hAnsi="宋体" w:cs="宋体"/>
          <w:sz w:val="24"/>
        </w:rPr>
        <w:t xml:space="preserve">供应商名称：                                                              项目编号：                          </w:t>
      </w:r>
    </w:p>
    <w:tbl>
      <w:tblPr>
        <w:tblStyle w:val="20"/>
        <w:tblW w:w="1447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683"/>
        <w:gridCol w:w="1511"/>
        <w:gridCol w:w="1263"/>
        <w:gridCol w:w="1204"/>
        <w:gridCol w:w="1230"/>
        <w:gridCol w:w="1313"/>
        <w:gridCol w:w="1026"/>
        <w:gridCol w:w="2041"/>
        <w:gridCol w:w="149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5" w:type="dxa"/>
            <w:noWrap/>
            <w:vAlign w:val="center"/>
          </w:tcPr>
          <w:p>
            <w:pPr>
              <w:spacing w:line="460" w:lineRule="exact"/>
              <w:jc w:val="center"/>
              <w:rPr>
                <w:rFonts w:ascii="宋体" w:hAnsi="宋体" w:cs="宋体"/>
                <w:sz w:val="24"/>
              </w:rPr>
            </w:pPr>
            <w:r>
              <w:rPr>
                <w:rFonts w:hint="eastAsia" w:ascii="宋体" w:hAnsi="宋体" w:cs="宋体"/>
                <w:sz w:val="24"/>
              </w:rPr>
              <w:t>序号</w:t>
            </w:r>
          </w:p>
        </w:tc>
        <w:tc>
          <w:tcPr>
            <w:tcW w:w="1683" w:type="dxa"/>
            <w:noWrap/>
            <w:vAlign w:val="center"/>
          </w:tcPr>
          <w:p>
            <w:pPr>
              <w:spacing w:line="460" w:lineRule="exact"/>
              <w:jc w:val="center"/>
              <w:rPr>
                <w:rFonts w:ascii="宋体" w:hAnsi="宋体" w:cs="宋体"/>
                <w:sz w:val="24"/>
              </w:rPr>
            </w:pPr>
            <w:r>
              <w:rPr>
                <w:rFonts w:hint="eastAsia" w:ascii="宋体" w:hAnsi="宋体" w:cs="宋体"/>
                <w:sz w:val="24"/>
              </w:rPr>
              <w:t>货物名称</w:t>
            </w:r>
          </w:p>
        </w:tc>
        <w:tc>
          <w:tcPr>
            <w:tcW w:w="1511" w:type="dxa"/>
            <w:noWrap/>
            <w:vAlign w:val="center"/>
          </w:tcPr>
          <w:p>
            <w:pPr>
              <w:spacing w:line="460" w:lineRule="exact"/>
              <w:jc w:val="center"/>
              <w:rPr>
                <w:rFonts w:ascii="宋体" w:hAnsi="宋体" w:cs="宋体"/>
                <w:sz w:val="24"/>
              </w:rPr>
            </w:pPr>
            <w:r>
              <w:rPr>
                <w:rFonts w:hint="eastAsia" w:ascii="宋体" w:hAnsi="宋体" w:cs="宋体"/>
                <w:sz w:val="24"/>
              </w:rPr>
              <w:t>制造商、品牌</w:t>
            </w:r>
          </w:p>
        </w:tc>
        <w:tc>
          <w:tcPr>
            <w:tcW w:w="1263" w:type="dxa"/>
            <w:noWrap/>
            <w:vAlign w:val="center"/>
          </w:tcPr>
          <w:p>
            <w:pPr>
              <w:spacing w:line="460" w:lineRule="exact"/>
              <w:jc w:val="center"/>
              <w:rPr>
                <w:rFonts w:ascii="宋体" w:hAnsi="宋体" w:cs="宋体"/>
                <w:sz w:val="24"/>
              </w:rPr>
            </w:pPr>
            <w:r>
              <w:rPr>
                <w:rFonts w:hint="eastAsia" w:ascii="宋体" w:hAnsi="宋体" w:cs="宋体"/>
                <w:sz w:val="24"/>
              </w:rPr>
              <w:t>规格、型号</w:t>
            </w:r>
          </w:p>
        </w:tc>
        <w:tc>
          <w:tcPr>
            <w:tcW w:w="1204" w:type="dxa"/>
            <w:noWrap/>
            <w:vAlign w:val="center"/>
          </w:tcPr>
          <w:p>
            <w:pPr>
              <w:spacing w:line="460" w:lineRule="exact"/>
              <w:jc w:val="center"/>
              <w:rPr>
                <w:rFonts w:ascii="宋体" w:hAnsi="宋体" w:cs="宋体"/>
                <w:sz w:val="24"/>
              </w:rPr>
            </w:pPr>
            <w:r>
              <w:rPr>
                <w:rFonts w:hint="eastAsia" w:ascii="宋体" w:hAnsi="宋体" w:cs="宋体"/>
                <w:sz w:val="24"/>
              </w:rPr>
              <w:t>产地</w:t>
            </w:r>
          </w:p>
        </w:tc>
        <w:tc>
          <w:tcPr>
            <w:tcW w:w="1230" w:type="dxa"/>
            <w:noWrap/>
            <w:vAlign w:val="center"/>
          </w:tcPr>
          <w:p>
            <w:pPr>
              <w:spacing w:line="460" w:lineRule="exact"/>
              <w:jc w:val="center"/>
              <w:rPr>
                <w:rFonts w:ascii="宋体" w:hAnsi="宋体" w:cs="宋体"/>
                <w:sz w:val="24"/>
              </w:rPr>
            </w:pPr>
            <w:r>
              <w:rPr>
                <w:rFonts w:hint="eastAsia" w:ascii="宋体" w:hAnsi="宋体" w:cs="宋体"/>
                <w:sz w:val="24"/>
              </w:rPr>
              <w:t>数量</w:t>
            </w:r>
          </w:p>
        </w:tc>
        <w:tc>
          <w:tcPr>
            <w:tcW w:w="1313" w:type="dxa"/>
            <w:noWrap/>
            <w:vAlign w:val="center"/>
          </w:tcPr>
          <w:p>
            <w:pPr>
              <w:spacing w:line="460" w:lineRule="exact"/>
              <w:jc w:val="center"/>
              <w:rPr>
                <w:rFonts w:ascii="宋体" w:hAnsi="宋体" w:cs="宋体"/>
                <w:sz w:val="24"/>
              </w:rPr>
            </w:pPr>
            <w:r>
              <w:rPr>
                <w:rFonts w:hint="eastAsia" w:ascii="宋体" w:hAnsi="宋体" w:cs="宋体"/>
                <w:sz w:val="24"/>
              </w:rPr>
              <w:t xml:space="preserve"> 单 价</w:t>
            </w:r>
          </w:p>
          <w:p>
            <w:pPr>
              <w:spacing w:line="460" w:lineRule="exact"/>
              <w:jc w:val="center"/>
              <w:rPr>
                <w:rFonts w:ascii="宋体" w:hAnsi="宋体" w:cs="宋体"/>
                <w:sz w:val="24"/>
              </w:rPr>
            </w:pPr>
            <w:r>
              <w:rPr>
                <w:rFonts w:hint="eastAsia" w:ascii="宋体" w:hAnsi="宋体" w:cs="宋体"/>
                <w:sz w:val="24"/>
              </w:rPr>
              <w:t>（元）</w:t>
            </w:r>
          </w:p>
        </w:tc>
        <w:tc>
          <w:tcPr>
            <w:tcW w:w="1026" w:type="dxa"/>
            <w:noWrap/>
            <w:vAlign w:val="center"/>
          </w:tcPr>
          <w:p>
            <w:pPr>
              <w:spacing w:line="460" w:lineRule="exact"/>
              <w:jc w:val="center"/>
              <w:rPr>
                <w:rFonts w:ascii="宋体" w:hAnsi="宋体" w:cs="宋体"/>
                <w:sz w:val="24"/>
              </w:rPr>
            </w:pPr>
            <w:r>
              <w:rPr>
                <w:rFonts w:hint="eastAsia" w:ascii="宋体" w:hAnsi="宋体" w:cs="宋体"/>
                <w:sz w:val="24"/>
              </w:rPr>
              <w:t>总价（元）</w:t>
            </w:r>
          </w:p>
        </w:tc>
        <w:tc>
          <w:tcPr>
            <w:tcW w:w="2041" w:type="dxa"/>
            <w:noWrap/>
            <w:vAlign w:val="center"/>
          </w:tcPr>
          <w:p>
            <w:pPr>
              <w:spacing w:line="460" w:lineRule="exact"/>
              <w:jc w:val="center"/>
              <w:rPr>
                <w:rFonts w:ascii="宋体" w:hAnsi="宋体" w:cs="宋体"/>
                <w:sz w:val="24"/>
              </w:rPr>
            </w:pPr>
            <w:r>
              <w:rPr>
                <w:rFonts w:hint="eastAsia" w:ascii="宋体" w:hAnsi="宋体" w:cs="宋体"/>
                <w:sz w:val="24"/>
              </w:rPr>
              <w:t>是否属于</w:t>
            </w:r>
            <w:r>
              <w:rPr>
                <w:rFonts w:hint="eastAsia" w:ascii="宋体" w:hAnsi="宋体" w:cs="仿宋"/>
                <w:sz w:val="24"/>
                <w:szCs w:val="24"/>
              </w:rPr>
              <w:t>中小</w:t>
            </w:r>
            <w:r>
              <w:rPr>
                <w:rFonts w:hint="eastAsia" w:ascii="宋体" w:hAnsi="宋体" w:cs="宋体"/>
                <w:sz w:val="24"/>
              </w:rPr>
              <w:t>、微企业或监狱企业或残疾人福利性单位产品</w:t>
            </w:r>
          </w:p>
        </w:tc>
        <w:tc>
          <w:tcPr>
            <w:tcW w:w="1497" w:type="dxa"/>
            <w:noWrap/>
            <w:vAlign w:val="center"/>
          </w:tcPr>
          <w:p>
            <w:pPr>
              <w:spacing w:line="460" w:lineRule="exact"/>
              <w:jc w:val="center"/>
              <w:rPr>
                <w:rFonts w:ascii="宋体" w:hAnsi="宋体" w:cs="宋体"/>
                <w:sz w:val="24"/>
              </w:rPr>
            </w:pPr>
            <w:r>
              <w:rPr>
                <w:rFonts w:hint="eastAsia" w:ascii="宋体" w:hAnsi="宋体" w:cs="宋体"/>
                <w:sz w:val="24"/>
              </w:rPr>
              <w:t>是否属于品目清单内的节能产品、环境标志产品</w:t>
            </w:r>
          </w:p>
        </w:tc>
        <w:tc>
          <w:tcPr>
            <w:tcW w:w="872" w:type="dxa"/>
            <w:noWrap/>
            <w:vAlign w:val="center"/>
          </w:tcPr>
          <w:p>
            <w:pPr>
              <w:spacing w:line="460" w:lineRule="exact"/>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b/>
                <w:bCs/>
                <w:sz w:val="24"/>
              </w:rPr>
            </w:pPr>
            <w:r>
              <w:rPr>
                <w:rFonts w:hint="eastAsia" w:ascii="宋体" w:hAnsi="宋体" w:cs="宋体"/>
                <w:b/>
                <w:bCs/>
                <w:sz w:val="24"/>
              </w:rPr>
              <w:t xml:space="preserve">填表须知：详见注1      </w:t>
            </w:r>
          </w:p>
        </w:tc>
        <w:tc>
          <w:tcPr>
            <w:tcW w:w="1497" w:type="dxa"/>
            <w:noWrap/>
          </w:tcPr>
          <w:p>
            <w:pPr>
              <w:spacing w:line="460" w:lineRule="exact"/>
              <w:jc w:val="center"/>
              <w:rPr>
                <w:rFonts w:ascii="宋体" w:hAnsi="宋体" w:cs="宋体"/>
                <w:b/>
                <w:bCs/>
                <w:sz w:val="24"/>
              </w:rPr>
            </w:pPr>
            <w:r>
              <w:rPr>
                <w:rFonts w:hint="eastAsia" w:ascii="宋体" w:hAnsi="宋体" w:cs="宋体"/>
                <w:b/>
                <w:bCs/>
                <w:sz w:val="24"/>
              </w:rPr>
              <w:t>填表须知：详见注2</w:t>
            </w: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sz w:val="24"/>
              </w:rPr>
            </w:pPr>
          </w:p>
        </w:tc>
        <w:tc>
          <w:tcPr>
            <w:tcW w:w="1497" w:type="dxa"/>
            <w:noWrap/>
          </w:tcPr>
          <w:p>
            <w:pPr>
              <w:spacing w:line="460" w:lineRule="exact"/>
              <w:jc w:val="center"/>
              <w:rPr>
                <w:rFonts w:ascii="宋体" w:hAnsi="宋体" w:cs="宋体"/>
                <w:sz w:val="24"/>
              </w:rPr>
            </w:pP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sz w:val="24"/>
              </w:rPr>
            </w:pPr>
          </w:p>
        </w:tc>
        <w:tc>
          <w:tcPr>
            <w:tcW w:w="1497" w:type="dxa"/>
            <w:noWrap/>
          </w:tcPr>
          <w:p>
            <w:pPr>
              <w:spacing w:line="460" w:lineRule="exact"/>
              <w:jc w:val="center"/>
              <w:rPr>
                <w:rFonts w:ascii="宋体" w:hAnsi="宋体" w:cs="宋体"/>
                <w:sz w:val="24"/>
              </w:rPr>
            </w:pP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sz w:val="24"/>
              </w:rPr>
            </w:pPr>
          </w:p>
        </w:tc>
        <w:tc>
          <w:tcPr>
            <w:tcW w:w="1497" w:type="dxa"/>
            <w:noWrap/>
          </w:tcPr>
          <w:p>
            <w:pPr>
              <w:spacing w:line="460" w:lineRule="exact"/>
              <w:jc w:val="center"/>
              <w:rPr>
                <w:rFonts w:ascii="宋体" w:hAnsi="宋体" w:cs="宋体"/>
                <w:sz w:val="24"/>
              </w:rPr>
            </w:pP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7726" w:type="dxa"/>
            <w:gridSpan w:val="6"/>
            <w:noWrap/>
            <w:vAlign w:val="center"/>
          </w:tcPr>
          <w:p>
            <w:pPr>
              <w:spacing w:line="460" w:lineRule="exact"/>
              <w:rPr>
                <w:rFonts w:ascii="宋体" w:hAnsi="宋体" w:cs="宋体"/>
                <w:sz w:val="24"/>
              </w:rPr>
            </w:pPr>
            <w:r>
              <w:rPr>
                <w:rFonts w:hint="eastAsia" w:ascii="宋体" w:hAnsi="宋体" w:cs="宋体"/>
                <w:sz w:val="24"/>
              </w:rPr>
              <w:t xml:space="preserve">合     计：（大写）                                      </w:t>
            </w:r>
          </w:p>
        </w:tc>
        <w:tc>
          <w:tcPr>
            <w:tcW w:w="6749" w:type="dxa"/>
            <w:gridSpan w:val="5"/>
            <w:noWrap/>
            <w:vAlign w:val="center"/>
          </w:tcPr>
          <w:p>
            <w:pPr>
              <w:spacing w:line="460" w:lineRule="exact"/>
              <w:rPr>
                <w:rFonts w:ascii="宋体" w:hAnsi="宋体" w:cs="宋体"/>
                <w:sz w:val="24"/>
              </w:rPr>
            </w:pPr>
            <w:r>
              <w:rPr>
                <w:rFonts w:hint="eastAsia" w:ascii="宋体" w:hAnsi="宋体" w:cs="宋体"/>
                <w:sz w:val="24"/>
              </w:rPr>
              <w:t xml:space="preserve"> ¥：（小写）</w:t>
            </w:r>
          </w:p>
        </w:tc>
      </w:tr>
    </w:tbl>
    <w:p>
      <w:pPr>
        <w:spacing w:line="360" w:lineRule="exact"/>
        <w:ind w:left="843" w:hanging="843" w:hangingChars="350"/>
        <w:rPr>
          <w:rFonts w:ascii="宋体" w:hAnsi="宋体" w:cs="宋体"/>
          <w:sz w:val="24"/>
        </w:rPr>
      </w:pPr>
      <w:r>
        <w:rPr>
          <w:rFonts w:hint="eastAsia" w:ascii="宋体" w:hAnsi="宋体" w:cs="宋体"/>
          <w:b/>
          <w:sz w:val="24"/>
        </w:rPr>
        <w:t>注：</w:t>
      </w:r>
      <w:r>
        <w:rPr>
          <w:rFonts w:hint="eastAsia" w:ascii="宋体" w:hAnsi="宋体" w:cs="宋体"/>
          <w:sz w:val="24"/>
        </w:rPr>
        <w:t>1、</w:t>
      </w:r>
      <w:r>
        <w:rPr>
          <w:rFonts w:hint="eastAsia" w:ascii="宋体" w:hAnsi="宋体" w:cs="仿宋"/>
          <w:sz w:val="24"/>
          <w:szCs w:val="24"/>
        </w:rPr>
        <w:t>中小、</w:t>
      </w:r>
      <w:r>
        <w:rPr>
          <w:rFonts w:hint="eastAsia" w:ascii="宋体" w:hAnsi="宋体" w:cs="宋体"/>
          <w:sz w:val="24"/>
        </w:rPr>
        <w:t>微企业、监狱企业或残疾人福利性单位产品须在分项报价表中注明，并在响应文件中提供相应证明材料，否则产生的一切后果由供应商承担。</w:t>
      </w:r>
    </w:p>
    <w:p>
      <w:pPr>
        <w:spacing w:line="360" w:lineRule="exact"/>
        <w:ind w:left="839" w:leftChars="228" w:hanging="360" w:hangingChars="150"/>
        <w:rPr>
          <w:rFonts w:ascii="宋体" w:hAnsi="宋体" w:cs="宋体"/>
          <w:sz w:val="24"/>
        </w:rPr>
      </w:pPr>
      <w:r>
        <w:rPr>
          <w:rFonts w:hint="eastAsia" w:ascii="宋体" w:hAnsi="宋体" w:cs="宋体"/>
          <w:sz w:val="24"/>
        </w:rPr>
        <w:t>2、属于</w:t>
      </w:r>
      <w:r>
        <w:rPr>
          <w:rFonts w:hint="eastAsia" w:ascii="宋体" w:hAnsi="宋体" w:cs="宋体"/>
          <w:sz w:val="24"/>
          <w:szCs w:val="24"/>
        </w:rPr>
        <w:t>《节能产品政府采购品目清单》、《环境标志产品政府采购品目清单》</w:t>
      </w:r>
      <w:r>
        <w:rPr>
          <w:rFonts w:hint="eastAsia" w:ascii="宋体" w:hAnsi="宋体" w:cs="宋体"/>
          <w:sz w:val="24"/>
        </w:rPr>
        <w:t>的产品需备注注明，同时</w:t>
      </w:r>
      <w:r>
        <w:rPr>
          <w:rFonts w:hint="eastAsia" w:ascii="宋体" w:hAnsi="宋体" w:cs="宋体"/>
          <w:bCs/>
          <w:sz w:val="24"/>
          <w:szCs w:val="24"/>
        </w:rPr>
        <w:t>提供</w:t>
      </w:r>
      <w:r>
        <w:rPr>
          <w:rFonts w:hint="eastAsia" w:ascii="宋体" w:hAnsi="宋体" w:cs="宋体"/>
          <w:sz w:val="24"/>
        </w:rPr>
        <w:t>该产品</w:t>
      </w:r>
      <w:r>
        <w:rPr>
          <w:rFonts w:hint="eastAsia" w:ascii="宋体" w:hAnsi="宋体" w:cs="宋体"/>
          <w:bCs/>
          <w:sz w:val="24"/>
          <w:szCs w:val="24"/>
        </w:rPr>
        <w:t>所在清单页的扫描件或网页截图，并</w:t>
      </w:r>
      <w:r>
        <w:rPr>
          <w:rFonts w:hint="eastAsia" w:ascii="宋体" w:hAnsi="宋体" w:cs="宋体"/>
          <w:kern w:val="0"/>
          <w:sz w:val="24"/>
        </w:rPr>
        <w:t>提供证书扫描件</w:t>
      </w:r>
      <w:r>
        <w:rPr>
          <w:rFonts w:hint="eastAsia" w:ascii="宋体" w:hAnsi="宋体" w:cs="宋体"/>
          <w:sz w:val="24"/>
        </w:rPr>
        <w:t>，否则产生的一切后果由供应商承担。（不属于</w:t>
      </w:r>
      <w:r>
        <w:rPr>
          <w:rFonts w:hint="eastAsia" w:ascii="宋体" w:hAnsi="宋体" w:cs="宋体"/>
          <w:sz w:val="24"/>
          <w:szCs w:val="24"/>
        </w:rPr>
        <w:t>节能产品、</w:t>
      </w:r>
      <w:r>
        <w:rPr>
          <w:rFonts w:hint="eastAsia" w:ascii="宋体" w:hAnsi="宋体" w:cs="宋体"/>
          <w:bCs/>
          <w:sz w:val="24"/>
          <w:szCs w:val="24"/>
        </w:rPr>
        <w:t>环境标志产品</w:t>
      </w:r>
      <w:r>
        <w:rPr>
          <w:rFonts w:hint="eastAsia" w:ascii="宋体" w:hAnsi="宋体" w:cs="宋体"/>
          <w:sz w:val="24"/>
        </w:rPr>
        <w:t>的不需提供）</w:t>
      </w:r>
    </w:p>
    <w:p>
      <w:pPr>
        <w:spacing w:line="360" w:lineRule="exact"/>
        <w:ind w:left="839" w:leftChars="228" w:hanging="360" w:hangingChars="150"/>
        <w:rPr>
          <w:rFonts w:ascii="宋体" w:hAnsi="宋体" w:cs="宋体"/>
          <w:sz w:val="24"/>
        </w:rPr>
      </w:pPr>
      <w:r>
        <w:rPr>
          <w:rFonts w:hint="eastAsia" w:ascii="宋体" w:hAnsi="宋体" w:cs="宋体"/>
          <w:sz w:val="24"/>
        </w:rPr>
        <w:t>3、谈判文件对节能、环保产品另有规定的从其规定。</w:t>
      </w:r>
    </w:p>
    <w:p>
      <w:pPr>
        <w:spacing w:line="320" w:lineRule="exact"/>
        <w:ind w:firstLine="480" w:firstLineChars="200"/>
        <w:rPr>
          <w:rFonts w:ascii="宋体" w:hAnsi="宋体" w:cs="宋体"/>
          <w:sz w:val="24"/>
        </w:rPr>
      </w:pPr>
      <w:r>
        <w:rPr>
          <w:rFonts w:hint="eastAsia" w:ascii="宋体" w:hAnsi="宋体" w:cs="宋体"/>
          <w:sz w:val="24"/>
        </w:rPr>
        <w:t>4.必须在此表中填写各品目报价，且各品目报价不得超过相应品目的采购预算或最高限价，否则视为无效响应。</w:t>
      </w:r>
    </w:p>
    <w:p>
      <w:pPr>
        <w:pStyle w:val="4"/>
        <w:ind w:firstLine="482" w:firstLineChars="200"/>
        <w:rPr>
          <w:rFonts w:ascii="宋体" w:hAnsi="宋体" w:eastAsia="宋体" w:cs="宋体"/>
        </w:rPr>
      </w:pPr>
      <w:r>
        <w:rPr>
          <w:rFonts w:hint="eastAsia" w:ascii="宋体" w:hAnsi="宋体" w:eastAsia="宋体" w:cs="宋体"/>
          <w:sz w:val="24"/>
        </w:rPr>
        <w:t>5、供应商必须填写各分项费用，以证明响应报价的合理性，否则视为无效响应。</w:t>
      </w:r>
    </w:p>
    <w:p>
      <w:pPr>
        <w:spacing w:line="432" w:lineRule="auto"/>
        <w:rPr>
          <w:rFonts w:ascii="宋体" w:hAnsi="宋体" w:cs="宋体"/>
          <w:sz w:val="24"/>
        </w:rPr>
      </w:pPr>
      <w:r>
        <w:rPr>
          <w:rFonts w:hint="eastAsia" w:ascii="宋体" w:hAnsi="宋体" w:cs="宋体"/>
          <w:sz w:val="24"/>
        </w:rPr>
        <w:t>供应商盖章：</w:t>
      </w:r>
    </w:p>
    <w:p>
      <w:pPr>
        <w:spacing w:line="432" w:lineRule="auto"/>
        <w:rPr>
          <w:rFonts w:ascii="宋体" w:hAnsi="宋体" w:cs="宋体"/>
          <w:sz w:val="24"/>
        </w:rPr>
        <w:sectPr>
          <w:footerReference r:id="rId7" w:type="default"/>
          <w:footerReference r:id="rId8" w:type="even"/>
          <w:pgSz w:w="16840" w:h="11907" w:orient="landscape"/>
          <w:pgMar w:top="1134" w:right="1474" w:bottom="1814" w:left="1474" w:header="720" w:footer="720" w:gutter="0"/>
          <w:cols w:space="720" w:num="1"/>
          <w:docGrid w:linePitch="285" w:charSpace="0"/>
        </w:sectPr>
      </w:pPr>
      <w:r>
        <w:rPr>
          <w:rFonts w:hint="eastAsia" w:ascii="宋体" w:hAnsi="宋体" w:cs="宋体"/>
          <w:sz w:val="24"/>
        </w:rPr>
        <w:t>法定代表人或委托代理签字或签章：</w:t>
      </w:r>
    </w:p>
    <w:p>
      <w:pPr>
        <w:pStyle w:val="4"/>
        <w:spacing w:before="0" w:after="0" w:line="460" w:lineRule="exact"/>
        <w:jc w:val="center"/>
        <w:rPr>
          <w:rFonts w:ascii="宋体" w:hAnsi="宋体" w:eastAsia="宋体" w:cs="宋体"/>
          <w:sz w:val="30"/>
          <w:szCs w:val="30"/>
        </w:rPr>
      </w:pPr>
      <w:bookmarkStart w:id="79" w:name="_Toc501638139"/>
      <w:r>
        <w:rPr>
          <w:rFonts w:hint="eastAsia" w:ascii="宋体" w:hAnsi="宋体" w:eastAsia="宋体" w:cs="宋体"/>
          <w:sz w:val="30"/>
          <w:szCs w:val="30"/>
        </w:rPr>
        <w:t>格式5. 技术规格响应/偏离表</w:t>
      </w:r>
      <w:bookmarkEnd w:id="79"/>
    </w:p>
    <w:p>
      <w:pPr>
        <w:spacing w:line="432" w:lineRule="auto"/>
        <w:rPr>
          <w:rFonts w:ascii="宋体" w:hAnsi="宋体" w:cs="宋体"/>
          <w:sz w:val="24"/>
          <w:u w:val="single"/>
        </w:rPr>
      </w:pPr>
      <w:r>
        <w:rPr>
          <w:rFonts w:hint="eastAsia" w:ascii="宋体" w:hAnsi="宋体" w:cs="宋体"/>
          <w:sz w:val="24"/>
        </w:rPr>
        <w:t>项目编号：</w:t>
      </w:r>
    </w:p>
    <w:tbl>
      <w:tblPr>
        <w:tblStyle w:val="20"/>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04"/>
        <w:gridCol w:w="2346"/>
        <w:gridCol w:w="1620"/>
        <w:gridCol w:w="920"/>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738" w:type="dxa"/>
            <w:noWrap/>
            <w:vAlign w:val="center"/>
          </w:tcPr>
          <w:p>
            <w:pPr>
              <w:spacing w:line="432" w:lineRule="auto"/>
              <w:jc w:val="center"/>
              <w:rPr>
                <w:rFonts w:ascii="宋体" w:hAnsi="宋体" w:cs="宋体"/>
                <w:sz w:val="24"/>
              </w:rPr>
            </w:pPr>
            <w:r>
              <w:rPr>
                <w:rFonts w:hint="eastAsia" w:ascii="宋体" w:hAnsi="宋体" w:cs="宋体"/>
                <w:sz w:val="24"/>
              </w:rPr>
              <w:t>序号</w:t>
            </w:r>
          </w:p>
        </w:tc>
        <w:tc>
          <w:tcPr>
            <w:tcW w:w="1704" w:type="dxa"/>
            <w:noWrap/>
            <w:vAlign w:val="center"/>
          </w:tcPr>
          <w:p>
            <w:pPr>
              <w:spacing w:line="432" w:lineRule="auto"/>
              <w:jc w:val="center"/>
              <w:rPr>
                <w:rFonts w:ascii="宋体" w:hAnsi="宋体" w:cs="宋体"/>
                <w:sz w:val="24"/>
              </w:rPr>
            </w:pPr>
            <w:r>
              <w:rPr>
                <w:rFonts w:hint="eastAsia" w:ascii="宋体" w:hAnsi="宋体" w:cs="宋体"/>
                <w:sz w:val="24"/>
              </w:rPr>
              <w:t>谈判文件条目号</w:t>
            </w:r>
          </w:p>
        </w:tc>
        <w:tc>
          <w:tcPr>
            <w:tcW w:w="2346" w:type="dxa"/>
            <w:noWrap/>
            <w:vAlign w:val="center"/>
          </w:tcPr>
          <w:p>
            <w:pPr>
              <w:spacing w:line="432" w:lineRule="auto"/>
              <w:jc w:val="center"/>
              <w:rPr>
                <w:rFonts w:ascii="宋体" w:hAnsi="宋体" w:cs="宋体"/>
                <w:sz w:val="24"/>
              </w:rPr>
            </w:pPr>
            <w:r>
              <w:rPr>
                <w:rFonts w:hint="eastAsia" w:ascii="宋体" w:hAnsi="宋体" w:cs="宋体"/>
                <w:sz w:val="24"/>
              </w:rPr>
              <w:t>谈判文件技术规格</w:t>
            </w:r>
          </w:p>
        </w:tc>
        <w:tc>
          <w:tcPr>
            <w:tcW w:w="1620" w:type="dxa"/>
            <w:noWrap/>
            <w:vAlign w:val="center"/>
          </w:tcPr>
          <w:p>
            <w:pPr>
              <w:spacing w:line="432" w:lineRule="auto"/>
              <w:jc w:val="center"/>
              <w:rPr>
                <w:rFonts w:ascii="宋体" w:hAnsi="宋体" w:cs="宋体"/>
                <w:sz w:val="24"/>
              </w:rPr>
            </w:pPr>
            <w:r>
              <w:rPr>
                <w:rFonts w:hint="eastAsia" w:ascii="宋体" w:hAnsi="宋体" w:cs="宋体"/>
                <w:sz w:val="24"/>
              </w:rPr>
              <w:t>响应文件技术规格</w:t>
            </w:r>
          </w:p>
        </w:tc>
        <w:tc>
          <w:tcPr>
            <w:tcW w:w="920" w:type="dxa"/>
            <w:noWrap/>
            <w:vAlign w:val="center"/>
          </w:tcPr>
          <w:p>
            <w:pPr>
              <w:spacing w:line="432" w:lineRule="auto"/>
              <w:jc w:val="center"/>
              <w:rPr>
                <w:rFonts w:ascii="宋体" w:hAnsi="宋体" w:cs="宋体"/>
                <w:sz w:val="24"/>
              </w:rPr>
            </w:pPr>
            <w:r>
              <w:rPr>
                <w:rFonts w:hint="eastAsia" w:ascii="宋体" w:hAnsi="宋体" w:cs="宋体"/>
                <w:sz w:val="24"/>
              </w:rPr>
              <w:t>响应/偏离</w:t>
            </w:r>
          </w:p>
        </w:tc>
        <w:tc>
          <w:tcPr>
            <w:tcW w:w="1222" w:type="dxa"/>
            <w:noWrap/>
            <w:vAlign w:val="center"/>
          </w:tcPr>
          <w:p>
            <w:pPr>
              <w:spacing w:line="432" w:lineRule="auto"/>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bl>
    <w:p>
      <w:pPr>
        <w:spacing w:line="432" w:lineRule="auto"/>
        <w:rPr>
          <w:rFonts w:ascii="宋体" w:hAnsi="宋体" w:cs="宋体"/>
          <w:sz w:val="24"/>
          <w:szCs w:val="24"/>
        </w:rPr>
      </w:pPr>
      <w:r>
        <w:rPr>
          <w:rFonts w:hint="eastAsia" w:ascii="宋体" w:hAnsi="宋体" w:cs="宋体"/>
          <w:sz w:val="24"/>
          <w:szCs w:val="24"/>
        </w:rPr>
        <w:t>注：1、响应/偏离内容应在说明栏中说明该条款在响应文件中（或页码）的依据；</w:t>
      </w:r>
    </w:p>
    <w:p>
      <w:pPr>
        <w:spacing w:line="432" w:lineRule="auto"/>
        <w:ind w:firstLine="480" w:firstLineChars="200"/>
        <w:rPr>
          <w:rFonts w:ascii="宋体" w:hAnsi="宋体" w:cs="宋体"/>
          <w:sz w:val="24"/>
          <w:szCs w:val="24"/>
        </w:rPr>
      </w:pPr>
      <w:r>
        <w:rPr>
          <w:rFonts w:hint="eastAsia" w:ascii="宋体" w:hAnsi="宋体" w:cs="宋体"/>
          <w:sz w:val="24"/>
          <w:szCs w:val="24"/>
        </w:rPr>
        <w:t>2、供应商若未明确标明“负偏离”或“不响应”的，均视为完全响应采购文件中的要求。（采购文件中另有要求的，从其规定）；</w:t>
      </w:r>
    </w:p>
    <w:p>
      <w:pPr>
        <w:spacing w:line="432" w:lineRule="auto"/>
        <w:ind w:firstLine="480" w:firstLineChars="200"/>
        <w:rPr>
          <w:rFonts w:ascii="宋体" w:hAnsi="宋体" w:cs="宋体"/>
          <w:sz w:val="24"/>
        </w:rPr>
      </w:pPr>
      <w:r>
        <w:rPr>
          <w:rFonts w:hint="eastAsia" w:ascii="宋体" w:hAnsi="宋体" w:cs="宋体"/>
          <w:sz w:val="24"/>
          <w:szCs w:val="24"/>
        </w:rPr>
        <w:t>3、供应商不按上述表格填写，所产生的一切后果由供应商承担。</w:t>
      </w:r>
    </w:p>
    <w:p>
      <w:pPr>
        <w:spacing w:line="432" w:lineRule="auto"/>
        <w:rPr>
          <w:rFonts w:ascii="宋体" w:hAnsi="宋体" w:cs="宋体"/>
          <w:sz w:val="24"/>
        </w:rPr>
      </w:pP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u w:val="single"/>
        </w:rPr>
      </w:pPr>
    </w:p>
    <w:p>
      <w:pPr>
        <w:pStyle w:val="4"/>
        <w:spacing w:before="0" w:after="0" w:line="460" w:lineRule="exact"/>
        <w:jc w:val="center"/>
        <w:rPr>
          <w:rFonts w:ascii="宋体" w:hAnsi="宋体" w:eastAsia="宋体" w:cs="宋体"/>
          <w:sz w:val="30"/>
          <w:szCs w:val="30"/>
        </w:rPr>
      </w:pPr>
      <w:bookmarkStart w:id="80" w:name="_Toc501638140"/>
      <w:r>
        <w:rPr>
          <w:rFonts w:hint="eastAsia" w:ascii="宋体" w:hAnsi="宋体" w:eastAsia="宋体" w:cs="宋体"/>
          <w:sz w:val="30"/>
          <w:szCs w:val="30"/>
        </w:rPr>
        <w:t>格式6. 商务条款响应/偏离表</w:t>
      </w:r>
      <w:bookmarkEnd w:id="80"/>
    </w:p>
    <w:p>
      <w:pPr>
        <w:spacing w:line="432" w:lineRule="auto"/>
        <w:rPr>
          <w:rFonts w:ascii="宋体" w:hAnsi="宋体" w:cs="宋体"/>
          <w:sz w:val="24"/>
          <w:u w:val="single"/>
        </w:rPr>
      </w:pPr>
      <w:r>
        <w:rPr>
          <w:rFonts w:hint="eastAsia" w:ascii="宋体" w:hAnsi="宋体" w:cs="宋体"/>
          <w:sz w:val="24"/>
        </w:rPr>
        <w:t>项目编号：</w:t>
      </w:r>
    </w:p>
    <w:tbl>
      <w:tblPr>
        <w:tblStyle w:val="20"/>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1"/>
        <w:gridCol w:w="1470"/>
        <w:gridCol w:w="1817"/>
        <w:gridCol w:w="1124"/>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70" w:type="dxa"/>
            <w:noWrap/>
            <w:vAlign w:val="center"/>
          </w:tcPr>
          <w:p>
            <w:pPr>
              <w:spacing w:line="432" w:lineRule="auto"/>
              <w:jc w:val="center"/>
              <w:rPr>
                <w:rFonts w:ascii="宋体" w:hAnsi="宋体" w:cs="宋体"/>
                <w:sz w:val="24"/>
              </w:rPr>
            </w:pPr>
            <w:r>
              <w:rPr>
                <w:rFonts w:hint="eastAsia" w:ascii="宋体" w:hAnsi="宋体" w:cs="宋体"/>
                <w:sz w:val="24"/>
              </w:rPr>
              <w:t>序号</w:t>
            </w:r>
          </w:p>
        </w:tc>
        <w:tc>
          <w:tcPr>
            <w:tcW w:w="1471" w:type="dxa"/>
            <w:noWrap/>
            <w:vAlign w:val="center"/>
          </w:tcPr>
          <w:p>
            <w:pPr>
              <w:spacing w:line="432" w:lineRule="auto"/>
              <w:jc w:val="center"/>
              <w:rPr>
                <w:rFonts w:ascii="宋体" w:hAnsi="宋体" w:cs="宋体"/>
                <w:sz w:val="24"/>
              </w:rPr>
            </w:pPr>
            <w:r>
              <w:rPr>
                <w:rFonts w:hint="eastAsia" w:ascii="宋体" w:hAnsi="宋体" w:cs="宋体"/>
                <w:sz w:val="24"/>
              </w:rPr>
              <w:t>谈判文件条目号</w:t>
            </w:r>
          </w:p>
        </w:tc>
        <w:tc>
          <w:tcPr>
            <w:tcW w:w="1470" w:type="dxa"/>
            <w:noWrap/>
            <w:vAlign w:val="center"/>
          </w:tcPr>
          <w:p>
            <w:pPr>
              <w:spacing w:line="432" w:lineRule="auto"/>
              <w:jc w:val="center"/>
              <w:rPr>
                <w:rFonts w:ascii="宋体" w:hAnsi="宋体" w:cs="宋体"/>
                <w:sz w:val="24"/>
              </w:rPr>
            </w:pPr>
            <w:r>
              <w:rPr>
                <w:rFonts w:hint="eastAsia" w:ascii="宋体" w:hAnsi="宋体" w:cs="宋体"/>
                <w:sz w:val="24"/>
              </w:rPr>
              <w:t>谈判文件的商务条款</w:t>
            </w:r>
          </w:p>
        </w:tc>
        <w:tc>
          <w:tcPr>
            <w:tcW w:w="1817" w:type="dxa"/>
            <w:noWrap/>
            <w:vAlign w:val="center"/>
          </w:tcPr>
          <w:p>
            <w:pPr>
              <w:spacing w:line="432" w:lineRule="auto"/>
              <w:jc w:val="center"/>
              <w:rPr>
                <w:rFonts w:ascii="宋体" w:hAnsi="宋体" w:cs="宋体"/>
                <w:sz w:val="24"/>
              </w:rPr>
            </w:pPr>
            <w:r>
              <w:rPr>
                <w:rFonts w:hint="eastAsia" w:ascii="宋体" w:hAnsi="宋体" w:cs="宋体"/>
                <w:sz w:val="24"/>
              </w:rPr>
              <w:t>响应文件的商务条款</w:t>
            </w:r>
          </w:p>
        </w:tc>
        <w:tc>
          <w:tcPr>
            <w:tcW w:w="1124" w:type="dxa"/>
            <w:noWrap/>
            <w:vAlign w:val="center"/>
          </w:tcPr>
          <w:p>
            <w:pPr>
              <w:spacing w:line="432" w:lineRule="auto"/>
              <w:jc w:val="center"/>
              <w:rPr>
                <w:rFonts w:ascii="宋体" w:hAnsi="宋体" w:cs="宋体"/>
                <w:sz w:val="24"/>
              </w:rPr>
            </w:pPr>
            <w:r>
              <w:rPr>
                <w:rFonts w:hint="eastAsia" w:ascii="宋体" w:hAnsi="宋体" w:cs="宋体"/>
                <w:sz w:val="24"/>
              </w:rPr>
              <w:t>响应/偏离</w:t>
            </w:r>
          </w:p>
        </w:tc>
        <w:tc>
          <w:tcPr>
            <w:tcW w:w="1471" w:type="dxa"/>
            <w:noWrap/>
            <w:vAlign w:val="center"/>
          </w:tcPr>
          <w:p>
            <w:pPr>
              <w:spacing w:line="432" w:lineRule="auto"/>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bl>
    <w:p>
      <w:pPr>
        <w:spacing w:line="432" w:lineRule="auto"/>
        <w:rPr>
          <w:rFonts w:ascii="宋体" w:hAnsi="宋体" w:cs="宋体"/>
          <w:sz w:val="24"/>
          <w:szCs w:val="24"/>
        </w:rPr>
      </w:pPr>
      <w:r>
        <w:rPr>
          <w:rFonts w:hint="eastAsia" w:ascii="宋体" w:hAnsi="宋体" w:cs="宋体"/>
          <w:sz w:val="24"/>
          <w:szCs w:val="24"/>
        </w:rPr>
        <w:t>注：1、响应/偏离内容应在说明栏中说明该条款在响应文件中（或页码）的依据；</w:t>
      </w:r>
    </w:p>
    <w:p>
      <w:pPr>
        <w:spacing w:line="432" w:lineRule="auto"/>
        <w:ind w:firstLine="480" w:firstLineChars="200"/>
        <w:rPr>
          <w:rFonts w:ascii="宋体" w:hAnsi="宋体" w:cs="宋体"/>
          <w:sz w:val="24"/>
          <w:szCs w:val="24"/>
        </w:rPr>
      </w:pPr>
      <w:r>
        <w:rPr>
          <w:rFonts w:hint="eastAsia" w:ascii="宋体" w:hAnsi="宋体" w:cs="宋体"/>
          <w:sz w:val="24"/>
          <w:szCs w:val="24"/>
        </w:rPr>
        <w:t>2、供应商若未明确标明“负偏离”或“不响应”的，均视为完全响应采购文件中的要求。（采购文件中另有要求的，从其规定）；</w:t>
      </w:r>
    </w:p>
    <w:p>
      <w:pPr>
        <w:spacing w:line="432" w:lineRule="auto"/>
        <w:ind w:firstLine="480" w:firstLineChars="200"/>
        <w:rPr>
          <w:rFonts w:ascii="宋体" w:hAnsi="宋体" w:cs="宋体"/>
          <w:sz w:val="24"/>
        </w:rPr>
      </w:pPr>
      <w:r>
        <w:rPr>
          <w:rFonts w:hint="eastAsia" w:ascii="宋体" w:hAnsi="宋体" w:cs="宋体"/>
          <w:sz w:val="24"/>
          <w:szCs w:val="24"/>
        </w:rPr>
        <w:t>3、供应商不按上述表格填写，所产生的一切后果由供应商承担。</w:t>
      </w:r>
    </w:p>
    <w:p>
      <w:pPr>
        <w:spacing w:line="432" w:lineRule="auto"/>
        <w:rPr>
          <w:rFonts w:ascii="宋体" w:hAnsi="宋体" w:cs="宋体"/>
          <w:sz w:val="24"/>
        </w:rPr>
      </w:pPr>
    </w:p>
    <w:p>
      <w:pPr>
        <w:spacing w:line="432" w:lineRule="auto"/>
        <w:rPr>
          <w:rFonts w:ascii="宋体" w:hAnsi="宋体" w:cs="宋体"/>
          <w:sz w:val="24"/>
          <w:u w:val="single"/>
        </w:rPr>
      </w:pPr>
      <w:r>
        <w:rPr>
          <w:rFonts w:hint="eastAsia" w:ascii="宋体" w:hAnsi="宋体" w:cs="宋体"/>
          <w:sz w:val="24"/>
        </w:rPr>
        <w:t>供应商盖章：</w:t>
      </w:r>
    </w:p>
    <w:p>
      <w:pPr>
        <w:pStyle w:val="4"/>
        <w:spacing w:before="0" w:after="0" w:line="460" w:lineRule="exact"/>
        <w:jc w:val="center"/>
        <w:rPr>
          <w:rFonts w:ascii="宋体" w:hAnsi="宋体" w:eastAsia="宋体" w:cs="宋体"/>
          <w:sz w:val="30"/>
          <w:szCs w:val="30"/>
        </w:rPr>
      </w:pPr>
    </w:p>
    <w:p/>
    <w:p>
      <w:pPr>
        <w:widowControl/>
        <w:jc w:val="center"/>
        <w:rPr>
          <w:rFonts w:ascii="宋体" w:hAnsi="宋体" w:cs="宋体"/>
          <w:b/>
          <w:bCs/>
        </w:rPr>
      </w:pPr>
      <w:bookmarkStart w:id="81" w:name="_Toc501638142"/>
      <w:r>
        <w:rPr>
          <w:rFonts w:hint="eastAsia" w:ascii="宋体" w:hAnsi="宋体" w:cs="宋体"/>
          <w:b/>
          <w:bCs/>
          <w:sz w:val="28"/>
          <w:szCs w:val="28"/>
        </w:rPr>
        <w:t>7、为落实政府采购政策供应商须提供的证明材料</w:t>
      </w:r>
      <w:bookmarkEnd w:id="81"/>
    </w:p>
    <w:p>
      <w:pPr>
        <w:rPr>
          <w:rFonts w:ascii="宋体" w:hAnsi="宋体" w:cs="宋体"/>
        </w:rPr>
      </w:pPr>
    </w:p>
    <w:p>
      <w:pPr>
        <w:pStyle w:val="4"/>
        <w:jc w:val="center"/>
        <w:rPr>
          <w:rFonts w:ascii="宋体" w:hAnsi="宋体" w:eastAsia="宋体" w:cs="宋体"/>
          <w:sz w:val="28"/>
          <w:szCs w:val="28"/>
        </w:rPr>
      </w:pPr>
      <w:bookmarkStart w:id="82" w:name="_Toc501638143"/>
      <w:bookmarkStart w:id="83" w:name="_Toc500258426"/>
      <w:r>
        <w:rPr>
          <w:rFonts w:hint="eastAsia" w:ascii="宋体" w:hAnsi="宋体" w:eastAsia="宋体" w:cs="宋体"/>
          <w:sz w:val="28"/>
          <w:szCs w:val="28"/>
        </w:rPr>
        <w:t>格式7-1. 中小企业声明</w:t>
      </w:r>
      <w:bookmarkEnd w:id="82"/>
      <w:bookmarkEnd w:id="83"/>
    </w:p>
    <w:p>
      <w:pPr>
        <w:pStyle w:val="2"/>
        <w:spacing w:before="55" w:line="302" w:lineRule="auto"/>
        <w:ind w:right="415" w:firstLine="640"/>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号）的规定，本公司（联合体）参加（单位名称）的（项目名称）采购活动，提供的货物全部由符合政策要求的中小企业制造。相关企业</w:t>
      </w:r>
    </w:p>
    <w:p>
      <w:pPr>
        <w:pStyle w:val="2"/>
        <w:spacing w:line="304" w:lineRule="auto"/>
        <w:ind w:right="405"/>
        <w:rPr>
          <w:rFonts w:ascii="宋体" w:hAnsi="宋体" w:cs="宋体"/>
          <w:sz w:val="24"/>
          <w:szCs w:val="24"/>
        </w:rPr>
      </w:pPr>
      <w:r>
        <w:rPr>
          <w:rFonts w:hint="eastAsia" w:ascii="宋体" w:hAnsi="宋体" w:cs="宋体"/>
          <w:sz w:val="24"/>
          <w:szCs w:val="24"/>
        </w:rPr>
        <w:t>（含联合体中的中小企业、签订分包意向协议的中小企业） 的具体情况如下：</w:t>
      </w:r>
    </w:p>
    <w:p>
      <w:pPr>
        <w:pStyle w:val="41"/>
        <w:numPr>
          <w:ilvl w:val="0"/>
          <w:numId w:val="5"/>
        </w:numPr>
        <w:tabs>
          <w:tab w:val="left" w:pos="1183"/>
          <w:tab w:val="left" w:pos="1484"/>
          <w:tab w:val="left" w:pos="4662"/>
          <w:tab w:val="left" w:pos="6903"/>
        </w:tabs>
        <w:spacing w:line="295" w:lineRule="auto"/>
        <w:ind w:right="169" w:firstLine="480"/>
        <w:rPr>
          <w:rFonts w:ascii="宋体" w:hAnsi="宋体" w:cs="宋体"/>
          <w:sz w:val="24"/>
        </w:rPr>
      </w:pPr>
      <w:r>
        <w:rPr>
          <w:rFonts w:hint="eastAsia" w:ascii="宋体" w:hAnsi="宋体" w:cs="宋体"/>
          <w:sz w:val="24"/>
        </w:rPr>
        <w:t xml:space="preserve"> （ 标 的 名 称 ） ， 属 于 （ 采 购 文 件 中 明 确 的 所 属 行 业 ） 行业；制造商为（企业名称），从业人员 </w:t>
      </w:r>
      <w:r>
        <w:rPr>
          <w:rFonts w:hint="eastAsia" w:ascii="宋体" w:hAnsi="宋体" w:cs="宋体"/>
          <w:sz w:val="24"/>
        </w:rPr>
        <w:tab/>
      </w:r>
      <w:r>
        <w:rPr>
          <w:rFonts w:hint="eastAsia" w:ascii="宋体" w:hAnsi="宋体" w:cs="宋体"/>
          <w:sz w:val="24"/>
        </w:rPr>
        <w:t xml:space="preserve">人，营业收入为 </w:t>
      </w:r>
      <w:r>
        <w:rPr>
          <w:rFonts w:hint="eastAsia" w:ascii="宋体" w:hAnsi="宋体" w:cs="宋体"/>
          <w:sz w:val="24"/>
        </w:rPr>
        <w:tab/>
      </w:r>
      <w:r>
        <w:rPr>
          <w:rFonts w:hint="eastAsia" w:ascii="宋体" w:hAnsi="宋体" w:cs="宋体"/>
          <w:sz w:val="24"/>
        </w:rPr>
        <w:t xml:space="preserve">万元，资产总额为 </w:t>
      </w:r>
      <w:r>
        <w:rPr>
          <w:rFonts w:hint="eastAsia" w:ascii="宋体" w:hAnsi="宋体" w:cs="宋体"/>
          <w:sz w:val="24"/>
        </w:rPr>
        <w:tab/>
      </w:r>
      <w:r>
        <w:rPr>
          <w:rFonts w:hint="eastAsia" w:ascii="宋体" w:hAnsi="宋体" w:cs="宋体"/>
          <w:sz w:val="24"/>
        </w:rPr>
        <w:t>万元</w:t>
      </w:r>
      <w:r>
        <w:fldChar w:fldCharType="begin"/>
      </w:r>
      <w:r>
        <w:instrText xml:space="preserve"> HYPERLINK \l "_bookmark0" </w:instrText>
      </w:r>
      <w:r>
        <w:fldChar w:fldCharType="separate"/>
      </w:r>
      <w:r>
        <w:rPr>
          <w:rFonts w:hint="eastAsia" w:ascii="宋体" w:hAnsi="宋体" w:cs="宋体"/>
          <w:sz w:val="24"/>
        </w:rPr>
        <w:t>1</w:t>
      </w:r>
      <w:r>
        <w:rPr>
          <w:rFonts w:hint="eastAsia" w:ascii="宋体" w:hAnsi="宋体" w:cs="宋体"/>
          <w:sz w:val="24"/>
        </w:rPr>
        <w:fldChar w:fldCharType="end"/>
      </w:r>
      <w:r>
        <w:rPr>
          <w:rFonts w:hint="eastAsia" w:ascii="宋体" w:hAnsi="宋体" w:cs="宋体"/>
          <w:sz w:val="24"/>
        </w:rPr>
        <w:t>，属于（中型企业、小型企业、微型企业）；</w:t>
      </w:r>
    </w:p>
    <w:p>
      <w:pPr>
        <w:pStyle w:val="41"/>
        <w:numPr>
          <w:ilvl w:val="0"/>
          <w:numId w:val="5"/>
        </w:numPr>
        <w:tabs>
          <w:tab w:val="left" w:pos="1165"/>
          <w:tab w:val="left" w:pos="1183"/>
          <w:tab w:val="left" w:pos="4362"/>
          <w:tab w:val="left" w:pos="6577"/>
        </w:tabs>
        <w:spacing w:line="295" w:lineRule="auto"/>
        <w:ind w:right="169" w:firstLine="480"/>
        <w:rPr>
          <w:rFonts w:ascii="宋体" w:hAnsi="宋体" w:cs="宋体"/>
          <w:sz w:val="24"/>
        </w:rPr>
      </w:pPr>
      <w:r>
        <w:rPr>
          <w:rFonts w:hint="eastAsia" w:ascii="宋体" w:hAnsi="宋体" w:cs="宋体"/>
          <w:sz w:val="24"/>
        </w:rPr>
        <w:t xml:space="preserve"> （ 标 的 名 称 ） ， 属 于 （ 采 购 文 件 中 明 确 的 所 属 行 业 ） 行业；制造商为（企业名称），从业人员 </w:t>
      </w:r>
      <w:r>
        <w:rPr>
          <w:rFonts w:hint="eastAsia" w:ascii="宋体" w:hAnsi="宋体" w:cs="宋体"/>
          <w:sz w:val="24"/>
        </w:rPr>
        <w:tab/>
      </w:r>
      <w:r>
        <w:rPr>
          <w:rFonts w:hint="eastAsia" w:ascii="宋体" w:hAnsi="宋体" w:cs="宋体"/>
          <w:sz w:val="24"/>
        </w:rPr>
        <w:t xml:space="preserve">人，营业收入为 </w:t>
      </w:r>
      <w:r>
        <w:rPr>
          <w:rFonts w:hint="eastAsia" w:ascii="宋体" w:hAnsi="宋体" w:cs="宋体"/>
          <w:sz w:val="24"/>
        </w:rPr>
        <w:tab/>
      </w:r>
      <w:r>
        <w:rPr>
          <w:rFonts w:hint="eastAsia" w:ascii="宋体" w:hAnsi="宋体" w:cs="宋体"/>
          <w:sz w:val="24"/>
        </w:rPr>
        <w:t xml:space="preserve">万元，资产总额为 </w:t>
      </w:r>
      <w:r>
        <w:rPr>
          <w:rFonts w:hint="eastAsia" w:ascii="宋体" w:hAnsi="宋体" w:cs="宋体"/>
          <w:sz w:val="24"/>
        </w:rPr>
        <w:tab/>
      </w:r>
      <w:r>
        <w:rPr>
          <w:rFonts w:hint="eastAsia" w:ascii="宋体" w:hAnsi="宋体" w:cs="宋体"/>
          <w:sz w:val="24"/>
        </w:rPr>
        <w:t>万元，属于（中型企业、小型企业、微型企业）；</w:t>
      </w:r>
    </w:p>
    <w:p>
      <w:pPr>
        <w:pStyle w:val="2"/>
        <w:ind w:left="860"/>
        <w:rPr>
          <w:rFonts w:ascii="宋体" w:hAnsi="宋体" w:cs="宋体"/>
          <w:sz w:val="24"/>
          <w:szCs w:val="24"/>
        </w:rPr>
      </w:pPr>
      <w:r>
        <w:rPr>
          <w:rFonts w:hint="eastAsia" w:ascii="宋体" w:hAnsi="宋体" w:cs="宋体"/>
          <w:sz w:val="24"/>
          <w:szCs w:val="24"/>
        </w:rPr>
        <w:t>……</w:t>
      </w:r>
    </w:p>
    <w:p>
      <w:pPr>
        <w:pStyle w:val="2"/>
        <w:spacing w:before="105" w:line="304" w:lineRule="auto"/>
        <w:ind w:right="417" w:firstLine="645"/>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pStyle w:val="2"/>
        <w:spacing w:line="302" w:lineRule="auto"/>
        <w:ind w:right="372" w:firstLine="645"/>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pStyle w:val="2"/>
        <w:spacing w:before="35" w:line="316" w:lineRule="auto"/>
        <w:ind w:left="4060" w:right="2166"/>
        <w:rPr>
          <w:rFonts w:ascii="宋体" w:hAnsi="宋体" w:cs="宋体"/>
          <w:sz w:val="24"/>
          <w:szCs w:val="24"/>
        </w:rPr>
      </w:pPr>
    </w:p>
    <w:p>
      <w:pPr>
        <w:pStyle w:val="2"/>
        <w:spacing w:before="35" w:line="316" w:lineRule="auto"/>
        <w:ind w:left="4060" w:right="2166"/>
        <w:rPr>
          <w:rFonts w:ascii="宋体" w:hAnsi="宋体" w:cs="宋体"/>
          <w:sz w:val="24"/>
          <w:szCs w:val="24"/>
        </w:rPr>
      </w:pPr>
    </w:p>
    <w:p>
      <w:pPr>
        <w:pStyle w:val="2"/>
        <w:spacing w:before="35" w:line="316" w:lineRule="auto"/>
        <w:ind w:left="4060" w:right="2166"/>
        <w:rPr>
          <w:rFonts w:ascii="宋体" w:hAnsi="宋体" w:cs="宋体"/>
          <w:sz w:val="24"/>
          <w:szCs w:val="24"/>
        </w:rPr>
      </w:pPr>
      <w:r>
        <w:rPr>
          <w:rFonts w:hint="eastAsia" w:ascii="宋体" w:hAnsi="宋体" w:cs="宋体"/>
          <w:sz w:val="24"/>
          <w:szCs w:val="24"/>
        </w:rPr>
        <w:t>企业名称（盖章）：</w:t>
      </w:r>
    </w:p>
    <w:p>
      <w:pPr>
        <w:jc w:val="center"/>
        <w:rPr>
          <w:rFonts w:ascii="宋体" w:hAnsi="宋体" w:cs="宋体"/>
          <w:sz w:val="24"/>
          <w:szCs w:val="24"/>
        </w:rPr>
      </w:pPr>
      <w:r>
        <w:rPr>
          <w:rFonts w:hint="eastAsia" w:ascii="宋体" w:hAnsi="宋体" w:cs="宋体"/>
          <w:sz w:val="24"/>
          <w:szCs w:val="24"/>
        </w:rPr>
        <w:t>日期：</w:t>
      </w:r>
    </w:p>
    <w:p>
      <w:pPr>
        <w:spacing w:before="5"/>
        <w:jc w:val="left"/>
        <w:rPr>
          <w:rFonts w:ascii="宋体" w:hAnsi="宋体" w:cs="宋体"/>
          <w:sz w:val="24"/>
          <w:szCs w:val="24"/>
        </w:rPr>
      </w:pPr>
    </w:p>
    <w:p>
      <w:pPr>
        <w:rPr>
          <w:rFonts w:ascii="仿宋" w:hAnsi="仿宋" w:eastAsia="仿宋" w:cs="仿宋"/>
          <w:sz w:val="28"/>
          <w:szCs w:val="28"/>
        </w:rPr>
      </w:pPr>
      <w:r>
        <w:rPr>
          <w:rFonts w:hint="eastAsia" w:ascii="宋体" w:hAnsi="宋体" w:cs="宋体"/>
        </w:rPr>
        <w:br w:type="page"/>
      </w:r>
      <w:bookmarkStart w:id="84" w:name="_Toc501638144"/>
      <w:bookmarkStart w:id="85" w:name="_Toc500258427"/>
      <w:r>
        <w:rPr>
          <w:rFonts w:hint="eastAsia" w:ascii="仿宋" w:hAnsi="仿宋" w:eastAsia="仿宋" w:cs="仿宋"/>
          <w:sz w:val="28"/>
          <w:szCs w:val="28"/>
        </w:rPr>
        <w:t>7-2. 省级以上监狱管理局、戒毒管理局（含新疆生产建设兵团）出具的属于监狱企业证明文件</w:t>
      </w:r>
      <w:bookmarkEnd w:id="84"/>
      <w:bookmarkEnd w:id="85"/>
    </w:p>
    <w:p>
      <w:pPr>
        <w:rPr>
          <w:rFonts w:ascii="仿宋" w:hAnsi="仿宋" w:eastAsia="仿宋" w:cs="仿宋"/>
        </w:rPr>
      </w:pPr>
    </w:p>
    <w:p>
      <w:pPr>
        <w:spacing w:line="432" w:lineRule="auto"/>
        <w:ind w:left="843" w:hanging="843" w:hangingChars="350"/>
        <w:rPr>
          <w:rFonts w:ascii="仿宋" w:hAnsi="仿宋" w:eastAsia="仿宋" w:cs="仿宋"/>
          <w:b/>
          <w:sz w:val="24"/>
        </w:rPr>
      </w:pPr>
    </w:p>
    <w:p>
      <w:pPr>
        <w:spacing w:line="432" w:lineRule="auto"/>
        <w:ind w:left="843" w:hanging="843" w:hangingChars="350"/>
        <w:rPr>
          <w:rFonts w:ascii="仿宋" w:hAnsi="仿宋" w:eastAsia="仿宋" w:cs="仿宋"/>
          <w:b/>
          <w:sz w:val="24"/>
        </w:rPr>
      </w:pPr>
    </w:p>
    <w:p>
      <w:pPr>
        <w:spacing w:line="432" w:lineRule="auto"/>
        <w:ind w:left="843" w:hanging="843" w:hangingChars="350"/>
        <w:rPr>
          <w:rFonts w:ascii="仿宋" w:hAnsi="仿宋" w:eastAsia="仿宋" w:cs="仿宋"/>
          <w:b/>
          <w:sz w:val="24"/>
        </w:rPr>
      </w:pPr>
      <w:r>
        <w:rPr>
          <w:rFonts w:hint="eastAsia" w:ascii="仿宋" w:hAnsi="仿宋" w:eastAsia="仿宋" w:cs="仿宋"/>
          <w:b/>
          <w:sz w:val="24"/>
        </w:rPr>
        <w:t>注：1、省级以上监狱管理局、戒毒管理局（含新疆生产建设兵团）出具的属于监狱企业证明文件格式由出具单位提供；</w:t>
      </w:r>
    </w:p>
    <w:p>
      <w:pPr>
        <w:ind w:firstLine="482" w:firstLineChars="200"/>
        <w:rPr>
          <w:rFonts w:ascii="仿宋" w:hAnsi="仿宋" w:eastAsia="仿宋" w:cs="仿宋"/>
          <w:b/>
          <w:sz w:val="24"/>
        </w:rPr>
      </w:pPr>
      <w:r>
        <w:rPr>
          <w:rFonts w:hint="eastAsia" w:ascii="仿宋" w:hAnsi="仿宋" w:eastAsia="仿宋" w:cs="仿宋"/>
          <w:b/>
          <w:sz w:val="24"/>
        </w:rPr>
        <w:t>2、</w:t>
      </w:r>
      <w:r>
        <w:rPr>
          <w:rFonts w:hint="eastAsia" w:ascii="仿宋" w:hAnsi="仿宋" w:eastAsia="仿宋" w:cs="仿宋"/>
          <w:b/>
          <w:sz w:val="24"/>
          <w:szCs w:val="24"/>
        </w:rPr>
        <w:t>不属于监狱企业的不需提供</w:t>
      </w:r>
      <w:r>
        <w:rPr>
          <w:rFonts w:hint="eastAsia" w:ascii="仿宋" w:hAnsi="仿宋" w:eastAsia="仿宋" w:cs="仿宋"/>
          <w:b/>
          <w:sz w:val="24"/>
        </w:rPr>
        <w:t>。</w:t>
      </w:r>
    </w:p>
    <w:p>
      <w:pPr>
        <w:pStyle w:val="4"/>
        <w:ind w:left="960" w:hanging="960" w:hangingChars="400"/>
        <w:jc w:val="center"/>
        <w:rPr>
          <w:rFonts w:ascii="宋体" w:hAnsi="宋体" w:eastAsia="宋体" w:cs="宋体"/>
          <w:sz w:val="28"/>
          <w:szCs w:val="28"/>
        </w:rPr>
      </w:pPr>
      <w:r>
        <w:rPr>
          <w:rFonts w:hint="eastAsia" w:ascii="宋体" w:hAnsi="宋体" w:eastAsia="宋体" w:cs="宋体"/>
          <w:b w:val="0"/>
          <w:sz w:val="24"/>
        </w:rPr>
        <w:br w:type="page"/>
      </w:r>
      <w:bookmarkStart w:id="86" w:name="_Toc500258428"/>
      <w:bookmarkStart w:id="87" w:name="_Toc501638145"/>
      <w:r>
        <w:rPr>
          <w:rFonts w:hint="eastAsia" w:ascii="宋体" w:hAnsi="宋体" w:eastAsia="宋体" w:cs="宋体"/>
          <w:sz w:val="28"/>
          <w:szCs w:val="28"/>
        </w:rPr>
        <w:t>格式7-3. 残疾人福利性单位声明函</w:t>
      </w:r>
      <w:bookmarkEnd w:id="86"/>
      <w:bookmarkEnd w:id="87"/>
    </w:p>
    <w:p>
      <w:pPr>
        <w:spacing w:line="588" w:lineRule="exact"/>
        <w:jc w:val="center"/>
        <w:rPr>
          <w:rFonts w:ascii="宋体" w:hAnsi="宋体" w:cs="宋体"/>
          <w:b/>
          <w:spacing w:val="6"/>
          <w:sz w:val="32"/>
          <w:szCs w:val="32"/>
        </w:rPr>
      </w:pPr>
      <w:r>
        <w:rPr>
          <w:rFonts w:hint="eastAsia" w:ascii="宋体" w:hAnsi="宋体" w:cs="宋体"/>
          <w:b/>
          <w:spacing w:val="6"/>
          <w:sz w:val="32"/>
          <w:szCs w:val="32"/>
        </w:rPr>
        <w:t>残疾人福利性单位声明函</w:t>
      </w:r>
    </w:p>
    <w:p>
      <w:pPr>
        <w:spacing w:line="588" w:lineRule="exact"/>
        <w:rPr>
          <w:rFonts w:ascii="宋体" w:hAnsi="宋体" w:cs="宋体"/>
          <w:b/>
          <w:spacing w:val="6"/>
          <w:sz w:val="24"/>
          <w:szCs w:val="24"/>
        </w:rPr>
      </w:pPr>
    </w:p>
    <w:p>
      <w:pPr>
        <w:spacing w:line="588" w:lineRule="exact"/>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 141</w:t>
      </w:r>
      <w:r>
        <w:rPr>
          <w:rFonts w:hint="eastAsia" w:ascii="宋体" w:hAnsi="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pPr>
        <w:spacing w:line="588" w:lineRule="exact"/>
        <w:ind w:firstLine="504" w:firstLineChars="200"/>
        <w:rPr>
          <w:rFonts w:ascii="宋体" w:hAnsi="宋体" w:cs="宋体"/>
          <w:spacing w:val="6"/>
          <w:sz w:val="24"/>
          <w:szCs w:val="24"/>
        </w:rPr>
      </w:pPr>
    </w:p>
    <w:p>
      <w:pPr>
        <w:spacing w:line="588" w:lineRule="exact"/>
        <w:ind w:firstLine="504" w:firstLineChars="200"/>
        <w:rPr>
          <w:rFonts w:ascii="宋体" w:hAnsi="宋体" w:cs="宋体"/>
          <w:spacing w:val="6"/>
          <w:sz w:val="24"/>
          <w:szCs w:val="24"/>
        </w:rPr>
      </w:pPr>
    </w:p>
    <w:p>
      <w:pPr>
        <w:tabs>
          <w:tab w:val="left" w:pos="4860"/>
        </w:tabs>
        <w:spacing w:line="588" w:lineRule="exact"/>
        <w:ind w:right="1560" w:firstLine="504" w:firstLineChars="200"/>
        <w:jc w:val="center"/>
        <w:rPr>
          <w:rFonts w:ascii="宋体" w:hAnsi="宋体" w:cs="宋体"/>
          <w:spacing w:val="6"/>
          <w:sz w:val="24"/>
          <w:szCs w:val="24"/>
        </w:rPr>
      </w:pPr>
      <w:r>
        <w:rPr>
          <w:rFonts w:hint="eastAsia" w:ascii="宋体" w:hAnsi="宋体" w:cs="宋体"/>
          <w:spacing w:val="6"/>
          <w:sz w:val="24"/>
          <w:szCs w:val="24"/>
        </w:rPr>
        <w:t>单位名称（盖章）：</w:t>
      </w:r>
    </w:p>
    <w:p>
      <w:pPr>
        <w:tabs>
          <w:tab w:val="left" w:pos="4860"/>
        </w:tabs>
        <w:spacing w:line="588" w:lineRule="exact"/>
        <w:ind w:right="1560"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pPr>
        <w:ind w:firstLine="482" w:firstLineChars="200"/>
        <w:rPr>
          <w:rFonts w:ascii="宋体" w:hAnsi="宋体" w:cs="宋体"/>
          <w:b/>
          <w:sz w:val="24"/>
        </w:rPr>
      </w:pPr>
    </w:p>
    <w:p>
      <w:pPr>
        <w:pStyle w:val="4"/>
        <w:ind w:left="1285" w:hanging="1285" w:hangingChars="400"/>
        <w:jc w:val="center"/>
        <w:rPr>
          <w:rFonts w:ascii="仿宋" w:hAnsi="仿宋" w:eastAsia="仿宋" w:cs="仿宋"/>
          <w:sz w:val="28"/>
          <w:szCs w:val="28"/>
        </w:rPr>
      </w:pPr>
      <w:r>
        <w:rPr>
          <w:rFonts w:hint="eastAsia" w:ascii="宋体" w:hAnsi="宋体" w:eastAsia="宋体" w:cs="宋体"/>
        </w:rPr>
        <w:br w:type="page"/>
      </w:r>
      <w:bookmarkStart w:id="88" w:name="_Toc501638146"/>
      <w:bookmarkStart w:id="89" w:name="_Toc500258429"/>
      <w:r>
        <w:rPr>
          <w:rFonts w:hint="eastAsia" w:ascii="仿宋" w:hAnsi="仿宋" w:eastAsia="仿宋" w:cs="仿宋"/>
          <w:sz w:val="28"/>
          <w:szCs w:val="28"/>
        </w:rPr>
        <w:t xml:space="preserve">格式7-4. </w:t>
      </w:r>
      <w:bookmarkEnd w:id="88"/>
      <w:bookmarkEnd w:id="89"/>
      <w:r>
        <w:rPr>
          <w:rFonts w:hint="eastAsia" w:ascii="仿宋" w:hAnsi="仿宋" w:eastAsia="仿宋" w:cs="仿宋"/>
          <w:sz w:val="28"/>
          <w:szCs w:val="28"/>
        </w:rPr>
        <w:t>采购的产品如属于政府强制采购节能产品的，响应文件中必须提供国家确定的认证机构出具的、处于有效期之内的节能产品认证证书（扫描件）。</w:t>
      </w:r>
    </w:p>
    <w:p>
      <w:pPr>
        <w:pStyle w:val="2"/>
        <w:jc w:val="center"/>
        <w:sectPr>
          <w:footerReference r:id="rId9" w:type="default"/>
          <w:footerReference r:id="rId10" w:type="even"/>
          <w:pgSz w:w="11906" w:h="16838"/>
          <w:pgMar w:top="1418" w:right="1247" w:bottom="1418" w:left="1814" w:header="851" w:footer="992" w:gutter="0"/>
          <w:cols w:space="720" w:num="1"/>
          <w:docGrid w:type="lines" w:linePitch="312" w:charSpace="0"/>
        </w:sectPr>
      </w:pPr>
      <w:r>
        <w:rPr>
          <w:rFonts w:hint="eastAsia" w:ascii="宋体" w:hAnsi="宋体" w:cs="宋体"/>
          <w:spacing w:val="6"/>
          <w:sz w:val="24"/>
          <w:szCs w:val="24"/>
        </w:rPr>
        <w:t>（不属于品目清单的产品无需提供，文件另有规定的从其规定。）</w:t>
      </w:r>
    </w:p>
    <w:p>
      <w:pPr>
        <w:pStyle w:val="4"/>
        <w:spacing w:before="0" w:after="0" w:line="460" w:lineRule="exact"/>
        <w:jc w:val="center"/>
        <w:rPr>
          <w:rFonts w:ascii="宋体" w:hAnsi="宋体" w:eastAsia="宋体" w:cs="宋体"/>
          <w:sz w:val="30"/>
          <w:szCs w:val="30"/>
        </w:rPr>
      </w:pPr>
      <w:bookmarkStart w:id="90" w:name="_Toc501638147"/>
      <w:r>
        <w:rPr>
          <w:rFonts w:hint="eastAsia" w:ascii="宋体" w:hAnsi="宋体" w:eastAsia="宋体" w:cs="宋体"/>
          <w:sz w:val="30"/>
          <w:szCs w:val="30"/>
        </w:rPr>
        <w:t>8.技术文件</w:t>
      </w:r>
      <w:bookmarkEnd w:id="90"/>
    </w:p>
    <w:p>
      <w:pPr>
        <w:spacing w:line="432" w:lineRule="auto"/>
        <w:rPr>
          <w:rFonts w:ascii="宋体" w:hAnsi="宋体" w:cs="宋体"/>
          <w:sz w:val="24"/>
        </w:rPr>
      </w:pPr>
      <w:r>
        <w:rPr>
          <w:rFonts w:hint="eastAsia" w:ascii="宋体" w:hAnsi="宋体" w:cs="宋体"/>
          <w:sz w:val="24"/>
        </w:rPr>
        <w:t>内容包括：</w:t>
      </w:r>
    </w:p>
    <w:p>
      <w:pPr>
        <w:spacing w:line="432" w:lineRule="auto"/>
        <w:rPr>
          <w:rFonts w:ascii="宋体" w:hAnsi="宋体" w:cs="宋体"/>
          <w:sz w:val="24"/>
        </w:rPr>
      </w:pPr>
      <w:r>
        <w:rPr>
          <w:rFonts w:hint="eastAsia" w:ascii="宋体" w:hAnsi="宋体" w:cs="宋体"/>
          <w:sz w:val="24"/>
        </w:rPr>
        <w:t>1、货物的技术规格与功能的详细说明</w:t>
      </w:r>
    </w:p>
    <w:p>
      <w:pPr>
        <w:spacing w:line="432" w:lineRule="auto"/>
        <w:rPr>
          <w:rFonts w:ascii="宋体" w:hAnsi="宋体" w:cs="宋体"/>
          <w:sz w:val="24"/>
        </w:rPr>
      </w:pPr>
      <w:r>
        <w:rPr>
          <w:rFonts w:hint="eastAsia" w:ascii="宋体" w:hAnsi="宋体" w:cs="宋体"/>
          <w:sz w:val="24"/>
        </w:rPr>
        <w:t>2、主要外购件、配套件的型号规格和制造商明细表</w:t>
      </w:r>
    </w:p>
    <w:p>
      <w:pPr>
        <w:spacing w:line="432" w:lineRule="auto"/>
        <w:rPr>
          <w:rFonts w:ascii="宋体" w:hAnsi="宋体" w:cs="宋体"/>
          <w:sz w:val="24"/>
        </w:rPr>
      </w:pPr>
      <w:r>
        <w:rPr>
          <w:rFonts w:hint="eastAsia" w:ascii="宋体" w:hAnsi="宋体" w:cs="宋体"/>
          <w:sz w:val="24"/>
        </w:rPr>
        <w:t>3、标准附件、备品备件和专用工具等</w:t>
      </w:r>
    </w:p>
    <w:p>
      <w:pPr>
        <w:spacing w:line="400" w:lineRule="exact"/>
        <w:rPr>
          <w:rFonts w:ascii="宋体" w:hAnsi="宋体" w:cs="宋体"/>
          <w:sz w:val="24"/>
        </w:rPr>
      </w:pPr>
      <w:r>
        <w:rPr>
          <w:rFonts w:hint="eastAsia" w:ascii="宋体" w:hAnsi="宋体" w:cs="宋体"/>
          <w:sz w:val="24"/>
        </w:rPr>
        <w:t>4、供应商认为需要说明的其他内容（供应商视需要自行编写）</w:t>
      </w:r>
    </w:p>
    <w:p>
      <w:pPr>
        <w:spacing w:line="400" w:lineRule="exact"/>
        <w:rPr>
          <w:rFonts w:ascii="宋体" w:hAnsi="宋体" w:cs="宋体"/>
          <w:sz w:val="24"/>
          <w:u w:val="single"/>
        </w:rPr>
      </w:pPr>
    </w:p>
    <w:p>
      <w:pPr>
        <w:spacing w:line="432" w:lineRule="auto"/>
        <w:rPr>
          <w:rFonts w:ascii="宋体" w:hAnsi="宋体" w:cs="宋体"/>
          <w:sz w:val="24"/>
        </w:rPr>
        <w:sectPr>
          <w:pgSz w:w="11906" w:h="16838"/>
          <w:pgMar w:top="1418" w:right="1247" w:bottom="1418" w:left="1814" w:header="851" w:footer="992" w:gutter="0"/>
          <w:cols w:space="720" w:num="1"/>
          <w:docGrid w:type="lines" w:linePitch="312" w:charSpace="0"/>
        </w:sectPr>
      </w:pPr>
    </w:p>
    <w:p>
      <w:pPr>
        <w:pStyle w:val="4"/>
        <w:spacing w:before="0" w:after="0" w:line="460" w:lineRule="exact"/>
        <w:jc w:val="center"/>
        <w:rPr>
          <w:rFonts w:ascii="宋体" w:hAnsi="宋体" w:eastAsia="宋体" w:cs="宋体"/>
          <w:sz w:val="30"/>
          <w:szCs w:val="30"/>
        </w:rPr>
      </w:pPr>
      <w:bookmarkStart w:id="91" w:name="_Toc293934829"/>
      <w:bookmarkStart w:id="92" w:name="_Toc501638148"/>
      <w:r>
        <w:rPr>
          <w:rFonts w:hint="eastAsia" w:ascii="宋体" w:hAnsi="宋体" w:eastAsia="宋体" w:cs="宋体"/>
          <w:sz w:val="30"/>
          <w:szCs w:val="30"/>
        </w:rPr>
        <w:t>9.</w:t>
      </w:r>
      <w:bookmarkEnd w:id="91"/>
      <w:bookmarkEnd w:id="92"/>
      <w:r>
        <w:rPr>
          <w:rFonts w:hint="eastAsia" w:ascii="宋体" w:hAnsi="宋体" w:eastAsia="宋体" w:cs="宋体"/>
          <w:sz w:val="30"/>
          <w:szCs w:val="30"/>
        </w:rPr>
        <w:t>供应商应当提交的资格、资信证明文件</w:t>
      </w:r>
    </w:p>
    <w:p>
      <w:pPr>
        <w:spacing w:line="432" w:lineRule="auto"/>
        <w:jc w:val="center"/>
        <w:rPr>
          <w:rFonts w:ascii="宋体" w:hAnsi="宋体" w:cs="宋体"/>
          <w:strike/>
          <w:sz w:val="24"/>
        </w:rPr>
      </w:pPr>
      <w:r>
        <w:rPr>
          <w:rFonts w:hint="eastAsia" w:ascii="宋体" w:hAnsi="宋体" w:cs="宋体"/>
          <w:b/>
          <w:i/>
          <w:sz w:val="24"/>
          <w:szCs w:val="24"/>
        </w:rPr>
        <w:t>说明：以下应当提交的资格、资信证明文件均为原件原色扫描件,未提交或不满足要求均视为无效响应。文件另有具体要求的从其规定。</w:t>
      </w:r>
    </w:p>
    <w:p>
      <w:pPr>
        <w:spacing w:line="400" w:lineRule="exact"/>
        <w:rPr>
          <w:rFonts w:ascii="宋体" w:hAnsi="宋体" w:cs="宋体"/>
          <w:sz w:val="24"/>
        </w:rPr>
      </w:pPr>
      <w:r>
        <w:rPr>
          <w:rFonts w:hint="eastAsia" w:ascii="宋体" w:hAnsi="宋体" w:cs="宋体"/>
          <w:sz w:val="24"/>
        </w:rPr>
        <w:t>填写须知</w:t>
      </w:r>
    </w:p>
    <w:p>
      <w:pPr>
        <w:numPr>
          <w:ilvl w:val="0"/>
          <w:numId w:val="6"/>
        </w:numPr>
        <w:spacing w:line="400" w:lineRule="exact"/>
        <w:rPr>
          <w:rFonts w:ascii="宋体" w:hAnsi="宋体" w:cs="宋体"/>
          <w:sz w:val="24"/>
        </w:rPr>
      </w:pPr>
      <w:r>
        <w:rPr>
          <w:rFonts w:hint="eastAsia" w:ascii="宋体" w:hAnsi="宋体" w:cs="宋体"/>
          <w:sz w:val="24"/>
        </w:rPr>
        <w:t>供应商应填写和提交下述规定的资格证明文件。扫描件均须加盖公章；</w:t>
      </w:r>
    </w:p>
    <w:p>
      <w:pPr>
        <w:numPr>
          <w:ilvl w:val="0"/>
          <w:numId w:val="6"/>
        </w:numPr>
        <w:spacing w:line="400" w:lineRule="exact"/>
        <w:rPr>
          <w:rFonts w:ascii="宋体" w:hAnsi="宋体" w:cs="宋体"/>
          <w:sz w:val="24"/>
        </w:rPr>
      </w:pPr>
      <w:r>
        <w:rPr>
          <w:rFonts w:hint="eastAsia" w:ascii="宋体" w:hAnsi="宋体" w:cs="宋体"/>
          <w:sz w:val="24"/>
        </w:rPr>
        <w:t>所附格式中要求填写的全部内容都必须如实填写；</w:t>
      </w:r>
    </w:p>
    <w:p>
      <w:pPr>
        <w:numPr>
          <w:ilvl w:val="0"/>
          <w:numId w:val="6"/>
        </w:numPr>
        <w:spacing w:line="400" w:lineRule="exact"/>
        <w:rPr>
          <w:rFonts w:ascii="宋体" w:hAnsi="宋体" w:cs="宋体"/>
          <w:sz w:val="24"/>
        </w:rPr>
      </w:pPr>
      <w:r>
        <w:rPr>
          <w:rFonts w:hint="eastAsia" w:ascii="宋体" w:hAnsi="宋体" w:cs="宋体"/>
          <w:sz w:val="24"/>
        </w:rPr>
        <w:t>本资格声明的签字人应保证全部声明和填写的内容是真实的和正确的；</w:t>
      </w:r>
    </w:p>
    <w:p>
      <w:pPr>
        <w:numPr>
          <w:ilvl w:val="0"/>
          <w:numId w:val="6"/>
        </w:numPr>
        <w:spacing w:line="400" w:lineRule="exact"/>
        <w:rPr>
          <w:rFonts w:ascii="宋体" w:hAnsi="宋体" w:cs="宋体"/>
          <w:sz w:val="24"/>
        </w:rPr>
      </w:pPr>
      <w:r>
        <w:rPr>
          <w:rFonts w:hint="eastAsia" w:ascii="宋体" w:hAnsi="宋体" w:cs="宋体"/>
          <w:sz w:val="24"/>
        </w:rPr>
        <w:t>谈判小组将应用供应商提交的资料，根据自己的判断和考虑决定供应商履行合同的合格性及能力。</w:t>
      </w:r>
    </w:p>
    <w:p>
      <w:pPr>
        <w:spacing w:line="400" w:lineRule="exact"/>
        <w:rPr>
          <w:rFonts w:ascii="宋体" w:hAnsi="宋体" w:cs="宋体"/>
          <w:b/>
          <w:sz w:val="24"/>
        </w:rPr>
      </w:pPr>
      <w:r>
        <w:rPr>
          <w:rFonts w:hint="eastAsia" w:ascii="宋体" w:hAnsi="宋体" w:cs="宋体"/>
          <w:b/>
          <w:sz w:val="24"/>
        </w:rPr>
        <w:t>9-1</w:t>
      </w:r>
      <w:r>
        <w:rPr>
          <w:rFonts w:hint="eastAsia" w:ascii="宋体" w:hAnsi="宋体" w:cs="宋体"/>
          <w:b/>
          <w:bCs/>
          <w:sz w:val="24"/>
        </w:rPr>
        <w:t>具有独立承担民事责任的能力的资格证明文件</w:t>
      </w:r>
    </w:p>
    <w:p>
      <w:pPr>
        <w:spacing w:line="400" w:lineRule="exact"/>
        <w:ind w:firstLine="360" w:firstLineChars="150"/>
        <w:rPr>
          <w:rFonts w:ascii="宋体" w:hAnsi="宋体" w:cs="宋体"/>
          <w:sz w:val="24"/>
          <w:szCs w:val="24"/>
        </w:rPr>
      </w:pPr>
      <w:r>
        <w:rPr>
          <w:rFonts w:hint="eastAsia" w:ascii="宋体" w:hAnsi="宋体" w:cs="宋体"/>
          <w:sz w:val="24"/>
          <w:szCs w:val="24"/>
        </w:rPr>
        <w:t xml:space="preserve">如供应商是企业的（包括合伙企业）应提供有效的“企业法人营业执照”或“营业执照”；如供应商是事业单位的应提供“事业单位法人证书”；如供应商是非企业专业服务机构的应提供执业许可证等证明文件；供应商是个体工商户的应提供有效的“个体工商户营业执照”、组织机构代码证证明文件（实行“统一社会信用代码”的不需单独提供组织机构代码证）；如供应商是自然人的，应提供有效的自然人的身份证明(中国公民)。 </w:t>
      </w:r>
    </w:p>
    <w:p>
      <w:pPr>
        <w:spacing w:line="400" w:lineRule="exact"/>
        <w:rPr>
          <w:rFonts w:ascii="宋体" w:hAnsi="宋体" w:cs="宋体"/>
          <w:b/>
          <w:sz w:val="24"/>
          <w:szCs w:val="24"/>
        </w:rPr>
      </w:pPr>
      <w:r>
        <w:rPr>
          <w:rFonts w:hint="eastAsia" w:ascii="宋体" w:hAnsi="宋体" w:cs="宋体"/>
          <w:b/>
          <w:sz w:val="24"/>
          <w:szCs w:val="24"/>
        </w:rPr>
        <w:t xml:space="preserve">9-2具有良好的商业信誉和健全的财务会计制度的证明文件  </w:t>
      </w:r>
    </w:p>
    <w:p>
      <w:pPr>
        <w:spacing w:line="400" w:lineRule="exact"/>
        <w:ind w:left="420" w:leftChars="200"/>
        <w:rPr>
          <w:rFonts w:ascii="宋体" w:hAnsi="宋体" w:cs="宋体"/>
          <w:sz w:val="24"/>
          <w:szCs w:val="24"/>
        </w:rPr>
      </w:pPr>
      <w:r>
        <w:rPr>
          <w:rFonts w:hint="eastAsia" w:ascii="宋体" w:hAnsi="宋体" w:cs="宋体"/>
          <w:sz w:val="24"/>
          <w:szCs w:val="24"/>
        </w:rPr>
        <w:t>供应商是法人的，提供谈判前</w:t>
      </w:r>
      <w:r>
        <w:rPr>
          <w:rFonts w:hint="eastAsia" w:ascii="宋体" w:hAnsi="宋体" w:cs="宋体"/>
          <w:sz w:val="24"/>
        </w:rPr>
        <w:t>二</w:t>
      </w:r>
      <w:r>
        <w:rPr>
          <w:rFonts w:hint="eastAsia" w:ascii="宋体" w:hAnsi="宋体" w:cs="宋体"/>
          <w:sz w:val="24"/>
          <w:szCs w:val="24"/>
        </w:rPr>
        <w:t>个年度内任一年度经审计的财务状况报告，或在谈判前</w:t>
      </w:r>
      <w:r>
        <w:rPr>
          <w:rFonts w:hint="eastAsia" w:ascii="宋体" w:hAnsi="宋体" w:cs="宋体"/>
          <w:sz w:val="24"/>
        </w:rPr>
        <w:t>六</w:t>
      </w:r>
      <w:r>
        <w:rPr>
          <w:rFonts w:hint="eastAsia" w:ascii="宋体" w:hAnsi="宋体" w:cs="宋体"/>
          <w:sz w:val="24"/>
          <w:szCs w:val="24"/>
        </w:rPr>
        <w:t>个月内其开户银行出具的资信证明；其他组织和自然人，没有经审计的财务报告，可以提供在谈判前</w:t>
      </w:r>
      <w:r>
        <w:rPr>
          <w:rFonts w:hint="eastAsia" w:ascii="宋体" w:hAnsi="宋体" w:cs="宋体"/>
          <w:sz w:val="24"/>
        </w:rPr>
        <w:t>六</w:t>
      </w:r>
      <w:r>
        <w:rPr>
          <w:rFonts w:hint="eastAsia" w:ascii="宋体" w:hAnsi="宋体" w:cs="宋体"/>
          <w:sz w:val="24"/>
          <w:szCs w:val="24"/>
        </w:rPr>
        <w:t>个月内银行出具的资信证明；个体工商户提供谈判前</w:t>
      </w:r>
      <w:r>
        <w:rPr>
          <w:rFonts w:hint="eastAsia" w:ascii="宋体" w:hAnsi="宋体" w:cs="宋体"/>
          <w:sz w:val="24"/>
        </w:rPr>
        <w:t>六</w:t>
      </w:r>
      <w:r>
        <w:rPr>
          <w:rFonts w:hint="eastAsia" w:ascii="宋体" w:hAnsi="宋体" w:cs="宋体"/>
          <w:sz w:val="24"/>
          <w:szCs w:val="24"/>
        </w:rPr>
        <w:t xml:space="preserve">个月内中国人民银行征信中心开具个人信用报告。 </w:t>
      </w:r>
    </w:p>
    <w:p>
      <w:pPr>
        <w:spacing w:line="400" w:lineRule="exact"/>
        <w:rPr>
          <w:rFonts w:ascii="宋体" w:hAnsi="宋体" w:cs="宋体"/>
          <w:b/>
          <w:sz w:val="24"/>
          <w:szCs w:val="24"/>
        </w:rPr>
      </w:pPr>
      <w:r>
        <w:rPr>
          <w:rFonts w:hint="eastAsia" w:ascii="宋体" w:hAnsi="宋体" w:cs="宋体"/>
          <w:b/>
          <w:sz w:val="24"/>
          <w:szCs w:val="24"/>
        </w:rPr>
        <w:t xml:space="preserve">9-3具有履行合同所必需的设备和专业技术能力的证明文件  </w:t>
      </w:r>
    </w:p>
    <w:p>
      <w:pPr>
        <w:spacing w:line="400" w:lineRule="exact"/>
        <w:ind w:firstLine="480" w:firstLineChars="200"/>
        <w:rPr>
          <w:rFonts w:ascii="宋体" w:hAnsi="宋体" w:cs="宋体"/>
          <w:sz w:val="24"/>
          <w:szCs w:val="24"/>
        </w:rPr>
      </w:pPr>
      <w:r>
        <w:rPr>
          <w:rFonts w:hint="eastAsia" w:ascii="宋体" w:hAnsi="宋体" w:cs="宋体"/>
          <w:sz w:val="24"/>
          <w:szCs w:val="24"/>
        </w:rPr>
        <w:t>供应商提供具有履行合同所必需的设备和专业技术能力的承诺函；（见格式9-7）</w:t>
      </w:r>
    </w:p>
    <w:p>
      <w:pPr>
        <w:spacing w:line="400" w:lineRule="exact"/>
        <w:rPr>
          <w:rFonts w:ascii="宋体" w:hAnsi="宋体" w:cs="宋体"/>
          <w:sz w:val="24"/>
          <w:szCs w:val="24"/>
        </w:rPr>
      </w:pPr>
      <w:r>
        <w:rPr>
          <w:rFonts w:hint="eastAsia" w:ascii="宋体" w:hAnsi="宋体" w:cs="宋体"/>
          <w:b/>
          <w:sz w:val="24"/>
          <w:szCs w:val="24"/>
        </w:rPr>
        <w:t xml:space="preserve">9-4有依法缴纳税收和社会保障资金的良好记录的证明文件  </w:t>
      </w:r>
    </w:p>
    <w:p>
      <w:pPr>
        <w:spacing w:line="400" w:lineRule="exact"/>
        <w:ind w:firstLine="480" w:firstLineChars="200"/>
        <w:rPr>
          <w:rFonts w:ascii="宋体" w:hAnsi="宋体" w:cs="宋体"/>
          <w:sz w:val="24"/>
          <w:szCs w:val="24"/>
        </w:rPr>
      </w:pPr>
      <w:r>
        <w:rPr>
          <w:rFonts w:hint="eastAsia" w:ascii="宋体" w:hAnsi="宋体" w:cs="宋体"/>
          <w:sz w:val="24"/>
          <w:szCs w:val="24"/>
        </w:rPr>
        <w:t>税务登记证（实行“统一社会信用代码”的不需单独提供）和谈判前</w:t>
      </w:r>
      <w:r>
        <w:rPr>
          <w:rFonts w:hint="eastAsia" w:ascii="宋体" w:hAnsi="宋体" w:cs="宋体"/>
          <w:sz w:val="24"/>
        </w:rPr>
        <w:t>六</w:t>
      </w:r>
      <w:r>
        <w:rPr>
          <w:rFonts w:hint="eastAsia" w:ascii="宋体" w:hAnsi="宋体" w:cs="宋体"/>
          <w:sz w:val="24"/>
          <w:szCs w:val="24"/>
        </w:rPr>
        <w:t xml:space="preserve">个月内任意一个月的企业缴税凭证或证明； </w:t>
      </w:r>
    </w:p>
    <w:p>
      <w:pPr>
        <w:spacing w:line="400" w:lineRule="exact"/>
        <w:ind w:firstLine="480" w:firstLineChars="200"/>
        <w:rPr>
          <w:rFonts w:ascii="宋体" w:hAnsi="宋体" w:cs="宋体"/>
          <w:sz w:val="24"/>
          <w:szCs w:val="24"/>
        </w:rPr>
      </w:pPr>
      <w:r>
        <w:rPr>
          <w:rFonts w:hint="eastAsia" w:ascii="宋体" w:hAnsi="宋体" w:cs="宋体"/>
          <w:sz w:val="24"/>
          <w:szCs w:val="24"/>
        </w:rPr>
        <w:t>谈判前</w:t>
      </w:r>
      <w:r>
        <w:rPr>
          <w:rFonts w:hint="eastAsia" w:ascii="宋体" w:hAnsi="宋体" w:cs="宋体"/>
          <w:sz w:val="24"/>
        </w:rPr>
        <w:t>六</w:t>
      </w:r>
      <w:r>
        <w:rPr>
          <w:rFonts w:hint="eastAsia" w:ascii="宋体" w:hAnsi="宋体" w:cs="宋体"/>
          <w:sz w:val="24"/>
          <w:szCs w:val="24"/>
        </w:rPr>
        <w:t>个月内任意一个月的缴纳社会保障资金的凭证或当地社会保障局出具的缴纳明细。依法免税或不需要缴纳社会保障资金的供应商，应当提供相关文件证明其依法免税或不需要缴纳社会保障资金。</w:t>
      </w:r>
    </w:p>
    <w:p>
      <w:pPr>
        <w:spacing w:line="400" w:lineRule="exact"/>
        <w:rPr>
          <w:rFonts w:ascii="宋体" w:hAnsi="宋体" w:cs="宋体"/>
          <w:sz w:val="24"/>
          <w:szCs w:val="24"/>
        </w:rPr>
      </w:pPr>
      <w:r>
        <w:rPr>
          <w:rFonts w:hint="eastAsia" w:ascii="宋体" w:hAnsi="宋体" w:cs="宋体"/>
          <w:b/>
          <w:sz w:val="24"/>
          <w:szCs w:val="24"/>
        </w:rPr>
        <w:t xml:space="preserve">9-5参加政府采购前三年内,在经营活动中没有重大违法记录的证明文件 </w:t>
      </w:r>
    </w:p>
    <w:p>
      <w:pPr>
        <w:spacing w:line="400" w:lineRule="exact"/>
        <w:ind w:firstLine="480" w:firstLineChars="200"/>
        <w:rPr>
          <w:rFonts w:ascii="宋体" w:hAnsi="宋体" w:cs="宋体"/>
          <w:sz w:val="24"/>
          <w:szCs w:val="24"/>
        </w:rPr>
      </w:pPr>
      <w:r>
        <w:rPr>
          <w:rFonts w:hint="eastAsia" w:ascii="宋体" w:hAnsi="宋体" w:cs="宋体"/>
          <w:sz w:val="24"/>
          <w:szCs w:val="24"/>
        </w:rPr>
        <w:t>参加政府采购前三年内,在经营活动中没有重大违法记录承诺函（见格式9-7）；重大违法记录，是指供应商因违法经营受到刑事处罚或者责令停产停业、吊销许可证或者执照、较大罚款等行政处罚。</w:t>
      </w:r>
    </w:p>
    <w:p>
      <w:pPr>
        <w:spacing w:line="400" w:lineRule="exact"/>
        <w:rPr>
          <w:rFonts w:ascii="宋体" w:hAnsi="宋体" w:cs="宋体"/>
          <w:b/>
          <w:sz w:val="24"/>
          <w:szCs w:val="24"/>
        </w:rPr>
      </w:pPr>
      <w:r>
        <w:rPr>
          <w:rFonts w:hint="eastAsia" w:ascii="宋体" w:hAnsi="宋体" w:cs="宋体"/>
          <w:b/>
          <w:sz w:val="24"/>
          <w:szCs w:val="24"/>
        </w:rPr>
        <w:t xml:space="preserve">9-6法定代表人授权书（见格式） </w:t>
      </w:r>
    </w:p>
    <w:p>
      <w:pPr>
        <w:pStyle w:val="4"/>
        <w:spacing w:after="0" w:line="380" w:lineRule="exact"/>
        <w:ind w:left="-195" w:leftChars="-93" w:firstLine="195" w:firstLineChars="81"/>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备注：资格证明文件9-1至9-5可提供证明材料也可用“江西省政府采购供应商资格信用承诺函”代替（见格式9-8）。</w:t>
      </w:r>
    </w:p>
    <w:p>
      <w:pPr>
        <w:spacing w:line="432" w:lineRule="auto"/>
        <w:rPr>
          <w:rFonts w:ascii="宋体" w:hAnsi="宋体" w:cs="宋体"/>
          <w:sz w:val="28"/>
        </w:rPr>
      </w:pPr>
    </w:p>
    <w:p>
      <w:pPr>
        <w:jc w:val="center"/>
        <w:rPr>
          <w:rFonts w:ascii="宋体" w:hAnsi="宋体" w:cs="宋体"/>
          <w:b/>
          <w:bCs/>
          <w:sz w:val="24"/>
          <w:szCs w:val="24"/>
        </w:rPr>
      </w:pPr>
    </w:p>
    <w:p>
      <w:pPr>
        <w:jc w:val="center"/>
        <w:rPr>
          <w:rFonts w:ascii="宋体" w:hAnsi="宋体" w:cs="宋体"/>
          <w:b/>
          <w:bCs/>
          <w:sz w:val="24"/>
          <w:szCs w:val="24"/>
        </w:rPr>
      </w:pPr>
      <w:r>
        <w:rPr>
          <w:rFonts w:hint="eastAsia" w:ascii="宋体" w:hAnsi="宋体" w:cs="宋体"/>
          <w:b/>
          <w:bCs/>
          <w:sz w:val="24"/>
          <w:szCs w:val="24"/>
        </w:rPr>
        <w:t>格式9-6  法定代表人授权书</w:t>
      </w:r>
    </w:p>
    <w:p>
      <w:pPr>
        <w:spacing w:line="432" w:lineRule="auto"/>
        <w:rPr>
          <w:rFonts w:ascii="宋体" w:hAnsi="宋体" w:cs="宋体"/>
          <w:sz w:val="24"/>
        </w:rPr>
      </w:pPr>
    </w:p>
    <w:p>
      <w:pPr>
        <w:spacing w:line="440" w:lineRule="exact"/>
        <w:rPr>
          <w:rFonts w:ascii="宋体" w:hAnsi="宋体" w:cs="宋体"/>
          <w:sz w:val="28"/>
          <w:szCs w:val="28"/>
        </w:rPr>
      </w:pPr>
      <w:r>
        <w:rPr>
          <w:rFonts w:hint="eastAsia" w:ascii="宋体" w:hAnsi="宋体" w:cs="宋体"/>
          <w:sz w:val="28"/>
          <w:szCs w:val="28"/>
        </w:rPr>
        <w:t>致：江西省机电设备招标有限公司</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（供应商全称）法定代表人授权（全权代表姓名）为全权代表,参加贵处组织的（项目编号）项目谈判活动，全权代表我方处理谈判活动中的一切事宜。</w:t>
      </w: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法定代表人签字或签章：</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供应商盖章：</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日  期：</w:t>
      </w: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附：</w:t>
      </w:r>
    </w:p>
    <w:p>
      <w:pPr>
        <w:spacing w:line="440" w:lineRule="exact"/>
        <w:rPr>
          <w:rFonts w:ascii="宋体" w:hAnsi="宋体" w:cs="宋体"/>
          <w:sz w:val="24"/>
          <w:u w:val="single"/>
        </w:rPr>
      </w:pPr>
      <w:r>
        <w:rPr>
          <w:rFonts w:hint="eastAsia" w:ascii="宋体" w:hAnsi="宋体" w:cs="宋体"/>
          <w:sz w:val="24"/>
        </w:rPr>
        <w:t>全权代表姓名：</w:t>
      </w:r>
    </w:p>
    <w:p>
      <w:pPr>
        <w:spacing w:line="440" w:lineRule="exact"/>
        <w:rPr>
          <w:rFonts w:ascii="宋体" w:hAnsi="宋体" w:cs="宋体"/>
          <w:sz w:val="24"/>
        </w:rPr>
      </w:pPr>
      <w:r>
        <w:rPr>
          <w:rFonts w:hint="eastAsia" w:ascii="宋体" w:hAnsi="宋体" w:cs="宋体"/>
          <w:sz w:val="24"/>
        </w:rPr>
        <w:t>职        务：</w:t>
      </w:r>
    </w:p>
    <w:p>
      <w:pPr>
        <w:spacing w:line="440" w:lineRule="exact"/>
        <w:rPr>
          <w:rFonts w:ascii="宋体" w:hAnsi="宋体" w:cs="宋体"/>
          <w:sz w:val="24"/>
        </w:rPr>
      </w:pPr>
      <w:r>
        <w:rPr>
          <w:rFonts w:hint="eastAsia" w:ascii="宋体" w:hAnsi="宋体" w:cs="宋体"/>
          <w:sz w:val="24"/>
        </w:rPr>
        <w:t>电        话：</w:t>
      </w:r>
    </w:p>
    <w:p>
      <w:pPr>
        <w:spacing w:line="440" w:lineRule="exact"/>
        <w:rPr>
          <w:rFonts w:ascii="宋体" w:hAnsi="宋体" w:cs="宋体"/>
          <w:sz w:val="24"/>
        </w:rPr>
      </w:pPr>
      <w:r>
        <w:rPr>
          <w:rFonts w:hint="eastAsia" w:ascii="宋体" w:hAnsi="宋体" w:cs="宋体"/>
          <w:sz w:val="24"/>
        </w:rPr>
        <w:t>详细通讯地址：</w:t>
      </w:r>
    </w:p>
    <w:p>
      <w:pPr>
        <w:spacing w:line="440" w:lineRule="exact"/>
        <w:rPr>
          <w:rFonts w:ascii="宋体" w:hAnsi="宋体" w:cs="宋体"/>
          <w:sz w:val="24"/>
        </w:rPr>
      </w:pPr>
      <w:r>
        <w:rPr>
          <w:rFonts w:hint="eastAsia" w:ascii="宋体" w:hAnsi="宋体" w:cs="宋体"/>
          <w:sz w:val="24"/>
        </w:rPr>
        <w:t>邮 政 编 码 ：</w:t>
      </w:r>
    </w:p>
    <w:p>
      <w:pPr>
        <w:rPr>
          <w:rFonts w:ascii="宋体" w:hAnsi="宋体" w:cs="宋体"/>
        </w:rPr>
      </w:pPr>
    </w:p>
    <w:p>
      <w:pPr>
        <w:spacing w:line="440" w:lineRule="exact"/>
        <w:rPr>
          <w:rFonts w:ascii="宋体" w:hAnsi="宋体" w:cs="宋体"/>
        </w:rPr>
      </w:pPr>
    </w:p>
    <w:p>
      <w:pPr>
        <w:spacing w:line="440" w:lineRule="exact"/>
        <w:rPr>
          <w:rFonts w:ascii="宋体" w:hAnsi="宋体" w:cs="宋体"/>
        </w:rPr>
      </w:pPr>
    </w:p>
    <w:p>
      <w:pPr>
        <w:spacing w:line="440" w:lineRule="exact"/>
        <w:rPr>
          <w:rFonts w:ascii="宋体" w:hAnsi="宋体" w:cs="宋体"/>
        </w:rPr>
      </w:pPr>
    </w:p>
    <w:p>
      <w:pPr>
        <w:tabs>
          <w:tab w:val="left" w:pos="1470"/>
        </w:tabs>
        <w:spacing w:line="432" w:lineRule="auto"/>
        <w:rPr>
          <w:rFonts w:ascii="宋体" w:hAnsi="宋体" w:cs="宋体"/>
          <w:sz w:val="24"/>
        </w:rPr>
      </w:pPr>
      <w:r>
        <w:rPr>
          <w:rFonts w:hint="eastAsia" w:ascii="宋体" w:hAnsi="宋体" w:cs="宋体"/>
          <w:sz w:val="24"/>
        </w:rPr>
        <w:t>附：全权代表身份证扫描件（正、反面）</w:t>
      </w:r>
    </w:p>
    <w:p>
      <w:pPr>
        <w:tabs>
          <w:tab w:val="left" w:pos="1470"/>
        </w:tabs>
        <w:spacing w:line="432" w:lineRule="auto"/>
        <w:rPr>
          <w:rFonts w:ascii="宋体" w:hAnsi="宋体" w:cs="宋体"/>
          <w:b/>
          <w:sz w:val="24"/>
        </w:rPr>
        <w:sectPr>
          <w:footerReference r:id="rId11" w:type="default"/>
          <w:footerReference r:id="rId12" w:type="even"/>
          <w:pgSz w:w="11906" w:h="16838"/>
          <w:pgMar w:top="1418" w:right="1247" w:bottom="1418" w:left="1814" w:header="851" w:footer="992" w:gutter="0"/>
          <w:cols w:space="720" w:num="1"/>
          <w:docGrid w:linePitch="312" w:charSpace="0"/>
        </w:sectPr>
      </w:pPr>
      <w:r>
        <w:rPr>
          <w:rFonts w:hint="eastAsia" w:ascii="宋体" w:hAnsi="宋体" w:cs="宋体"/>
          <w:b/>
          <w:sz w:val="24"/>
          <w:szCs w:val="24"/>
        </w:rPr>
        <w:t>说明：法定代表人参加采购，不用提供委托（授权）书</w:t>
      </w:r>
    </w:p>
    <w:p>
      <w:pPr>
        <w:spacing w:after="312" w:afterLines="100"/>
        <w:jc w:val="center"/>
        <w:rPr>
          <w:rFonts w:ascii="宋体" w:hAnsi="宋体" w:cs="宋体"/>
          <w:b/>
          <w:bCs/>
          <w:sz w:val="24"/>
          <w:szCs w:val="24"/>
        </w:rPr>
      </w:pPr>
      <w:bookmarkStart w:id="93" w:name="_Toc262628298"/>
      <w:bookmarkStart w:id="94" w:name="_Toc262628299"/>
      <w:r>
        <w:rPr>
          <w:rFonts w:hint="eastAsia" w:ascii="宋体" w:hAnsi="宋体" w:cs="宋体"/>
          <w:b/>
          <w:bCs/>
          <w:sz w:val="24"/>
          <w:szCs w:val="24"/>
        </w:rPr>
        <w:t>格式9-7供应商的资格声明</w:t>
      </w:r>
      <w:bookmarkEnd w:id="93"/>
    </w:p>
    <w:p>
      <w:pPr>
        <w:spacing w:after="312" w:afterLines="100" w:line="432" w:lineRule="auto"/>
        <w:jc w:val="center"/>
        <w:rPr>
          <w:rFonts w:ascii="宋体" w:hAnsi="宋体" w:cs="宋体"/>
          <w:sz w:val="24"/>
        </w:rPr>
      </w:pPr>
      <w:r>
        <w:rPr>
          <w:rFonts w:hint="eastAsia" w:ascii="宋体" w:hAnsi="宋体" w:cs="宋体"/>
          <w:sz w:val="24"/>
        </w:rPr>
        <w:t>（供参考格式）</w:t>
      </w:r>
    </w:p>
    <w:p>
      <w:pPr>
        <w:spacing w:line="440" w:lineRule="exact"/>
        <w:rPr>
          <w:rFonts w:ascii="宋体" w:hAnsi="宋体" w:cs="宋体"/>
          <w:sz w:val="28"/>
          <w:szCs w:val="28"/>
        </w:rPr>
      </w:pPr>
      <w:r>
        <w:rPr>
          <w:rFonts w:hint="eastAsia" w:ascii="宋体" w:hAnsi="宋体" w:cs="宋体"/>
          <w:sz w:val="28"/>
          <w:szCs w:val="28"/>
        </w:rPr>
        <w:t>致：江西省机电设备招标有限公司</w:t>
      </w:r>
    </w:p>
    <w:p>
      <w:pPr>
        <w:spacing w:line="560" w:lineRule="exact"/>
        <w:ind w:left="2" w:firstLine="476" w:firstLineChars="202"/>
        <w:rPr>
          <w:rFonts w:ascii="宋体" w:hAnsi="宋体" w:cs="宋体"/>
          <w:spacing w:val="-2"/>
          <w:sz w:val="24"/>
        </w:rPr>
      </w:pPr>
    </w:p>
    <w:p>
      <w:pPr>
        <w:spacing w:line="560" w:lineRule="exact"/>
        <w:ind w:left="2" w:firstLine="476" w:firstLineChars="202"/>
        <w:rPr>
          <w:rFonts w:ascii="宋体" w:hAnsi="宋体" w:cs="宋体"/>
          <w:sz w:val="24"/>
        </w:rPr>
      </w:pPr>
      <w:r>
        <w:rPr>
          <w:rFonts w:hint="eastAsia" w:ascii="宋体" w:hAnsi="宋体" w:cs="宋体"/>
          <w:spacing w:val="-2"/>
          <w:sz w:val="24"/>
        </w:rPr>
        <w:t>为响应贵方</w:t>
      </w:r>
      <w:r>
        <w:rPr>
          <w:rFonts w:hint="eastAsia" w:ascii="宋体" w:hAnsi="宋体" w:cs="宋体"/>
          <w:i/>
          <w:spacing w:val="-2"/>
          <w:sz w:val="24"/>
          <w:u w:val="single"/>
        </w:rPr>
        <w:t>（项目名称、项目编号）</w:t>
      </w:r>
      <w:r>
        <w:rPr>
          <w:rFonts w:hint="eastAsia" w:ascii="宋体" w:hAnsi="宋体" w:cs="宋体"/>
          <w:spacing w:val="-2"/>
          <w:sz w:val="24"/>
        </w:rPr>
        <w:t>谈判邀请，下述签字人愿参与谈判，提供采购需求一览表和技术要求</w:t>
      </w:r>
      <w:r>
        <w:rPr>
          <w:rFonts w:hint="eastAsia" w:ascii="宋体" w:hAnsi="宋体" w:cs="宋体"/>
          <w:sz w:val="24"/>
          <w:szCs w:val="24"/>
        </w:rPr>
        <w:t>规定的货物和有关服务</w:t>
      </w:r>
      <w:r>
        <w:rPr>
          <w:rFonts w:hint="eastAsia" w:ascii="宋体" w:hAnsi="宋体" w:cs="宋体"/>
          <w:spacing w:val="-2"/>
          <w:sz w:val="24"/>
        </w:rPr>
        <w:t>，提交下述文件并声明全</w:t>
      </w:r>
      <w:r>
        <w:rPr>
          <w:rFonts w:hint="eastAsia" w:ascii="宋体" w:hAnsi="宋体" w:cs="宋体"/>
          <w:sz w:val="24"/>
        </w:rPr>
        <w:t>部说明是真实的和正确的。</w:t>
      </w:r>
    </w:p>
    <w:p>
      <w:pPr>
        <w:numPr>
          <w:ilvl w:val="0"/>
          <w:numId w:val="7"/>
        </w:numPr>
        <w:spacing w:line="560" w:lineRule="exact"/>
        <w:ind w:hanging="5"/>
        <w:rPr>
          <w:rFonts w:ascii="宋体" w:hAnsi="宋体" w:cs="宋体"/>
          <w:sz w:val="24"/>
        </w:rPr>
      </w:pPr>
      <w:r>
        <w:rPr>
          <w:rFonts w:hint="eastAsia" w:ascii="宋体" w:hAnsi="宋体" w:cs="宋体"/>
          <w:sz w:val="24"/>
        </w:rPr>
        <w:t>我方具有履行合同所必需的设备和专业技术能力</w:t>
      </w:r>
      <w:r>
        <w:rPr>
          <w:rFonts w:hint="eastAsia" w:ascii="宋体" w:hAnsi="宋体" w:cs="仿宋"/>
          <w:sz w:val="24"/>
          <w:szCs w:val="24"/>
        </w:rPr>
        <w:t>；</w:t>
      </w:r>
    </w:p>
    <w:p>
      <w:pPr>
        <w:numPr>
          <w:ilvl w:val="0"/>
          <w:numId w:val="7"/>
        </w:numPr>
        <w:spacing w:line="560" w:lineRule="exact"/>
        <w:ind w:hanging="5"/>
        <w:rPr>
          <w:rFonts w:ascii="宋体" w:hAnsi="宋体" w:cs="宋体"/>
          <w:sz w:val="24"/>
          <w:szCs w:val="22"/>
        </w:rPr>
      </w:pPr>
      <w:r>
        <w:rPr>
          <w:rFonts w:hint="eastAsia" w:ascii="宋体" w:hAnsi="宋体" w:cs="宋体"/>
          <w:sz w:val="24"/>
          <w:szCs w:val="22"/>
        </w:rPr>
        <w:t>我方在参加政府采购前三年内,在经营活动中没有重大违法记录</w:t>
      </w:r>
      <w:r>
        <w:rPr>
          <w:rFonts w:hint="eastAsia" w:ascii="宋体" w:hAnsi="宋体" w:cs="仿宋"/>
          <w:sz w:val="24"/>
          <w:szCs w:val="24"/>
        </w:rPr>
        <w:t>；</w:t>
      </w:r>
    </w:p>
    <w:p>
      <w:pPr>
        <w:numPr>
          <w:ilvl w:val="0"/>
          <w:numId w:val="7"/>
        </w:numPr>
        <w:spacing w:line="560" w:lineRule="exact"/>
        <w:ind w:hanging="5"/>
        <w:rPr>
          <w:rFonts w:ascii="宋体" w:hAnsi="宋体" w:cs="宋体"/>
          <w:sz w:val="24"/>
          <w:szCs w:val="22"/>
        </w:rPr>
      </w:pPr>
      <w:r>
        <w:rPr>
          <w:rFonts w:hint="eastAsia" w:ascii="宋体" w:hAnsi="宋体" w:cs="宋体"/>
          <w:sz w:val="24"/>
          <w:szCs w:val="22"/>
        </w:rPr>
        <w:t>下述签字人在证书中证明本资格文件中的内容是真实的和正确的</w:t>
      </w:r>
      <w:r>
        <w:rPr>
          <w:rFonts w:hint="eastAsia" w:ascii="宋体" w:hAnsi="宋体" w:cs="仿宋"/>
          <w:sz w:val="24"/>
          <w:szCs w:val="24"/>
        </w:rPr>
        <w:t>；</w:t>
      </w:r>
    </w:p>
    <w:p>
      <w:pPr>
        <w:spacing w:line="560" w:lineRule="exact"/>
        <w:ind w:firstLine="480" w:firstLineChars="200"/>
        <w:rPr>
          <w:rFonts w:ascii="宋体" w:hAnsi="宋体" w:cs="仿宋"/>
          <w:sz w:val="24"/>
          <w:szCs w:val="24"/>
        </w:rPr>
      </w:pPr>
      <w:r>
        <w:rPr>
          <w:rFonts w:hint="eastAsia" w:ascii="宋体" w:hAnsi="宋体" w:cs="仿宋"/>
          <w:sz w:val="24"/>
          <w:szCs w:val="24"/>
        </w:rPr>
        <w:t>4.我方没有单位负责人为同一人或者存在直接控股、管理关系的不同供应商，参加本项目采购活动的情形；</w:t>
      </w:r>
    </w:p>
    <w:p>
      <w:pPr>
        <w:spacing w:line="432" w:lineRule="auto"/>
        <w:ind w:firstLine="480" w:firstLineChars="200"/>
        <w:rPr>
          <w:rFonts w:ascii="宋体" w:hAnsi="宋体" w:cs="宋体"/>
          <w:color w:val="000000"/>
          <w:sz w:val="24"/>
        </w:rPr>
      </w:pPr>
      <w:r>
        <w:rPr>
          <w:rFonts w:hint="eastAsia" w:ascii="宋体" w:hAnsi="宋体" w:cs="仿宋"/>
          <w:sz w:val="24"/>
          <w:szCs w:val="24"/>
        </w:rPr>
        <w:t>5.我方没有为本项目提供整体设计、规范编制或者项目管理、监理、检测等服务。</w:t>
      </w:r>
    </w:p>
    <w:p>
      <w:pPr>
        <w:spacing w:line="432" w:lineRule="auto"/>
        <w:ind w:left="420" w:leftChars="200"/>
        <w:rPr>
          <w:rFonts w:ascii="宋体" w:hAnsi="宋体" w:cs="宋体"/>
          <w:sz w:val="24"/>
        </w:rPr>
      </w:pP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法定代表人或委托代理签字或签章：                             </w:t>
      </w: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rPr>
      </w:pPr>
      <w:r>
        <w:rPr>
          <w:rFonts w:hint="eastAsia" w:ascii="宋体" w:hAnsi="宋体" w:cs="宋体"/>
          <w:sz w:val="24"/>
        </w:rPr>
        <w:t xml:space="preserve">日期：                                       </w:t>
      </w:r>
    </w:p>
    <w:bookmarkEnd w:id="94"/>
    <w:p>
      <w:pPr>
        <w:tabs>
          <w:tab w:val="left" w:pos="1470"/>
        </w:tabs>
        <w:spacing w:line="432" w:lineRule="auto"/>
        <w:rPr>
          <w:rFonts w:ascii="宋体" w:hAnsi="宋体" w:cs="宋体"/>
          <w:sz w:val="24"/>
          <w:u w:val="single"/>
        </w:rPr>
        <w:sectPr>
          <w:pgSz w:w="11906" w:h="16838"/>
          <w:pgMar w:top="1418" w:right="1247" w:bottom="1418" w:left="1814" w:header="851" w:footer="992" w:gutter="0"/>
          <w:cols w:space="720" w:num="1"/>
          <w:docGrid w:type="lines" w:linePitch="312" w:charSpace="0"/>
        </w:sectPr>
      </w:pPr>
    </w:p>
    <w:p>
      <w:pPr>
        <w:spacing w:after="312" w:afterLines="100"/>
        <w:jc w:val="center"/>
        <w:rPr>
          <w:rFonts w:ascii="宋体" w:hAnsi="宋体" w:cs="宋体"/>
          <w:b/>
          <w:bCs/>
          <w:sz w:val="24"/>
          <w:szCs w:val="24"/>
        </w:rPr>
      </w:pPr>
      <w:bookmarkStart w:id="95" w:name="_Toc464033498"/>
      <w:r>
        <w:rPr>
          <w:rFonts w:hint="eastAsia" w:ascii="宋体" w:hAnsi="宋体" w:cs="宋体"/>
          <w:b/>
          <w:bCs/>
          <w:sz w:val="24"/>
          <w:szCs w:val="24"/>
        </w:rPr>
        <w:t>格式9-8．江西省政府采购供应商资格信用承诺函</w:t>
      </w:r>
    </w:p>
    <w:p>
      <w:pPr>
        <w:pStyle w:val="66"/>
        <w:spacing w:line="610" w:lineRule="exact"/>
        <w:ind w:firstLine="0"/>
        <w:jc w:val="left"/>
        <w:rPr>
          <w:sz w:val="24"/>
          <w:szCs w:val="24"/>
        </w:rPr>
      </w:pPr>
      <w:r>
        <w:rPr>
          <w:rFonts w:hint="eastAsia"/>
          <w:color w:val="000000"/>
          <w:sz w:val="24"/>
          <w:szCs w:val="24"/>
        </w:rPr>
        <w:t>致（采购人或政府采购代理机构）:</w:t>
      </w:r>
    </w:p>
    <w:p>
      <w:pPr>
        <w:pStyle w:val="66"/>
        <w:spacing w:line="610" w:lineRule="exact"/>
        <w:ind w:firstLine="0"/>
        <w:rPr>
          <w:sz w:val="24"/>
          <w:szCs w:val="24"/>
        </w:rPr>
      </w:pPr>
      <w:r>
        <w:rPr>
          <w:rFonts w:hint="eastAsia"/>
          <w:color w:val="000000"/>
          <w:sz w:val="24"/>
          <w:szCs w:val="24"/>
        </w:rPr>
        <w:t>单位名称（自然人姓名）:</w:t>
      </w:r>
    </w:p>
    <w:p>
      <w:pPr>
        <w:pStyle w:val="66"/>
        <w:spacing w:line="610" w:lineRule="exact"/>
        <w:ind w:firstLine="0"/>
        <w:rPr>
          <w:sz w:val="24"/>
          <w:szCs w:val="24"/>
        </w:rPr>
      </w:pPr>
      <w:r>
        <w:rPr>
          <w:rFonts w:hint="eastAsia"/>
          <w:color w:val="000000"/>
          <w:sz w:val="24"/>
          <w:szCs w:val="24"/>
        </w:rPr>
        <w:t>统一社会信用代码（身份证号码）：</w:t>
      </w:r>
    </w:p>
    <w:p>
      <w:pPr>
        <w:pStyle w:val="66"/>
        <w:spacing w:line="610" w:lineRule="exact"/>
        <w:ind w:firstLine="0"/>
        <w:rPr>
          <w:sz w:val="24"/>
          <w:szCs w:val="24"/>
        </w:rPr>
      </w:pPr>
      <w:r>
        <w:rPr>
          <w:rFonts w:hint="eastAsia"/>
          <w:color w:val="000000"/>
          <w:sz w:val="24"/>
          <w:szCs w:val="24"/>
        </w:rPr>
        <w:t>法定代表人（负责人）：</w:t>
      </w:r>
    </w:p>
    <w:p>
      <w:pPr>
        <w:pStyle w:val="66"/>
        <w:spacing w:line="610" w:lineRule="exact"/>
        <w:ind w:firstLine="0"/>
        <w:rPr>
          <w:sz w:val="24"/>
          <w:szCs w:val="24"/>
        </w:rPr>
      </w:pPr>
      <w:r>
        <w:rPr>
          <w:rFonts w:hint="eastAsia"/>
          <w:color w:val="000000"/>
          <w:sz w:val="24"/>
          <w:szCs w:val="24"/>
        </w:rPr>
        <w:t>联系地址和电话：</w:t>
      </w:r>
    </w:p>
    <w:p>
      <w:pPr>
        <w:pStyle w:val="66"/>
        <w:spacing w:line="600" w:lineRule="exact"/>
        <w:ind w:firstLine="660"/>
        <w:jc w:val="left"/>
        <w:rPr>
          <w:sz w:val="24"/>
          <w:szCs w:val="24"/>
        </w:rPr>
      </w:pPr>
      <w:r>
        <w:rPr>
          <w:rFonts w:hint="eastAsia"/>
          <w:color w:val="000000"/>
          <w:sz w:val="24"/>
          <w:szCs w:val="24"/>
        </w:rPr>
        <w:t>我单位（本人）自愿参加本次政府采购活动，严格遵守《中 华人民共和国政府采购法》及相关法律法规，坚守公开、公平、 公正和诚实信用等原则，依法诚信经营，并郑重承诺：</w:t>
      </w:r>
    </w:p>
    <w:p>
      <w:pPr>
        <w:pStyle w:val="66"/>
        <w:spacing w:after="240" w:line="610" w:lineRule="exact"/>
        <w:rPr>
          <w:sz w:val="24"/>
          <w:szCs w:val="24"/>
        </w:rPr>
      </w:pPr>
      <w:r>
        <w:rPr>
          <w:rFonts w:hint="eastAsia"/>
          <w:color w:val="000000"/>
          <w:sz w:val="24"/>
          <w:szCs w:val="24"/>
        </w:rPr>
        <w:t>（一）我单位（本人）符合采购文件要求以及《中华人民共和国政府采购法》第二十二条规定的条件：</w:t>
      </w:r>
    </w:p>
    <w:p>
      <w:pPr>
        <w:pStyle w:val="66"/>
        <w:tabs>
          <w:tab w:val="left" w:pos="977"/>
        </w:tabs>
        <w:spacing w:line="610" w:lineRule="exact"/>
        <w:ind w:left="580" w:firstLine="0"/>
        <w:rPr>
          <w:color w:val="000000"/>
          <w:sz w:val="24"/>
          <w:szCs w:val="24"/>
          <w:lang w:val="en-US" w:eastAsia="zh-CN"/>
        </w:rPr>
      </w:pPr>
      <w:bookmarkStart w:id="96" w:name="bookmark20"/>
      <w:bookmarkEnd w:id="96"/>
      <w:r>
        <w:rPr>
          <w:rFonts w:hint="eastAsia"/>
          <w:color w:val="000000"/>
          <w:sz w:val="24"/>
          <w:szCs w:val="24"/>
          <w:lang w:val="en-US" w:eastAsia="zh-CN"/>
        </w:rPr>
        <w:t>1.具有独立承担民事责任的能力；</w:t>
      </w:r>
    </w:p>
    <w:p>
      <w:pPr>
        <w:pStyle w:val="66"/>
        <w:tabs>
          <w:tab w:val="left" w:pos="977"/>
        </w:tabs>
        <w:spacing w:line="610" w:lineRule="exact"/>
        <w:ind w:left="580" w:firstLine="0"/>
        <w:rPr>
          <w:color w:val="000000"/>
          <w:sz w:val="24"/>
          <w:szCs w:val="24"/>
        </w:rPr>
      </w:pPr>
      <w:bookmarkStart w:id="97" w:name="bookmark21"/>
      <w:bookmarkEnd w:id="97"/>
      <w:r>
        <w:rPr>
          <w:rFonts w:hint="eastAsia"/>
          <w:color w:val="000000"/>
          <w:sz w:val="24"/>
          <w:szCs w:val="24"/>
          <w:lang w:val="en-US" w:eastAsia="zh-CN"/>
        </w:rPr>
        <w:t>2.</w:t>
      </w:r>
      <w:r>
        <w:rPr>
          <w:rFonts w:hint="eastAsia"/>
          <w:color w:val="000000"/>
          <w:sz w:val="24"/>
          <w:szCs w:val="24"/>
        </w:rPr>
        <w:t>具有良好的商业信誉和健全的财务会计制度；</w:t>
      </w:r>
    </w:p>
    <w:p>
      <w:pPr>
        <w:pStyle w:val="66"/>
        <w:tabs>
          <w:tab w:val="left" w:pos="977"/>
        </w:tabs>
        <w:spacing w:line="610" w:lineRule="exact"/>
        <w:ind w:left="580" w:firstLine="0"/>
        <w:rPr>
          <w:color w:val="000000"/>
          <w:sz w:val="24"/>
          <w:szCs w:val="24"/>
        </w:rPr>
      </w:pPr>
      <w:bookmarkStart w:id="98" w:name="bookmark22"/>
      <w:bookmarkEnd w:id="98"/>
      <w:r>
        <w:rPr>
          <w:rFonts w:hint="eastAsia"/>
          <w:color w:val="000000"/>
          <w:sz w:val="24"/>
          <w:szCs w:val="24"/>
          <w:lang w:val="en-US" w:eastAsia="zh-CN"/>
        </w:rPr>
        <w:t>3.</w:t>
      </w:r>
      <w:r>
        <w:rPr>
          <w:rFonts w:hint="eastAsia"/>
          <w:color w:val="000000"/>
          <w:sz w:val="24"/>
          <w:szCs w:val="24"/>
        </w:rPr>
        <w:t>具有履行合同所必需的设备和专业技术能力；</w:t>
      </w:r>
    </w:p>
    <w:p>
      <w:pPr>
        <w:pStyle w:val="66"/>
        <w:tabs>
          <w:tab w:val="left" w:pos="977"/>
        </w:tabs>
        <w:spacing w:line="610" w:lineRule="exact"/>
        <w:ind w:left="580" w:firstLine="0"/>
        <w:rPr>
          <w:color w:val="000000"/>
          <w:sz w:val="24"/>
          <w:szCs w:val="24"/>
        </w:rPr>
      </w:pPr>
      <w:bookmarkStart w:id="99" w:name="bookmark23"/>
      <w:bookmarkEnd w:id="99"/>
      <w:r>
        <w:rPr>
          <w:rFonts w:hint="eastAsia"/>
          <w:color w:val="000000"/>
          <w:sz w:val="24"/>
          <w:szCs w:val="24"/>
          <w:lang w:val="en-US" w:eastAsia="zh-CN"/>
        </w:rPr>
        <w:t>4.</w:t>
      </w:r>
      <w:r>
        <w:rPr>
          <w:rFonts w:hint="eastAsia"/>
          <w:color w:val="000000"/>
          <w:sz w:val="24"/>
          <w:szCs w:val="24"/>
        </w:rPr>
        <w:t>有依法缴纳税收和社会保障资金的良好记录；</w:t>
      </w:r>
    </w:p>
    <w:p>
      <w:pPr>
        <w:pStyle w:val="66"/>
        <w:tabs>
          <w:tab w:val="left" w:pos="977"/>
        </w:tabs>
        <w:spacing w:line="610" w:lineRule="exact"/>
        <w:ind w:left="580" w:firstLine="0"/>
        <w:rPr>
          <w:color w:val="000000"/>
          <w:sz w:val="24"/>
          <w:szCs w:val="24"/>
        </w:rPr>
      </w:pPr>
      <w:bookmarkStart w:id="100" w:name="bookmark24"/>
      <w:bookmarkEnd w:id="100"/>
      <w:r>
        <w:rPr>
          <w:rFonts w:hint="eastAsia"/>
          <w:color w:val="000000"/>
          <w:sz w:val="24"/>
          <w:szCs w:val="24"/>
          <w:lang w:val="en-US" w:eastAsia="zh-CN"/>
        </w:rPr>
        <w:t>5.</w:t>
      </w:r>
      <w:r>
        <w:rPr>
          <w:rFonts w:hint="eastAsia"/>
          <w:color w:val="000000"/>
          <w:sz w:val="24"/>
          <w:szCs w:val="24"/>
        </w:rPr>
        <w:t>参加政府采购活动前三年内，在经营活动中没有重大违法记录；</w:t>
      </w:r>
    </w:p>
    <w:p>
      <w:pPr>
        <w:pStyle w:val="66"/>
        <w:tabs>
          <w:tab w:val="left" w:pos="977"/>
        </w:tabs>
        <w:spacing w:line="610" w:lineRule="exact"/>
        <w:ind w:left="580" w:firstLine="0"/>
        <w:rPr>
          <w:color w:val="000000"/>
          <w:sz w:val="24"/>
          <w:szCs w:val="24"/>
        </w:rPr>
      </w:pPr>
      <w:bookmarkStart w:id="101" w:name="bookmark25"/>
      <w:bookmarkEnd w:id="101"/>
      <w:r>
        <w:rPr>
          <w:rFonts w:hint="eastAsia"/>
          <w:color w:val="000000"/>
          <w:sz w:val="24"/>
          <w:szCs w:val="24"/>
          <w:lang w:val="en-US" w:eastAsia="zh-CN"/>
        </w:rPr>
        <w:t>6.</w:t>
      </w:r>
      <w:r>
        <w:rPr>
          <w:rFonts w:hint="eastAsia"/>
          <w:color w:val="000000"/>
          <w:sz w:val="24"/>
          <w:szCs w:val="24"/>
        </w:rPr>
        <w:t>符合法律、行政法规规定的其他条件。</w:t>
      </w:r>
    </w:p>
    <w:p>
      <w:pPr>
        <w:pStyle w:val="66"/>
        <w:spacing w:line="653" w:lineRule="exact"/>
        <w:rPr>
          <w:sz w:val="24"/>
          <w:szCs w:val="24"/>
        </w:rPr>
      </w:pPr>
      <w:r>
        <w:rPr>
          <w:rFonts w:hint="eastAsia"/>
          <w:color w:val="000000"/>
          <w:sz w:val="24"/>
          <w:szCs w:val="24"/>
        </w:rPr>
        <w:t>（二）我单位（本人）未被列入严重失信主体名单、失信被执行人、税收违法黑名单、政府采购严重违法失信行为记录名单。</w:t>
      </w:r>
    </w:p>
    <w:p>
      <w:pPr>
        <w:pStyle w:val="66"/>
        <w:spacing w:after="580" w:line="605" w:lineRule="exact"/>
        <w:ind w:firstLine="620"/>
        <w:rPr>
          <w:sz w:val="24"/>
          <w:szCs w:val="24"/>
        </w:rPr>
      </w:pPr>
      <w:r>
        <w:rPr>
          <w:rFonts w:hint="eastAsia"/>
          <w:color w:val="000000"/>
          <w:sz w:val="24"/>
          <w:szCs w:val="24"/>
        </w:rPr>
        <w:t xml:space="preserve">我单位（本人）对本承诺函及所承诺事项的真实性、合法性及有效性负责，并已知晓如所作信用承诺不实，可能涉嫌《中华人民共和国政府采购法》第七十七条第一款第（一）项规定的 </w:t>
      </w:r>
      <w:r>
        <w:rPr>
          <w:rFonts w:hint="eastAsia"/>
          <w:color w:val="000000"/>
          <w:sz w:val="24"/>
          <w:szCs w:val="24"/>
          <w:lang w:val="zh-CN" w:eastAsia="zh-CN" w:bidi="zh-CN"/>
        </w:rPr>
        <w:t>“提供</w:t>
      </w:r>
      <w:r>
        <w:rPr>
          <w:rFonts w:hint="eastAsia"/>
          <w:color w:val="000000"/>
          <w:sz w:val="24"/>
          <w:szCs w:val="24"/>
        </w:rPr>
        <w:t>虚假材料谋取中标、成交”违法情形。经调查属实的，自觉接受政府采购行政监管部门按照《中华人民共和国政府采 购法》第七十七条：</w:t>
      </w:r>
      <w:r>
        <w:rPr>
          <w:rFonts w:hint="eastAsia"/>
          <w:color w:val="000000"/>
          <w:sz w:val="24"/>
          <w:szCs w:val="24"/>
          <w:lang w:val="zh-CN" w:eastAsia="zh-CN" w:bidi="zh-CN"/>
        </w:rPr>
        <w:t>“处</w:t>
      </w:r>
      <w:r>
        <w:rPr>
          <w:rFonts w:hint="eastAsia"/>
          <w:color w:val="000000"/>
          <w:sz w:val="24"/>
          <w:szCs w:val="24"/>
        </w:rPr>
        <w:t>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pPr>
        <w:pStyle w:val="66"/>
        <w:spacing w:line="605" w:lineRule="exact"/>
        <w:ind w:firstLine="0"/>
        <w:jc w:val="center"/>
        <w:rPr>
          <w:color w:val="000000"/>
          <w:sz w:val="24"/>
          <w:szCs w:val="24"/>
          <w:lang w:val="en-US" w:eastAsia="zh-CN"/>
        </w:rPr>
      </w:pPr>
      <w:r>
        <w:rPr>
          <w:rFonts w:hint="eastAsia"/>
          <w:color w:val="000000"/>
          <w:sz w:val="24"/>
          <w:szCs w:val="24"/>
          <w:lang w:val="en-US" w:eastAsia="zh-CN"/>
        </w:rPr>
        <w:t xml:space="preserve">          </w:t>
      </w:r>
    </w:p>
    <w:p>
      <w:pPr>
        <w:pStyle w:val="66"/>
        <w:spacing w:line="605" w:lineRule="exact"/>
        <w:ind w:firstLine="0"/>
        <w:jc w:val="center"/>
        <w:rPr>
          <w:sz w:val="24"/>
          <w:szCs w:val="24"/>
        </w:rPr>
      </w:pPr>
      <w:r>
        <w:rPr>
          <w:rFonts w:hint="eastAsia"/>
          <w:color w:val="000000"/>
          <w:sz w:val="24"/>
          <w:szCs w:val="24"/>
          <w:lang w:val="en-US" w:eastAsia="zh-CN"/>
        </w:rPr>
        <w:t xml:space="preserve">         </w:t>
      </w:r>
      <w:r>
        <w:rPr>
          <w:rFonts w:hint="eastAsia"/>
          <w:color w:val="000000"/>
          <w:sz w:val="24"/>
          <w:szCs w:val="24"/>
        </w:rPr>
        <w:t>供应商名称（单位公章）：</w:t>
      </w:r>
    </w:p>
    <w:p>
      <w:pPr>
        <w:pStyle w:val="66"/>
        <w:spacing w:line="605" w:lineRule="exact"/>
        <w:ind w:firstLine="0"/>
        <w:jc w:val="center"/>
        <w:rPr>
          <w:sz w:val="24"/>
          <w:szCs w:val="24"/>
        </w:rPr>
      </w:pPr>
      <w:r>
        <w:rPr>
          <w:rFonts w:hint="eastAsia"/>
          <w:color w:val="000000"/>
          <w:sz w:val="24"/>
          <w:szCs w:val="24"/>
          <w:lang w:val="en-US" w:eastAsia="zh-CN"/>
        </w:rPr>
        <w:t xml:space="preserve">     </w:t>
      </w:r>
      <w:r>
        <w:rPr>
          <w:rFonts w:hint="eastAsia"/>
          <w:color w:val="000000"/>
          <w:sz w:val="24"/>
          <w:szCs w:val="24"/>
        </w:rPr>
        <w:t>或自然人（签字）：</w:t>
      </w:r>
    </w:p>
    <w:p>
      <w:pPr>
        <w:pStyle w:val="66"/>
        <w:spacing w:after="520" w:line="605" w:lineRule="exact"/>
        <w:ind w:firstLine="0"/>
        <w:jc w:val="right"/>
        <w:rPr>
          <w:sz w:val="24"/>
          <w:szCs w:val="24"/>
        </w:rPr>
      </w:pPr>
      <w:r>
        <w:rPr>
          <w:rFonts w:hint="eastAsia"/>
          <w:color w:val="000000"/>
          <w:sz w:val="24"/>
          <w:szCs w:val="24"/>
        </w:rPr>
        <w:t>年</w:t>
      </w:r>
      <w:r>
        <w:rPr>
          <w:rFonts w:hint="eastAsia"/>
          <w:color w:val="000000"/>
          <w:sz w:val="24"/>
          <w:szCs w:val="24"/>
          <w:lang w:val="en-US" w:eastAsia="zh-CN"/>
        </w:rPr>
        <w:t xml:space="preserve"> </w:t>
      </w:r>
      <w:r>
        <w:rPr>
          <w:rFonts w:hint="eastAsia"/>
          <w:color w:val="000000"/>
          <w:sz w:val="24"/>
          <w:szCs w:val="24"/>
        </w:rPr>
        <w:t xml:space="preserve"> 月</w:t>
      </w:r>
      <w:r>
        <w:rPr>
          <w:rFonts w:hint="eastAsia"/>
          <w:color w:val="000000"/>
          <w:sz w:val="24"/>
          <w:szCs w:val="24"/>
          <w:lang w:val="en-US" w:eastAsia="zh-CN"/>
        </w:rPr>
        <w:t xml:space="preserve"> </w:t>
      </w:r>
      <w:r>
        <w:rPr>
          <w:rFonts w:hint="eastAsia"/>
          <w:color w:val="000000"/>
          <w:sz w:val="24"/>
          <w:szCs w:val="24"/>
        </w:rPr>
        <w:t xml:space="preserve"> 日</w:t>
      </w:r>
    </w:p>
    <w:p>
      <w:pPr>
        <w:pStyle w:val="67"/>
        <w:spacing w:line="602" w:lineRule="exact"/>
        <w:rPr>
          <w:color w:val="000000"/>
          <w:sz w:val="24"/>
          <w:szCs w:val="24"/>
        </w:rPr>
      </w:pPr>
    </w:p>
    <w:p>
      <w:pPr>
        <w:pStyle w:val="67"/>
        <w:spacing w:line="602" w:lineRule="exact"/>
        <w:rPr>
          <w:color w:val="000000"/>
          <w:sz w:val="24"/>
          <w:szCs w:val="24"/>
        </w:rPr>
      </w:pPr>
    </w:p>
    <w:p>
      <w:pPr>
        <w:pStyle w:val="67"/>
        <w:spacing w:line="602" w:lineRule="exact"/>
        <w:rPr>
          <w:sz w:val="24"/>
          <w:szCs w:val="24"/>
          <w:lang w:eastAsia="zh-CN"/>
        </w:rPr>
      </w:pPr>
      <w:r>
        <w:rPr>
          <w:rFonts w:hint="eastAsia"/>
          <w:color w:val="000000"/>
          <w:sz w:val="24"/>
          <w:szCs w:val="24"/>
        </w:rPr>
        <w:t>注:</w:t>
      </w:r>
      <w:r>
        <w:rPr>
          <w:rFonts w:hint="eastAsia"/>
          <w:color w:val="000000"/>
          <w:sz w:val="24"/>
          <w:szCs w:val="24"/>
          <w:lang w:val="en-US" w:eastAsia="zh-CN" w:bidi="en-US"/>
        </w:rPr>
        <w:t>1.</w:t>
      </w:r>
      <w:r>
        <w:rPr>
          <w:rFonts w:hint="eastAsia"/>
          <w:color w:val="000000"/>
          <w:sz w:val="24"/>
          <w:szCs w:val="24"/>
        </w:rPr>
        <w:t>我单位（本人）专指参加政府采购活动的供应商（含自然人）</w:t>
      </w:r>
      <w:r>
        <w:rPr>
          <w:rFonts w:hint="eastAsia"/>
          <w:color w:val="000000"/>
          <w:sz w:val="24"/>
          <w:szCs w:val="24"/>
          <w:lang w:eastAsia="zh-CN"/>
        </w:rPr>
        <w:t>。</w:t>
      </w:r>
    </w:p>
    <w:p>
      <w:pPr>
        <w:pStyle w:val="67"/>
        <w:spacing w:after="260" w:line="602" w:lineRule="exact"/>
        <w:rPr>
          <w:sz w:val="24"/>
          <w:szCs w:val="24"/>
        </w:rPr>
      </w:pPr>
      <w:r>
        <w:rPr>
          <w:rFonts w:hint="eastAsia"/>
          <w:color w:val="000000"/>
          <w:sz w:val="24"/>
          <w:szCs w:val="24"/>
        </w:rPr>
        <w:t>2.供应商须在投标（响应）文件中按此模板提供承诺函，既未提供前述承诺函又未提供对应事项证明材料的，视为未实质响应招标文件要求，按无效投标（响应）处理。</w:t>
      </w:r>
    </w:p>
    <w:p>
      <w:pPr>
        <w:pStyle w:val="2"/>
      </w:pPr>
    </w:p>
    <w:p>
      <w:pPr>
        <w:spacing w:line="440" w:lineRule="exact"/>
        <w:jc w:val="center"/>
        <w:rPr>
          <w:rFonts w:ascii="宋体" w:hAnsi="宋体" w:cs="宋体"/>
          <w:b/>
          <w:sz w:val="24"/>
          <w:szCs w:val="24"/>
        </w:rPr>
      </w:pPr>
    </w:p>
    <w:p>
      <w:pPr>
        <w:pStyle w:val="2"/>
        <w:rPr>
          <w:rFonts w:ascii="宋体" w:hAnsi="宋体" w:cs="宋体"/>
          <w:b/>
          <w:sz w:val="24"/>
          <w:szCs w:val="24"/>
        </w:rPr>
      </w:pPr>
    </w:p>
    <w:p>
      <w:pPr>
        <w:pStyle w:val="19"/>
        <w:ind w:firstLine="241"/>
        <w:rPr>
          <w:rFonts w:ascii="宋体" w:hAnsi="宋体" w:cs="宋体"/>
          <w:b/>
          <w:sz w:val="24"/>
          <w:szCs w:val="24"/>
        </w:rPr>
      </w:pPr>
    </w:p>
    <w:p>
      <w:pPr>
        <w:rPr>
          <w:rFonts w:ascii="宋体" w:hAnsi="宋体" w:cs="宋体"/>
          <w:b/>
          <w:sz w:val="24"/>
          <w:szCs w:val="24"/>
        </w:rPr>
      </w:pPr>
    </w:p>
    <w:p>
      <w:pPr>
        <w:pStyle w:val="2"/>
        <w:rPr>
          <w:rFonts w:ascii="宋体" w:hAnsi="宋体" w:cs="宋体"/>
          <w:b/>
          <w:sz w:val="24"/>
          <w:szCs w:val="24"/>
        </w:rPr>
      </w:pPr>
    </w:p>
    <w:p>
      <w:pPr>
        <w:rPr>
          <w:rFonts w:ascii="宋体" w:hAnsi="宋体" w:cs="宋体"/>
          <w:b/>
          <w:sz w:val="24"/>
          <w:szCs w:val="24"/>
        </w:rPr>
      </w:pPr>
    </w:p>
    <w:p>
      <w:pPr>
        <w:pStyle w:val="2"/>
      </w:pPr>
    </w:p>
    <w:p>
      <w:pPr>
        <w:pStyle w:val="19"/>
        <w:ind w:firstLine="210"/>
      </w:pPr>
    </w:p>
    <w:p/>
    <w:p>
      <w:pPr>
        <w:pStyle w:val="2"/>
        <w:rPr>
          <w:rFonts w:ascii="宋体" w:hAnsi="宋体" w:cs="宋体"/>
          <w:b/>
          <w:sz w:val="24"/>
          <w:szCs w:val="24"/>
        </w:rPr>
      </w:pPr>
    </w:p>
    <w:p>
      <w:pPr>
        <w:pStyle w:val="19"/>
        <w:ind w:firstLine="210"/>
      </w:pPr>
    </w:p>
    <w:p>
      <w:pPr>
        <w:spacing w:line="440" w:lineRule="exact"/>
        <w:jc w:val="center"/>
        <w:rPr>
          <w:rFonts w:ascii="宋体" w:hAnsi="宋体" w:cs="宋体"/>
          <w:sz w:val="24"/>
          <w:szCs w:val="24"/>
        </w:rPr>
      </w:pPr>
      <w:r>
        <w:rPr>
          <w:rFonts w:hint="eastAsia" w:ascii="宋体" w:hAnsi="宋体" w:cs="宋体"/>
          <w:b/>
          <w:sz w:val="24"/>
          <w:szCs w:val="24"/>
        </w:rPr>
        <w:t>格式9-9. 谈判保证金凭证</w:t>
      </w:r>
      <w:bookmarkEnd w:id="95"/>
    </w:p>
    <w:p>
      <w:pPr>
        <w:spacing w:line="440" w:lineRule="exact"/>
        <w:jc w:val="center"/>
        <w:rPr>
          <w:rFonts w:ascii="宋体" w:hAnsi="宋体" w:cs="宋体"/>
          <w:sz w:val="24"/>
          <w:szCs w:val="24"/>
        </w:rPr>
      </w:pPr>
    </w:p>
    <w:p>
      <w:pPr>
        <w:spacing w:line="560" w:lineRule="exact"/>
        <w:ind w:left="2" w:firstLine="476" w:firstLineChars="202"/>
        <w:rPr>
          <w:rFonts w:ascii="宋体" w:hAnsi="宋体" w:cs="宋体"/>
          <w:spacing w:val="-2"/>
          <w:sz w:val="24"/>
          <w:szCs w:val="24"/>
        </w:rPr>
      </w:pPr>
      <w:r>
        <w:rPr>
          <w:rFonts w:hint="eastAsia" w:ascii="宋体" w:hAnsi="宋体" w:cs="宋体"/>
          <w:spacing w:val="-2"/>
          <w:sz w:val="24"/>
          <w:szCs w:val="24"/>
        </w:rPr>
        <w:t>附：供应商盖章的保证金凭证扫描件或截图</w:t>
      </w:r>
    </w:p>
    <w:p>
      <w:pPr>
        <w:spacing w:line="432" w:lineRule="auto"/>
        <w:ind w:firstLine="480" w:firstLineChars="200"/>
        <w:rPr>
          <w:rFonts w:ascii="宋体" w:hAnsi="宋体" w:cs="宋体"/>
          <w:sz w:val="24"/>
          <w:szCs w:val="24"/>
        </w:rPr>
      </w:pPr>
    </w:p>
    <w:p>
      <w:pPr>
        <w:spacing w:line="432" w:lineRule="auto"/>
        <w:ind w:firstLine="480" w:firstLineChars="200"/>
        <w:rPr>
          <w:rFonts w:ascii="宋体" w:hAnsi="宋体" w:cs="宋体"/>
          <w:sz w:val="24"/>
          <w:szCs w:val="24"/>
        </w:rPr>
      </w:pPr>
      <w:r>
        <w:rPr>
          <w:rFonts w:hint="eastAsia" w:ascii="宋体" w:hAnsi="宋体" w:cs="宋体"/>
          <w:sz w:val="24"/>
          <w:szCs w:val="24"/>
        </w:rPr>
        <w:t>本项目保证金应当采用支票、汇票、本票、网上银行支付或者金融机构、担保机构出具的保函、保险公司出具的保证保险等非现金形式交纳。</w:t>
      </w:r>
    </w:p>
    <w:p>
      <w:pPr>
        <w:spacing w:line="432" w:lineRule="auto"/>
        <w:ind w:firstLine="480" w:firstLineChars="200"/>
        <w:rPr>
          <w:rFonts w:ascii="宋体" w:hAnsi="宋体" w:cs="宋体"/>
          <w:sz w:val="24"/>
          <w:szCs w:val="24"/>
        </w:rPr>
      </w:pPr>
      <w:r>
        <w:rPr>
          <w:rFonts w:hint="eastAsia" w:ascii="宋体" w:hAnsi="宋体" w:cs="宋体"/>
          <w:sz w:val="24"/>
          <w:szCs w:val="24"/>
        </w:rPr>
        <w:t>1.采用银行电汇、转账、网上银行形式：</w:t>
      </w:r>
    </w:p>
    <w:p>
      <w:pPr>
        <w:spacing w:line="432" w:lineRule="auto"/>
        <w:ind w:firstLine="480" w:firstLineChars="200"/>
        <w:rPr>
          <w:rFonts w:ascii="宋体" w:hAnsi="宋体" w:cs="宋体"/>
          <w:sz w:val="24"/>
          <w:szCs w:val="24"/>
        </w:rPr>
      </w:pPr>
      <w:r>
        <w:rPr>
          <w:rFonts w:hint="eastAsia" w:ascii="宋体" w:hAnsi="宋体" w:cs="宋体"/>
          <w:sz w:val="24"/>
          <w:szCs w:val="24"/>
        </w:rPr>
        <w:t>保证金交至以下账户，并在响应文件中提供交纳保证金凭证扫描件或截图：</w:t>
      </w:r>
    </w:p>
    <w:p>
      <w:pPr>
        <w:spacing w:line="432" w:lineRule="auto"/>
        <w:ind w:left="239" w:leftChars="114" w:firstLine="180" w:firstLineChars="75"/>
        <w:rPr>
          <w:rFonts w:ascii="宋体" w:hAnsi="宋体" w:cs="宋体"/>
          <w:sz w:val="24"/>
          <w:szCs w:val="24"/>
        </w:rPr>
      </w:pPr>
      <w:r>
        <w:rPr>
          <w:rFonts w:hint="eastAsia" w:ascii="宋体" w:hAnsi="宋体" w:cs="宋体"/>
          <w:sz w:val="24"/>
          <w:szCs w:val="24"/>
        </w:rPr>
        <w:t>2、采用保函形式：</w:t>
      </w:r>
    </w:p>
    <w:p>
      <w:pPr>
        <w:spacing w:line="432" w:lineRule="auto"/>
        <w:ind w:firstLine="660" w:firstLineChars="275"/>
        <w:rPr>
          <w:rFonts w:ascii="宋体" w:hAnsi="宋体" w:cs="宋体"/>
          <w:sz w:val="24"/>
          <w:szCs w:val="24"/>
        </w:rPr>
      </w:pPr>
      <w:r>
        <w:rPr>
          <w:rFonts w:hint="eastAsia" w:ascii="宋体" w:hAnsi="宋体" w:cs="宋体"/>
          <w:sz w:val="24"/>
          <w:szCs w:val="24"/>
        </w:rPr>
        <w:t>2.1 采用银行保函的，须为供应商基本账户（响应文件中提供开户许可扫描件）或江西省辖区内商业银行营业网点出具的不可撤销、见索即付的独立保函；采用专业担保机构出具保函的，须为担保机构出具的不可撤销、见索即付的独立保函；以上保函可通过http://www.jxjzjf.com网站申请。</w:t>
      </w:r>
    </w:p>
    <w:p>
      <w:pPr>
        <w:spacing w:line="432" w:lineRule="auto"/>
        <w:ind w:firstLine="480" w:firstLineChars="200"/>
        <w:rPr>
          <w:rFonts w:ascii="宋体" w:hAnsi="宋体" w:cs="宋体"/>
          <w:sz w:val="24"/>
          <w:szCs w:val="24"/>
        </w:rPr>
      </w:pPr>
      <w:r>
        <w:rPr>
          <w:rFonts w:hint="eastAsia" w:ascii="宋体" w:hAnsi="宋体" w:cs="宋体"/>
          <w:sz w:val="24"/>
          <w:szCs w:val="24"/>
        </w:rPr>
        <w:t>2.2采用银行、保证保险的电子保单的形式需通过银行、保险公司官方网站（无需授权）验证查询；采用专业担保机构出具的保函需通过http://www.jxjzjf.com网站验证查询，如以上渠道未能验证查询到的，视为无效保函。</w:t>
      </w:r>
    </w:p>
    <w:p>
      <w:pPr>
        <w:spacing w:line="432" w:lineRule="auto"/>
        <w:ind w:firstLine="480" w:firstLineChars="200"/>
        <w:rPr>
          <w:rFonts w:ascii="宋体" w:hAnsi="宋体" w:cs="宋体"/>
          <w:sz w:val="24"/>
          <w:szCs w:val="24"/>
        </w:rPr>
      </w:pPr>
      <w:r>
        <w:rPr>
          <w:rFonts w:hint="eastAsia" w:ascii="宋体" w:hAnsi="宋体" w:cs="宋体"/>
          <w:sz w:val="24"/>
          <w:szCs w:val="24"/>
        </w:rPr>
        <w:t>2.3提供保函或保险保单的原件（原件不予退还）在谈判文件规定的保证金提交时间之前递交到指定地点，逾时不予接受，视为未提供，如通过http://www.jxjzjf.com网站申请保函、保证保险只需标书中提交电子件或打印件（影印件）并在现场通过该网站核验。</w:t>
      </w:r>
    </w:p>
    <w:p>
      <w:pPr>
        <w:spacing w:line="432" w:lineRule="auto"/>
        <w:ind w:firstLine="480" w:firstLineChars="200"/>
        <w:rPr>
          <w:rFonts w:ascii="宋体" w:hAnsi="宋体" w:cs="宋体"/>
          <w:sz w:val="24"/>
          <w:szCs w:val="24"/>
        </w:rPr>
      </w:pPr>
      <w:r>
        <w:rPr>
          <w:rFonts w:hint="eastAsia" w:ascii="宋体" w:hAnsi="宋体" w:cs="宋体"/>
          <w:sz w:val="24"/>
          <w:szCs w:val="24"/>
        </w:rPr>
        <w:t>2.4保函有效期须不少于谈判有效期，否则视为不满足要求。</w:t>
      </w:r>
    </w:p>
    <w:p>
      <w:pPr>
        <w:spacing w:line="432" w:lineRule="auto"/>
        <w:ind w:firstLine="480" w:firstLineChars="200"/>
        <w:rPr>
          <w:rFonts w:ascii="宋体" w:hAnsi="宋体" w:cs="宋体"/>
          <w:sz w:val="24"/>
          <w:szCs w:val="24"/>
        </w:rPr>
      </w:pPr>
      <w:r>
        <w:rPr>
          <w:rFonts w:hint="eastAsia" w:ascii="宋体" w:hAnsi="宋体" w:cs="宋体"/>
          <w:sz w:val="24"/>
          <w:szCs w:val="24"/>
        </w:rPr>
        <w:t>3、采用其他形式缴纳保证金的，需提供符合国家规定的相应凭证。</w:t>
      </w:r>
    </w:p>
    <w:p>
      <w:pPr>
        <w:spacing w:line="432" w:lineRule="auto"/>
        <w:ind w:firstLine="480" w:firstLineChars="200"/>
        <w:rPr>
          <w:rFonts w:ascii="宋体" w:hAnsi="宋体" w:cs="宋体"/>
          <w:sz w:val="24"/>
          <w:szCs w:val="24"/>
        </w:rPr>
      </w:pPr>
      <w:r>
        <w:rPr>
          <w:rFonts w:hint="eastAsia" w:ascii="宋体" w:hAnsi="宋体" w:cs="宋体"/>
          <w:sz w:val="24"/>
          <w:szCs w:val="24"/>
        </w:rPr>
        <w:t>未提供保证金凭证、或提供的保证金凭证及资料不满足上述要求的，视为未缴纳保证金。</w:t>
      </w:r>
    </w:p>
    <w:p>
      <w:pPr>
        <w:spacing w:line="432" w:lineRule="auto"/>
        <w:ind w:firstLine="472" w:firstLineChars="200"/>
        <w:rPr>
          <w:rFonts w:ascii="宋体" w:hAnsi="宋体" w:cs="宋体"/>
          <w:sz w:val="24"/>
          <w:szCs w:val="24"/>
        </w:rPr>
      </w:pPr>
      <w:r>
        <w:rPr>
          <w:rFonts w:hint="eastAsia" w:ascii="宋体" w:hAnsi="宋体" w:cs="宋体"/>
          <w:spacing w:val="-2"/>
          <w:sz w:val="24"/>
          <w:szCs w:val="24"/>
        </w:rPr>
        <w:t>所有提交的保函原件在评审结束后由采购代理机构留存，且不予退回。</w:t>
      </w:r>
    </w:p>
    <w:p>
      <w:pPr>
        <w:spacing w:line="440" w:lineRule="exact"/>
        <w:rPr>
          <w:rFonts w:ascii="宋体" w:hAnsi="宋体" w:cs="宋体"/>
          <w:i/>
          <w:iCs/>
          <w:sz w:val="24"/>
          <w:szCs w:val="24"/>
        </w:rPr>
      </w:pPr>
      <w:r>
        <w:rPr>
          <w:rFonts w:hint="eastAsia" w:ascii="宋体" w:hAnsi="宋体" w:cs="宋体"/>
          <w:i/>
          <w:iCs/>
          <w:sz w:val="24"/>
          <w:szCs w:val="24"/>
        </w:rPr>
        <w:t>上述条款应经监管部门同意后使用，当地行政监督部门有规定的，从其规定要求。</w:t>
      </w:r>
    </w:p>
    <w:p>
      <w:pPr>
        <w:widowControl/>
        <w:jc w:val="center"/>
        <w:rPr>
          <w:rFonts w:ascii="宋体" w:hAnsi="宋体" w:cs="宋体"/>
          <w:b/>
          <w:sz w:val="24"/>
          <w:szCs w:val="24"/>
        </w:rPr>
      </w:pPr>
    </w:p>
    <w:p>
      <w:pPr>
        <w:widowControl/>
        <w:jc w:val="center"/>
        <w:rPr>
          <w:rFonts w:ascii="宋体" w:hAnsi="宋体" w:cs="宋体"/>
          <w:b/>
          <w:sz w:val="24"/>
          <w:szCs w:val="24"/>
        </w:rPr>
      </w:pPr>
    </w:p>
    <w:p>
      <w:pPr>
        <w:widowControl/>
        <w:jc w:val="center"/>
        <w:rPr>
          <w:rFonts w:ascii="宋体" w:hAnsi="宋体" w:cs="宋体"/>
          <w:b/>
          <w:sz w:val="24"/>
          <w:szCs w:val="24"/>
        </w:rPr>
      </w:pPr>
      <w:r>
        <w:rPr>
          <w:rFonts w:hint="eastAsia" w:ascii="宋体" w:hAnsi="宋体" w:cs="宋体"/>
          <w:b/>
          <w:sz w:val="24"/>
          <w:szCs w:val="24"/>
        </w:rPr>
        <w:t>9-10.联合体协议（仅适用于联合体参加谈判）</w:t>
      </w:r>
    </w:p>
    <w:p>
      <w:pPr>
        <w:spacing w:line="440" w:lineRule="exact"/>
        <w:jc w:val="center"/>
        <w:rPr>
          <w:rFonts w:ascii="宋体" w:hAnsi="宋体" w:cs="宋体"/>
          <w:b/>
          <w:sz w:val="24"/>
          <w:szCs w:val="24"/>
        </w:rPr>
      </w:pPr>
    </w:p>
    <w:p>
      <w:pPr>
        <w:rPr>
          <w:rFonts w:ascii="宋体" w:hAnsi="宋体" w:cs="宋体"/>
          <w:sz w:val="24"/>
        </w:rPr>
      </w:pPr>
      <w:r>
        <w:rPr>
          <w:rFonts w:hint="eastAsia" w:ascii="宋体" w:hAnsi="宋体" w:cs="宋体"/>
          <w:sz w:val="24"/>
          <w:szCs w:val="24"/>
        </w:rPr>
        <w:t>联合协议应当载明联合体各方承担的工作和义务，联合体协议各方均应当签章。</w:t>
      </w:r>
      <w:r>
        <w:rPr>
          <w:rFonts w:hint="eastAsia" w:ascii="宋体" w:hAnsi="宋体" w:cs="宋体"/>
          <w:sz w:val="24"/>
        </w:rPr>
        <w:t xml:space="preserve">           </w:t>
      </w:r>
    </w:p>
    <w:p>
      <w:pPr>
        <w:pStyle w:val="2"/>
      </w:pPr>
    </w:p>
    <w:p>
      <w:pPr>
        <w:rPr>
          <w:rFonts w:ascii="宋体" w:hAnsi="宋体" w:cs="宋体"/>
          <w:sz w:val="24"/>
        </w:rPr>
      </w:pPr>
    </w:p>
    <w:p>
      <w:pPr>
        <w:pStyle w:val="4"/>
        <w:spacing w:before="0" w:after="0" w:line="460" w:lineRule="exact"/>
        <w:jc w:val="center"/>
        <w:rPr>
          <w:rFonts w:ascii="宋体" w:hAnsi="宋体" w:eastAsia="宋体" w:cs="宋体"/>
          <w:sz w:val="24"/>
          <w:szCs w:val="24"/>
        </w:rPr>
      </w:pPr>
      <w:bookmarkStart w:id="102" w:name="_Toc498611436"/>
      <w:bookmarkStart w:id="103" w:name="_Toc505955283"/>
    </w:p>
    <w:p>
      <w:pPr>
        <w:pStyle w:val="4"/>
        <w:spacing w:before="0" w:after="0" w:line="460" w:lineRule="exact"/>
        <w:jc w:val="center"/>
        <w:rPr>
          <w:rFonts w:ascii="宋体" w:hAnsi="宋体" w:eastAsia="宋体" w:cs="宋体"/>
          <w:sz w:val="24"/>
          <w:szCs w:val="24"/>
        </w:rPr>
      </w:pPr>
    </w:p>
    <w:p>
      <w:pPr>
        <w:rPr>
          <w:rFonts w:ascii="宋体" w:hAnsi="宋体" w:cs="宋体"/>
          <w:sz w:val="24"/>
          <w:szCs w:val="24"/>
        </w:rPr>
      </w:pPr>
    </w:p>
    <w:p>
      <w:pPr>
        <w:pStyle w:val="2"/>
        <w:rPr>
          <w:rFonts w:ascii="宋体" w:hAnsi="宋体" w:cs="宋体"/>
          <w:sz w:val="24"/>
          <w:szCs w:val="24"/>
        </w:rPr>
      </w:pPr>
    </w:p>
    <w:p>
      <w:pPr>
        <w:pStyle w:val="19"/>
        <w:ind w:firstLine="240"/>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pStyle w:val="19"/>
        <w:ind w:firstLine="240"/>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pStyle w:val="19"/>
        <w:ind w:firstLine="240"/>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pStyle w:val="19"/>
        <w:ind w:firstLine="240"/>
        <w:rPr>
          <w:rFonts w:ascii="宋体" w:hAnsi="宋体" w:cs="宋体"/>
          <w:sz w:val="24"/>
          <w:szCs w:val="24"/>
        </w:rPr>
      </w:pPr>
    </w:p>
    <w:p/>
    <w:p>
      <w:pPr>
        <w:pStyle w:val="4"/>
        <w:spacing w:before="0" w:after="0" w:line="460" w:lineRule="exact"/>
        <w:jc w:val="center"/>
        <w:rPr>
          <w:rFonts w:ascii="宋体" w:hAnsi="宋体" w:eastAsia="宋体" w:cs="宋体"/>
          <w:sz w:val="24"/>
          <w:szCs w:val="24"/>
        </w:rPr>
      </w:pPr>
    </w:p>
    <w:p>
      <w:pPr>
        <w:rPr>
          <w:rFonts w:ascii="宋体" w:hAnsi="宋体" w:cs="宋体"/>
          <w:sz w:val="24"/>
          <w:szCs w:val="24"/>
        </w:rPr>
      </w:pPr>
    </w:p>
    <w:p>
      <w:pPr>
        <w:pStyle w:val="2"/>
        <w:rPr>
          <w:rFonts w:ascii="宋体" w:hAnsi="宋体" w:cs="宋体"/>
          <w:sz w:val="24"/>
          <w:szCs w:val="24"/>
        </w:rPr>
      </w:pPr>
    </w:p>
    <w:p>
      <w:pPr>
        <w:pStyle w:val="19"/>
        <w:ind w:firstLine="210"/>
      </w:pPr>
    </w:p>
    <w:p>
      <w:pPr>
        <w:pStyle w:val="4"/>
        <w:spacing w:before="0" w:after="0" w:line="460" w:lineRule="exact"/>
        <w:jc w:val="center"/>
        <w:rPr>
          <w:rFonts w:ascii="宋体" w:hAnsi="宋体" w:eastAsia="宋体" w:cs="宋体"/>
          <w:sz w:val="24"/>
          <w:szCs w:val="24"/>
        </w:rPr>
      </w:pPr>
    </w:p>
    <w:p>
      <w:pPr>
        <w:pStyle w:val="4"/>
        <w:spacing w:before="0" w:after="0" w:line="460" w:lineRule="exact"/>
        <w:jc w:val="center"/>
        <w:rPr>
          <w:rFonts w:ascii="宋体" w:hAnsi="宋体" w:eastAsia="宋体" w:cs="宋体"/>
          <w:sz w:val="24"/>
          <w:szCs w:val="24"/>
        </w:rPr>
      </w:pPr>
      <w:r>
        <w:rPr>
          <w:rFonts w:hint="eastAsia" w:ascii="宋体" w:hAnsi="宋体" w:eastAsia="宋体" w:cs="宋体"/>
          <w:sz w:val="24"/>
          <w:szCs w:val="24"/>
        </w:rPr>
        <w:t>10. 其他证明资料</w:t>
      </w:r>
      <w:bookmarkEnd w:id="102"/>
      <w:bookmarkEnd w:id="103"/>
    </w:p>
    <w:p>
      <w:pPr>
        <w:pStyle w:val="4"/>
        <w:spacing w:before="0" w:after="0" w:line="460" w:lineRule="exact"/>
        <w:jc w:val="center"/>
        <w:rPr>
          <w:rFonts w:ascii="宋体" w:hAnsi="宋体" w:eastAsia="宋体" w:cs="宋体"/>
          <w:sz w:val="24"/>
          <w:szCs w:val="24"/>
        </w:rPr>
      </w:pPr>
    </w:p>
    <w:p>
      <w:pPr>
        <w:spacing w:line="440" w:lineRule="exact"/>
        <w:jc w:val="center"/>
        <w:rPr>
          <w:rFonts w:ascii="宋体" w:hAnsi="宋体" w:cs="宋体"/>
          <w:b/>
          <w:sz w:val="24"/>
          <w:szCs w:val="24"/>
        </w:rPr>
      </w:pPr>
      <w:bookmarkStart w:id="104" w:name="_Toc475970091"/>
      <w:r>
        <w:rPr>
          <w:rFonts w:hint="eastAsia" w:ascii="宋体" w:hAnsi="宋体" w:cs="宋体"/>
          <w:b/>
          <w:sz w:val="24"/>
          <w:szCs w:val="24"/>
        </w:rPr>
        <w:t>格式10-1. 供应商情况一览表</w:t>
      </w:r>
      <w:bookmarkEnd w:id="104"/>
    </w:p>
    <w:p>
      <w:pPr>
        <w:spacing w:line="320" w:lineRule="exact"/>
        <w:jc w:val="center"/>
        <w:rPr>
          <w:rFonts w:ascii="宋体" w:hAnsi="宋体" w:cs="宋体"/>
          <w:sz w:val="24"/>
          <w:szCs w:val="24"/>
        </w:rPr>
      </w:pPr>
    </w:p>
    <w:tbl>
      <w:tblPr>
        <w:tblStyle w:val="20"/>
        <w:tblW w:w="9720" w:type="dxa"/>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1198"/>
        <w:gridCol w:w="1356"/>
        <w:gridCol w:w="876"/>
        <w:gridCol w:w="132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供应商名称</w:t>
            </w:r>
          </w:p>
        </w:tc>
        <w:tc>
          <w:tcPr>
            <w:tcW w:w="7485" w:type="dxa"/>
            <w:gridSpan w:val="6"/>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注册地址</w:t>
            </w:r>
          </w:p>
        </w:tc>
        <w:tc>
          <w:tcPr>
            <w:tcW w:w="3929" w:type="dxa"/>
            <w:gridSpan w:val="3"/>
            <w:noWrap/>
            <w:vAlign w:val="center"/>
          </w:tcPr>
          <w:p>
            <w:pPr>
              <w:jc w:val="center"/>
              <w:rPr>
                <w:rFonts w:ascii="宋体" w:hAnsi="宋体" w:cs="宋体"/>
                <w:sz w:val="24"/>
                <w:szCs w:val="24"/>
              </w:rPr>
            </w:pPr>
          </w:p>
        </w:tc>
        <w:tc>
          <w:tcPr>
            <w:tcW w:w="1356" w:type="dxa"/>
            <w:noWrap/>
            <w:vAlign w:val="center"/>
          </w:tcPr>
          <w:p>
            <w:pPr>
              <w:jc w:val="center"/>
              <w:rPr>
                <w:rFonts w:ascii="宋体" w:hAnsi="宋体" w:cs="宋体"/>
                <w:sz w:val="24"/>
                <w:szCs w:val="24"/>
              </w:rPr>
            </w:pPr>
            <w:r>
              <w:rPr>
                <w:rFonts w:hint="eastAsia" w:ascii="宋体" w:hAnsi="宋体" w:cs="宋体"/>
                <w:sz w:val="24"/>
                <w:szCs w:val="24"/>
              </w:rPr>
              <w:t>邮政编码</w:t>
            </w:r>
          </w:p>
        </w:tc>
        <w:tc>
          <w:tcPr>
            <w:tcW w:w="2200" w:type="dxa"/>
            <w:gridSpan w:val="2"/>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noWrap/>
            <w:vAlign w:val="center"/>
          </w:tcPr>
          <w:p>
            <w:pPr>
              <w:jc w:val="center"/>
              <w:rPr>
                <w:rFonts w:ascii="宋体" w:hAnsi="宋体" w:cs="宋体"/>
                <w:sz w:val="24"/>
                <w:szCs w:val="24"/>
              </w:rPr>
            </w:pPr>
            <w:r>
              <w:rPr>
                <w:rFonts w:hint="eastAsia" w:ascii="宋体" w:hAnsi="宋体" w:cs="宋体"/>
                <w:sz w:val="24"/>
                <w:szCs w:val="24"/>
              </w:rPr>
              <w:t>联系方式</w:t>
            </w:r>
          </w:p>
        </w:tc>
        <w:tc>
          <w:tcPr>
            <w:tcW w:w="1035" w:type="dxa"/>
            <w:noWrap/>
            <w:vAlign w:val="center"/>
          </w:tcPr>
          <w:p>
            <w:pPr>
              <w:jc w:val="center"/>
              <w:rPr>
                <w:rFonts w:ascii="宋体" w:hAnsi="宋体" w:cs="宋体"/>
                <w:sz w:val="24"/>
                <w:szCs w:val="24"/>
              </w:rPr>
            </w:pPr>
            <w:r>
              <w:rPr>
                <w:rFonts w:hint="eastAsia" w:ascii="宋体" w:hAnsi="宋体" w:cs="宋体"/>
                <w:sz w:val="24"/>
                <w:szCs w:val="24"/>
              </w:rPr>
              <w:t>联系人</w:t>
            </w:r>
          </w:p>
        </w:tc>
        <w:tc>
          <w:tcPr>
            <w:tcW w:w="2894" w:type="dxa"/>
            <w:gridSpan w:val="2"/>
            <w:noWrap/>
            <w:vAlign w:val="center"/>
          </w:tcPr>
          <w:p>
            <w:pPr>
              <w:jc w:val="center"/>
              <w:rPr>
                <w:rFonts w:ascii="宋体" w:hAnsi="宋体" w:cs="宋体"/>
                <w:sz w:val="24"/>
                <w:szCs w:val="24"/>
              </w:rPr>
            </w:pPr>
          </w:p>
        </w:tc>
        <w:tc>
          <w:tcPr>
            <w:tcW w:w="1356" w:type="dxa"/>
            <w:noWrap/>
            <w:vAlign w:val="center"/>
          </w:tcPr>
          <w:p>
            <w:pPr>
              <w:jc w:val="center"/>
              <w:rPr>
                <w:rFonts w:ascii="宋体" w:hAnsi="宋体" w:cs="宋体"/>
                <w:sz w:val="24"/>
                <w:szCs w:val="24"/>
              </w:rPr>
            </w:pPr>
            <w:r>
              <w:rPr>
                <w:rFonts w:hint="eastAsia" w:ascii="宋体" w:hAnsi="宋体" w:cs="宋体"/>
                <w:sz w:val="24"/>
                <w:szCs w:val="24"/>
              </w:rPr>
              <w:t>联系电话</w:t>
            </w:r>
          </w:p>
        </w:tc>
        <w:tc>
          <w:tcPr>
            <w:tcW w:w="2200" w:type="dxa"/>
            <w:gridSpan w:val="2"/>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noWrap/>
            <w:vAlign w:val="center"/>
          </w:tcPr>
          <w:p>
            <w:pPr>
              <w:jc w:val="center"/>
              <w:rPr>
                <w:rFonts w:ascii="宋体" w:hAnsi="宋体" w:cs="宋体"/>
                <w:sz w:val="24"/>
                <w:szCs w:val="24"/>
              </w:rPr>
            </w:pPr>
          </w:p>
        </w:tc>
        <w:tc>
          <w:tcPr>
            <w:tcW w:w="1035" w:type="dxa"/>
            <w:noWrap/>
            <w:vAlign w:val="center"/>
          </w:tcPr>
          <w:p>
            <w:pPr>
              <w:jc w:val="center"/>
              <w:rPr>
                <w:rFonts w:ascii="宋体" w:hAnsi="宋体" w:cs="宋体"/>
                <w:sz w:val="24"/>
                <w:szCs w:val="24"/>
              </w:rPr>
            </w:pPr>
            <w:r>
              <w:rPr>
                <w:rFonts w:hint="eastAsia" w:ascii="宋体" w:hAnsi="宋体" w:cs="宋体"/>
                <w:sz w:val="24"/>
                <w:szCs w:val="24"/>
              </w:rPr>
              <w:t>传  真</w:t>
            </w:r>
          </w:p>
        </w:tc>
        <w:tc>
          <w:tcPr>
            <w:tcW w:w="2894" w:type="dxa"/>
            <w:gridSpan w:val="2"/>
            <w:noWrap/>
            <w:vAlign w:val="center"/>
          </w:tcPr>
          <w:p>
            <w:pPr>
              <w:jc w:val="center"/>
              <w:rPr>
                <w:rFonts w:ascii="宋体" w:hAnsi="宋体" w:cs="宋体"/>
                <w:sz w:val="24"/>
                <w:szCs w:val="24"/>
              </w:rPr>
            </w:pPr>
          </w:p>
        </w:tc>
        <w:tc>
          <w:tcPr>
            <w:tcW w:w="1356" w:type="dxa"/>
            <w:noWrap/>
            <w:vAlign w:val="center"/>
          </w:tcPr>
          <w:p>
            <w:pPr>
              <w:jc w:val="center"/>
              <w:rPr>
                <w:rFonts w:ascii="宋体" w:hAnsi="宋体" w:cs="宋体"/>
                <w:sz w:val="24"/>
                <w:szCs w:val="24"/>
              </w:rPr>
            </w:pPr>
            <w:r>
              <w:rPr>
                <w:rFonts w:hint="eastAsia" w:ascii="宋体" w:hAnsi="宋体" w:cs="宋体"/>
                <w:sz w:val="24"/>
                <w:szCs w:val="24"/>
              </w:rPr>
              <w:t>网址/邮箱</w:t>
            </w:r>
          </w:p>
        </w:tc>
        <w:tc>
          <w:tcPr>
            <w:tcW w:w="2200" w:type="dxa"/>
            <w:gridSpan w:val="2"/>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企业性质</w:t>
            </w:r>
          </w:p>
        </w:tc>
        <w:tc>
          <w:tcPr>
            <w:tcW w:w="7485" w:type="dxa"/>
            <w:gridSpan w:val="6"/>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法定代表人</w:t>
            </w:r>
          </w:p>
        </w:tc>
        <w:tc>
          <w:tcPr>
            <w:tcW w:w="1035" w:type="dxa"/>
            <w:noWrap/>
            <w:vAlign w:val="center"/>
          </w:tcPr>
          <w:p>
            <w:pPr>
              <w:jc w:val="center"/>
              <w:rPr>
                <w:rFonts w:ascii="宋体" w:hAnsi="宋体" w:cs="宋体"/>
                <w:sz w:val="24"/>
                <w:szCs w:val="24"/>
              </w:rPr>
            </w:pPr>
            <w:r>
              <w:rPr>
                <w:rFonts w:hint="eastAsia" w:ascii="宋体" w:hAnsi="宋体" w:cs="宋体"/>
                <w:sz w:val="24"/>
                <w:szCs w:val="24"/>
              </w:rPr>
              <w:t>姓名</w:t>
            </w:r>
          </w:p>
        </w:tc>
        <w:tc>
          <w:tcPr>
            <w:tcW w:w="1696" w:type="dxa"/>
            <w:noWrap/>
            <w:vAlign w:val="center"/>
          </w:tcPr>
          <w:p>
            <w:pPr>
              <w:jc w:val="center"/>
              <w:rPr>
                <w:rFonts w:ascii="宋体" w:hAnsi="宋体" w:cs="宋体"/>
                <w:sz w:val="24"/>
                <w:szCs w:val="24"/>
              </w:rPr>
            </w:pPr>
          </w:p>
        </w:tc>
        <w:tc>
          <w:tcPr>
            <w:tcW w:w="1198" w:type="dxa"/>
            <w:noWrap/>
            <w:vAlign w:val="center"/>
          </w:tcPr>
          <w:p>
            <w:pPr>
              <w:jc w:val="center"/>
              <w:rPr>
                <w:rFonts w:ascii="宋体" w:hAnsi="宋体" w:cs="宋体"/>
                <w:sz w:val="24"/>
                <w:szCs w:val="24"/>
              </w:rPr>
            </w:pPr>
            <w:r>
              <w:rPr>
                <w:rFonts w:hint="eastAsia" w:ascii="宋体" w:hAnsi="宋体" w:cs="宋体"/>
                <w:sz w:val="24"/>
                <w:szCs w:val="24"/>
              </w:rPr>
              <w:t>技术职称</w:t>
            </w:r>
          </w:p>
        </w:tc>
        <w:tc>
          <w:tcPr>
            <w:tcW w:w="1356" w:type="dxa"/>
            <w:noWrap/>
            <w:vAlign w:val="center"/>
          </w:tcPr>
          <w:p>
            <w:pPr>
              <w:jc w:val="center"/>
              <w:rPr>
                <w:rFonts w:ascii="宋体" w:hAnsi="宋体" w:cs="宋体"/>
                <w:sz w:val="24"/>
                <w:szCs w:val="24"/>
              </w:rPr>
            </w:pPr>
          </w:p>
        </w:tc>
        <w:tc>
          <w:tcPr>
            <w:tcW w:w="876" w:type="dxa"/>
            <w:noWrap/>
            <w:vAlign w:val="center"/>
          </w:tcPr>
          <w:p>
            <w:pPr>
              <w:jc w:val="center"/>
              <w:rPr>
                <w:rFonts w:ascii="宋体" w:hAnsi="宋体" w:cs="宋体"/>
                <w:sz w:val="24"/>
                <w:szCs w:val="24"/>
              </w:rPr>
            </w:pPr>
            <w:r>
              <w:rPr>
                <w:rFonts w:hint="eastAsia" w:ascii="宋体" w:hAnsi="宋体" w:cs="宋体"/>
                <w:sz w:val="24"/>
                <w:szCs w:val="24"/>
              </w:rPr>
              <w:t>电话</w:t>
            </w:r>
          </w:p>
        </w:tc>
        <w:tc>
          <w:tcPr>
            <w:tcW w:w="1324" w:type="dxa"/>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技术负责人</w:t>
            </w:r>
          </w:p>
        </w:tc>
        <w:tc>
          <w:tcPr>
            <w:tcW w:w="1035" w:type="dxa"/>
            <w:noWrap/>
            <w:vAlign w:val="center"/>
          </w:tcPr>
          <w:p>
            <w:pPr>
              <w:jc w:val="center"/>
              <w:rPr>
                <w:rFonts w:ascii="宋体" w:hAnsi="宋体" w:cs="宋体"/>
                <w:sz w:val="24"/>
                <w:szCs w:val="24"/>
              </w:rPr>
            </w:pPr>
            <w:r>
              <w:rPr>
                <w:rFonts w:hint="eastAsia" w:ascii="宋体" w:hAnsi="宋体" w:cs="宋体"/>
                <w:sz w:val="24"/>
                <w:szCs w:val="24"/>
              </w:rPr>
              <w:t>姓名</w:t>
            </w:r>
          </w:p>
        </w:tc>
        <w:tc>
          <w:tcPr>
            <w:tcW w:w="1696" w:type="dxa"/>
            <w:noWrap/>
            <w:vAlign w:val="center"/>
          </w:tcPr>
          <w:p>
            <w:pPr>
              <w:jc w:val="center"/>
              <w:rPr>
                <w:rFonts w:ascii="宋体" w:hAnsi="宋体" w:cs="宋体"/>
                <w:sz w:val="24"/>
                <w:szCs w:val="24"/>
              </w:rPr>
            </w:pPr>
          </w:p>
        </w:tc>
        <w:tc>
          <w:tcPr>
            <w:tcW w:w="1198" w:type="dxa"/>
            <w:noWrap/>
            <w:vAlign w:val="center"/>
          </w:tcPr>
          <w:p>
            <w:pPr>
              <w:jc w:val="center"/>
              <w:rPr>
                <w:rFonts w:ascii="宋体" w:hAnsi="宋体" w:cs="宋体"/>
                <w:sz w:val="24"/>
                <w:szCs w:val="24"/>
              </w:rPr>
            </w:pPr>
            <w:r>
              <w:rPr>
                <w:rFonts w:hint="eastAsia" w:ascii="宋体" w:hAnsi="宋体" w:cs="宋体"/>
                <w:sz w:val="24"/>
                <w:szCs w:val="24"/>
              </w:rPr>
              <w:t>技术职称</w:t>
            </w:r>
          </w:p>
        </w:tc>
        <w:tc>
          <w:tcPr>
            <w:tcW w:w="1356" w:type="dxa"/>
            <w:noWrap/>
            <w:vAlign w:val="center"/>
          </w:tcPr>
          <w:p>
            <w:pPr>
              <w:jc w:val="center"/>
              <w:rPr>
                <w:rFonts w:ascii="宋体" w:hAnsi="宋体" w:cs="宋体"/>
                <w:sz w:val="24"/>
                <w:szCs w:val="24"/>
              </w:rPr>
            </w:pPr>
          </w:p>
        </w:tc>
        <w:tc>
          <w:tcPr>
            <w:tcW w:w="876" w:type="dxa"/>
            <w:noWrap/>
            <w:vAlign w:val="center"/>
          </w:tcPr>
          <w:p>
            <w:pPr>
              <w:jc w:val="center"/>
              <w:rPr>
                <w:rFonts w:ascii="宋体" w:hAnsi="宋体" w:cs="宋体"/>
                <w:sz w:val="24"/>
                <w:szCs w:val="24"/>
              </w:rPr>
            </w:pPr>
            <w:r>
              <w:rPr>
                <w:rFonts w:hint="eastAsia" w:ascii="宋体" w:hAnsi="宋体" w:cs="宋体"/>
                <w:sz w:val="24"/>
                <w:szCs w:val="24"/>
              </w:rPr>
              <w:t>电话</w:t>
            </w:r>
          </w:p>
        </w:tc>
        <w:tc>
          <w:tcPr>
            <w:tcW w:w="1324" w:type="dxa"/>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成立时间</w:t>
            </w:r>
          </w:p>
        </w:tc>
        <w:tc>
          <w:tcPr>
            <w:tcW w:w="2731" w:type="dxa"/>
            <w:gridSpan w:val="2"/>
            <w:noWrap/>
            <w:vAlign w:val="center"/>
          </w:tcPr>
          <w:p>
            <w:pPr>
              <w:jc w:val="center"/>
              <w:rPr>
                <w:rFonts w:ascii="宋体" w:hAnsi="宋体" w:cs="宋体"/>
                <w:sz w:val="24"/>
                <w:szCs w:val="24"/>
              </w:rPr>
            </w:pPr>
          </w:p>
        </w:tc>
        <w:tc>
          <w:tcPr>
            <w:tcW w:w="4754" w:type="dxa"/>
            <w:gridSpan w:val="4"/>
            <w:noWrap/>
            <w:vAlign w:val="center"/>
          </w:tcPr>
          <w:p>
            <w:pPr>
              <w:rPr>
                <w:rFonts w:ascii="宋体" w:hAnsi="宋体" w:cs="宋体"/>
                <w:sz w:val="24"/>
                <w:szCs w:val="24"/>
              </w:rPr>
            </w:pPr>
            <w:r>
              <w:rPr>
                <w:rFonts w:hint="eastAsia" w:ascii="宋体" w:hAnsi="宋体" w:cs="宋体"/>
                <w:sz w:val="24"/>
                <w:szCs w:val="24"/>
              </w:rPr>
              <w:t>员工总人数：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营业执照号</w:t>
            </w:r>
          </w:p>
        </w:tc>
        <w:tc>
          <w:tcPr>
            <w:tcW w:w="7485" w:type="dxa"/>
            <w:gridSpan w:val="6"/>
            <w:tcBorders>
              <w:bottom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注册资金</w:t>
            </w:r>
          </w:p>
        </w:tc>
        <w:tc>
          <w:tcPr>
            <w:tcW w:w="7485" w:type="dxa"/>
            <w:gridSpan w:val="6"/>
            <w:tcBorders>
              <w:top w:val="single" w:color="auto" w:sz="4" w:space="0"/>
              <w:bottom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开户银行</w:t>
            </w:r>
          </w:p>
        </w:tc>
        <w:tc>
          <w:tcPr>
            <w:tcW w:w="7485" w:type="dxa"/>
            <w:gridSpan w:val="6"/>
            <w:tcBorders>
              <w:top w:val="single" w:color="auto" w:sz="4" w:space="0"/>
              <w:bottom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银行账号</w:t>
            </w:r>
          </w:p>
        </w:tc>
        <w:tc>
          <w:tcPr>
            <w:tcW w:w="7485" w:type="dxa"/>
            <w:gridSpan w:val="6"/>
            <w:tcBorders>
              <w:top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02"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经营范围备注</w:t>
            </w:r>
          </w:p>
        </w:tc>
        <w:tc>
          <w:tcPr>
            <w:tcW w:w="7485" w:type="dxa"/>
            <w:gridSpan w:val="6"/>
            <w:noWrap/>
            <w:vAlign w:val="center"/>
          </w:tcPr>
          <w:p>
            <w:pPr>
              <w:jc w:val="center"/>
              <w:rPr>
                <w:rFonts w:ascii="宋体" w:hAnsi="宋体" w:cs="宋体"/>
                <w:sz w:val="24"/>
                <w:szCs w:val="24"/>
              </w:rPr>
            </w:pPr>
          </w:p>
        </w:tc>
      </w:tr>
    </w:tbl>
    <w:p>
      <w:pPr>
        <w:rPr>
          <w:rFonts w:ascii="宋体" w:hAnsi="宋体" w:cs="宋体"/>
          <w:sz w:val="24"/>
        </w:rPr>
      </w:pPr>
    </w:p>
    <w:p>
      <w:pPr>
        <w:spacing w:line="432" w:lineRule="auto"/>
        <w:rPr>
          <w:rFonts w:hAnsi="宋体"/>
          <w:sz w:val="24"/>
          <w:szCs w:val="24"/>
        </w:rPr>
      </w:pPr>
    </w:p>
    <w:p>
      <w:pPr>
        <w:rPr>
          <w:rFonts w:ascii="宋体" w:hAnsi="宋体" w:cs="宋体"/>
          <w:sz w:val="24"/>
        </w:rPr>
      </w:pPr>
    </w:p>
    <w:p>
      <w:pPr>
        <w:pStyle w:val="3"/>
        <w:jc w:val="center"/>
        <w:rPr>
          <w:rFonts w:hAnsi="宋体" w:cs="宋体"/>
          <w:b/>
          <w:bCs/>
          <w:sz w:val="32"/>
        </w:rPr>
      </w:pPr>
      <w:bookmarkStart w:id="105" w:name="_Toc501638149"/>
      <w:r>
        <w:rPr>
          <w:rFonts w:hint="eastAsia" w:hAnsi="宋体" w:cs="宋体"/>
          <w:b/>
          <w:bCs/>
          <w:sz w:val="32"/>
        </w:rPr>
        <w:t>第五章  采购需求一览表及采购要求</w:t>
      </w:r>
      <w:bookmarkEnd w:id="105"/>
    </w:p>
    <w:p>
      <w:pPr>
        <w:rPr>
          <w:rFonts w:ascii="宋体" w:hAnsi="宋体" w:cs="宋体"/>
          <w:spacing w:val="-6"/>
          <w:sz w:val="52"/>
        </w:rPr>
      </w:pPr>
    </w:p>
    <w:p>
      <w:pPr>
        <w:pStyle w:val="4"/>
        <w:spacing w:before="0" w:after="0" w:line="460" w:lineRule="exact"/>
        <w:jc w:val="center"/>
        <w:rPr>
          <w:rFonts w:ascii="宋体" w:hAnsi="宋体" w:eastAsia="宋体" w:cs="宋体"/>
          <w:sz w:val="28"/>
          <w:szCs w:val="28"/>
        </w:rPr>
      </w:pPr>
      <w:bookmarkStart w:id="106" w:name="_Toc501638150"/>
      <w:r>
        <w:rPr>
          <w:rFonts w:hint="eastAsia" w:ascii="宋体" w:hAnsi="宋体" w:eastAsia="宋体" w:cs="宋体"/>
          <w:sz w:val="28"/>
          <w:szCs w:val="28"/>
        </w:rPr>
        <w:t>一、采购需求一览表</w:t>
      </w:r>
      <w:bookmarkEnd w:id="106"/>
    </w:p>
    <w:p>
      <w:pPr>
        <w:adjustRightInd w:val="0"/>
        <w:snapToGrid w:val="0"/>
        <w:spacing w:line="432" w:lineRule="auto"/>
        <w:ind w:left="-8" w:leftChars="-4" w:firstLine="7" w:firstLineChars="3"/>
        <w:rPr>
          <w:rFonts w:ascii="宋体" w:hAnsi="宋体" w:cs="宋体"/>
          <w:b/>
          <w:sz w:val="24"/>
        </w:rPr>
      </w:pPr>
    </w:p>
    <w:tbl>
      <w:tblPr>
        <w:tblStyle w:val="20"/>
        <w:tblpPr w:leftFromText="180" w:rightFromText="180" w:vertAnchor="text" w:tblpY="1"/>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trPr>
        <w:tc>
          <w:tcPr>
            <w:tcW w:w="2835" w:type="dxa"/>
            <w:tcBorders>
              <w:top w:val="single" w:color="auto" w:sz="12" w:space="0"/>
              <w:left w:val="single" w:color="auto" w:sz="12" w:space="0"/>
            </w:tcBorders>
            <w:vAlign w:val="center"/>
          </w:tcPr>
          <w:p>
            <w:pPr>
              <w:spacing w:line="360" w:lineRule="auto"/>
              <w:jc w:val="center"/>
              <w:rPr>
                <w:rFonts w:ascii="宋体" w:hAnsi="宋体" w:cs="宋体"/>
                <w:sz w:val="24"/>
              </w:rPr>
            </w:pPr>
            <w:r>
              <w:rPr>
                <w:rFonts w:ascii="宋体" w:hAnsi="宋体" w:cs="宋体"/>
                <w:color w:val="000000"/>
                <w:sz w:val="24"/>
              </w:rPr>
              <mc:AlternateContent>
                <mc:Choice Requires="wpg">
                  <w:drawing>
                    <wp:anchor distT="0" distB="0" distL="114300" distR="114300" simplePos="0" relativeHeight="251659264" behindDoc="0" locked="0" layoutInCell="1" allowOverlap="1">
                      <wp:simplePos x="0" y="0"/>
                      <wp:positionH relativeFrom="column">
                        <wp:posOffset>-45720</wp:posOffset>
                      </wp:positionH>
                      <wp:positionV relativeFrom="paragraph">
                        <wp:posOffset>37465</wp:posOffset>
                      </wp:positionV>
                      <wp:extent cx="1781175" cy="1479550"/>
                      <wp:effectExtent l="11430" t="10160" r="7620" b="5715"/>
                      <wp:wrapNone/>
                      <wp:docPr id="1" name="__TH_G12小四95"/>
                      <wp:cNvGraphicFramePr/>
                      <a:graphic xmlns:a="http://schemas.openxmlformats.org/drawingml/2006/main">
                        <a:graphicData uri="http://schemas.microsoft.com/office/word/2010/wordprocessingGroup">
                          <wpg:wgp>
                            <wpg:cNvGrpSpPr/>
                            <wpg:grpSpPr>
                              <a:xfrm>
                                <a:off x="0" y="0"/>
                                <a:ext cx="1781175" cy="1479550"/>
                                <a:chOff x="1716" y="3057"/>
                                <a:chExt cx="2805" cy="2330"/>
                              </a:xfrm>
                            </wpg:grpSpPr>
                            <wps:wsp>
                              <wps:cNvPr id="2" name="__TH_L88"/>
                              <wps:cNvCnPr/>
                              <wps:spPr bwMode="auto">
                                <a:xfrm>
                                  <a:off x="1716" y="3057"/>
                                  <a:ext cx="2805" cy="2330"/>
                                </a:xfrm>
                                <a:prstGeom prst="line">
                                  <a:avLst/>
                                </a:prstGeom>
                                <a:noFill/>
                                <a:ln w="6350">
                                  <a:solidFill>
                                    <a:srgbClr val="000000"/>
                                  </a:solidFill>
                                  <a:round/>
                                </a:ln>
                              </wps:spPr>
                              <wps:bodyPr/>
                            </wps:wsp>
                            <wps:wsp>
                              <wps:cNvPr id="3" name="__TH_B1189"/>
                              <wps:cNvSpPr txBox="1">
                                <a:spLocks noChangeArrowheads="1"/>
                              </wps:cNvSpPr>
                              <wps:spPr bwMode="auto">
                                <a:xfrm>
                                  <a:off x="2769" y="3199"/>
                                  <a:ext cx="300" cy="300"/>
                                </a:xfrm>
                                <a:prstGeom prst="rect">
                                  <a:avLst/>
                                </a:prstGeom>
                                <a:noFill/>
                                <a:ln>
                                  <a:noFill/>
                                </a:ln>
                              </wps:spPr>
                              <wps:txbx>
                                <w:txbxContent>
                                  <w:p>
                                    <w:pPr>
                                      <w:snapToGrid w:val="0"/>
                                      <w:rPr>
                                        <w:sz w:val="24"/>
                                      </w:rPr>
                                    </w:pPr>
                                    <w:r>
                                      <w:rPr>
                                        <w:rFonts w:hint="eastAsia"/>
                                        <w:sz w:val="24"/>
                                        <w:highlight w:val="white"/>
                                      </w:rPr>
                                      <w:t>货</w:t>
                                    </w:r>
                                  </w:p>
                                </w:txbxContent>
                              </wps:txbx>
                              <wps:bodyPr rot="0" vert="horz" wrap="square" lIns="0" tIns="0" rIns="0" bIns="0" anchor="t" anchorCtr="0" upright="1">
                                <a:noAutofit/>
                              </wps:bodyPr>
                            </wps:wsp>
                            <wps:wsp>
                              <wps:cNvPr id="4" name="__TH_B1290"/>
                              <wps:cNvSpPr txBox="1">
                                <a:spLocks noChangeArrowheads="1"/>
                              </wps:cNvSpPr>
                              <wps:spPr bwMode="auto">
                                <a:xfrm>
                                  <a:off x="3184" y="3544"/>
                                  <a:ext cx="300" cy="300"/>
                                </a:xfrm>
                                <a:prstGeom prst="rect">
                                  <a:avLst/>
                                </a:prstGeom>
                                <a:noFill/>
                                <a:ln>
                                  <a:noFill/>
                                </a:ln>
                              </wps:spPr>
                              <wps:txbx>
                                <w:txbxContent>
                                  <w:p>
                                    <w:pPr>
                                      <w:snapToGrid w:val="0"/>
                                      <w:rPr>
                                        <w:sz w:val="24"/>
                                      </w:rPr>
                                    </w:pPr>
                                    <w:r>
                                      <w:rPr>
                                        <w:rFonts w:hint="eastAsia"/>
                                        <w:sz w:val="24"/>
                                        <w:highlight w:val="white"/>
                                      </w:rPr>
                                      <w:t>物</w:t>
                                    </w:r>
                                  </w:p>
                                </w:txbxContent>
                              </wps:txbx>
                              <wps:bodyPr rot="0" vert="horz" wrap="square" lIns="0" tIns="0" rIns="0" bIns="0" anchor="t" anchorCtr="0" upright="1">
                                <a:noAutofit/>
                              </wps:bodyPr>
                            </wps:wsp>
                            <wps:wsp>
                              <wps:cNvPr id="5" name="__TH_B1391"/>
                              <wps:cNvSpPr txBox="1">
                                <a:spLocks noChangeArrowheads="1"/>
                              </wps:cNvSpPr>
                              <wps:spPr bwMode="auto">
                                <a:xfrm>
                                  <a:off x="3599" y="3888"/>
                                  <a:ext cx="300" cy="300"/>
                                </a:xfrm>
                                <a:prstGeom prst="rect">
                                  <a:avLst/>
                                </a:prstGeom>
                                <a:noFill/>
                                <a:ln>
                                  <a:noFill/>
                                </a:ln>
                              </wps:spPr>
                              <wps:txbx>
                                <w:txbxContent>
                                  <w:p>
                                    <w:pPr>
                                      <w:snapToGrid w:val="0"/>
                                      <w:rPr>
                                        <w:sz w:val="24"/>
                                      </w:rPr>
                                    </w:pPr>
                                    <w:r>
                                      <w:rPr>
                                        <w:rFonts w:hint="eastAsia"/>
                                        <w:sz w:val="24"/>
                                        <w:highlight w:val="white"/>
                                      </w:rPr>
                                      <w:t>名</w:t>
                                    </w:r>
                                  </w:p>
                                </w:txbxContent>
                              </wps:txbx>
                              <wps:bodyPr rot="0" vert="horz" wrap="square" lIns="0" tIns="0" rIns="0" bIns="0" anchor="t" anchorCtr="0" upright="1">
                                <a:noAutofit/>
                              </wps:bodyPr>
                            </wps:wsp>
                            <wps:wsp>
                              <wps:cNvPr id="6" name="__TH_B1492"/>
                              <wps:cNvSpPr txBox="1">
                                <a:spLocks noChangeArrowheads="1"/>
                              </wps:cNvSpPr>
                              <wps:spPr bwMode="auto">
                                <a:xfrm>
                                  <a:off x="4014" y="4233"/>
                                  <a:ext cx="300" cy="300"/>
                                </a:xfrm>
                                <a:prstGeom prst="rect">
                                  <a:avLst/>
                                </a:prstGeom>
                                <a:noFill/>
                                <a:ln>
                                  <a:noFill/>
                                </a:ln>
                              </wps:spPr>
                              <wps:txbx>
                                <w:txbxContent>
                                  <w:p>
                                    <w:pPr>
                                      <w:snapToGrid w:val="0"/>
                                      <w:rPr>
                                        <w:sz w:val="24"/>
                                      </w:rPr>
                                    </w:pPr>
                                    <w:r>
                                      <w:rPr>
                                        <w:rFonts w:hint="eastAsia"/>
                                        <w:sz w:val="24"/>
                                        <w:highlight w:val="white"/>
                                      </w:rPr>
                                      <w:t>称</w:t>
                                    </w:r>
                                  </w:p>
                                </w:txbxContent>
                              </wps:txbx>
                              <wps:bodyPr rot="0" vert="horz" wrap="square" lIns="0" tIns="0" rIns="0" bIns="0" anchor="t" anchorCtr="0" upright="1">
                                <a:noAutofit/>
                              </wps:bodyPr>
                            </wps:wsp>
                            <wps:wsp>
                              <wps:cNvPr id="7" name="__TH_B2193"/>
                              <wps:cNvSpPr txBox="1">
                                <a:spLocks noChangeArrowheads="1"/>
                              </wps:cNvSpPr>
                              <wps:spPr bwMode="auto">
                                <a:xfrm>
                                  <a:off x="2140" y="4061"/>
                                  <a:ext cx="300" cy="300"/>
                                </a:xfrm>
                                <a:prstGeom prst="rect">
                                  <a:avLst/>
                                </a:prstGeom>
                                <a:noFill/>
                                <a:ln>
                                  <a:noFill/>
                                </a:ln>
                              </wps:spPr>
                              <wps:txbx>
                                <w:txbxContent>
                                  <w:p>
                                    <w:pPr>
                                      <w:snapToGrid w:val="0"/>
                                      <w:rPr>
                                        <w:sz w:val="24"/>
                                      </w:rPr>
                                    </w:pPr>
                                    <w:r>
                                      <w:rPr>
                                        <w:rFonts w:hint="eastAsia"/>
                                        <w:sz w:val="24"/>
                                        <w:highlight w:val="white"/>
                                      </w:rPr>
                                      <w:t>内</w:t>
                                    </w:r>
                                  </w:p>
                                </w:txbxContent>
                              </wps:txbx>
                              <wps:bodyPr rot="0" vert="horz" wrap="square" lIns="0" tIns="0" rIns="0" bIns="0" anchor="t" anchorCtr="0" upright="1">
                                <a:noAutofit/>
                              </wps:bodyPr>
                            </wps:wsp>
                            <wps:wsp>
                              <wps:cNvPr id="8" name="__TH_B2294"/>
                              <wps:cNvSpPr txBox="1">
                                <a:spLocks noChangeArrowheads="1"/>
                              </wps:cNvSpPr>
                              <wps:spPr bwMode="auto">
                                <a:xfrm>
                                  <a:off x="2987" y="4765"/>
                                  <a:ext cx="300" cy="300"/>
                                </a:xfrm>
                                <a:prstGeom prst="rect">
                                  <a:avLst/>
                                </a:prstGeom>
                                <a:noFill/>
                                <a:ln>
                                  <a:noFill/>
                                </a:ln>
                              </wps:spPr>
                              <wps:txbx>
                                <w:txbxContent>
                                  <w:p>
                                    <w:pPr>
                                      <w:snapToGrid w:val="0"/>
                                      <w:rPr>
                                        <w:sz w:val="24"/>
                                      </w:rPr>
                                    </w:pPr>
                                    <w:r>
                                      <w:rPr>
                                        <w:rFonts w:hint="eastAsia"/>
                                        <w:sz w:val="24"/>
                                        <w:highlight w:val="white"/>
                                      </w:rPr>
                                      <w:t>容</w:t>
                                    </w:r>
                                  </w:p>
                                </w:txbxContent>
                              </wps:txbx>
                              <wps:bodyPr rot="0" vert="horz" wrap="square" lIns="0" tIns="0" rIns="0" bIns="0" anchor="t" anchorCtr="0" upright="1">
                                <a:noAutofit/>
                              </wps:bodyPr>
                            </wps:wsp>
                          </wpg:wgp>
                        </a:graphicData>
                      </a:graphic>
                    </wp:anchor>
                  </w:drawing>
                </mc:Choice>
                <mc:Fallback>
                  <w:pict>
                    <v:group id="__TH_G12小四95" o:spid="_x0000_s1026" o:spt="203" style="position:absolute;left:0pt;margin-left:-3.6pt;margin-top:2.95pt;height:116.5pt;width:140.25pt;z-index:251659264;mso-width-relative:page;mso-height-relative:page;" coordorigin="1716,3057" coordsize="2805,2330" o:gfxdata="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Cu&#10;Mcs+2QAAAAgBAAAPAAAAAAAAAAEAIAAAACIAAABkcnMvZG93bnJldi54bWxQSwECFAAUAAAACACH&#10;TuJAeJ2UgXkDAACMEQAADgAAAAAAAAABACAAAAAoAQAAZHJzL2Uyb0RvYy54bWxQSwUGAAAAAAYA&#10;BgBZAQAAEwcAAAAA&#10;">
                      <o:lock v:ext="edit" aspectratio="f"/>
                      <v:line id="__TH_L88" o:spid="_x0000_s1026" o:spt="20" style="position:absolute;left:1716;top:3057;height:2330;width:2805;"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89" o:spid="_x0000_s1026" o:spt="202" type="#_x0000_t202" style="position:absolute;left:2769;top:3199;height:300;width:30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货</w:t>
                              </w:r>
                            </w:p>
                          </w:txbxContent>
                        </v:textbox>
                      </v:shape>
                      <v:shape id="__TH_B1290" o:spid="_x0000_s1026" o:spt="202" type="#_x0000_t202" style="position:absolute;left:3184;top:3544;height:300;width:300;"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物</w:t>
                              </w:r>
                            </w:p>
                          </w:txbxContent>
                        </v:textbox>
                      </v:shape>
                      <v:shape id="__TH_B1391" o:spid="_x0000_s1026" o:spt="202" type="#_x0000_t202" style="position:absolute;left:3599;top:3888;height:300;width:30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名</w:t>
                              </w:r>
                            </w:p>
                          </w:txbxContent>
                        </v:textbox>
                      </v:shape>
                      <v:shape id="__TH_B1492" o:spid="_x0000_s1026" o:spt="202" type="#_x0000_t202" style="position:absolute;left:4014;top:4233;height:300;width:30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称</w:t>
                              </w:r>
                            </w:p>
                          </w:txbxContent>
                        </v:textbox>
                      </v:shape>
                      <v:shape id="__TH_B2193" o:spid="_x0000_s1026" o:spt="202" type="#_x0000_t202" style="position:absolute;left:2140;top:4061;height:300;width:300;"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24"/>
                                </w:rPr>
                              </w:pPr>
                              <w:r>
                                <w:rPr>
                                  <w:rFonts w:hint="eastAsia"/>
                                  <w:sz w:val="24"/>
                                  <w:highlight w:val="white"/>
                                </w:rPr>
                                <w:t>内</w:t>
                              </w:r>
                            </w:p>
                          </w:txbxContent>
                        </v:textbox>
                      </v:shape>
                      <v:shape id="__TH_B2294" o:spid="_x0000_s1026" o:spt="202" type="#_x0000_t202" style="position:absolute;left:2987;top:4765;height:300;width:300;"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rPr>
                                  <w:sz w:val="24"/>
                                </w:rPr>
                              </w:pPr>
                              <w:r>
                                <w:rPr>
                                  <w:rFonts w:hint="eastAsia"/>
                                  <w:sz w:val="24"/>
                                  <w:highlight w:val="white"/>
                                </w:rPr>
                                <w:t>容</w:t>
                              </w:r>
                            </w:p>
                          </w:txbxContent>
                        </v:textbox>
                      </v:shape>
                    </v:group>
                  </w:pict>
                </mc:Fallback>
              </mc:AlternateContent>
            </w:r>
          </w:p>
        </w:tc>
        <w:tc>
          <w:tcPr>
            <w:tcW w:w="5625" w:type="dxa"/>
            <w:tcBorders>
              <w:top w:val="single" w:color="auto" w:sz="12" w:space="0"/>
              <w:right w:val="single" w:color="auto" w:sz="12" w:space="0"/>
            </w:tcBorders>
            <w:vAlign w:val="center"/>
          </w:tcPr>
          <w:p>
            <w:pPr>
              <w:spacing w:line="360" w:lineRule="auto"/>
              <w:jc w:val="center"/>
              <w:rPr>
                <w:rFonts w:ascii="宋体" w:hAnsi="宋体" w:cs="宋体"/>
                <w:sz w:val="24"/>
              </w:rPr>
            </w:pPr>
            <w:r>
              <w:rPr>
                <w:rFonts w:hint="eastAsia" w:ascii="宋体" w:hAnsi="宋体" w:cs="宋体"/>
                <w:color w:val="000000"/>
                <w:sz w:val="24"/>
              </w:rPr>
              <w:t>详见谈判邀请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数量</w:t>
            </w:r>
          </w:p>
        </w:tc>
        <w:tc>
          <w:tcPr>
            <w:tcW w:w="5625" w:type="dxa"/>
            <w:tcBorders>
              <w:right w:val="single" w:color="auto" w:sz="12" w:space="0"/>
            </w:tcBorders>
            <w:vAlign w:val="center"/>
          </w:tcPr>
          <w:p>
            <w:pPr>
              <w:jc w:val="center"/>
              <w:rPr>
                <w:rFonts w:ascii="宋体" w:hAnsi="宋体" w:cs="宋体"/>
                <w:sz w:val="24"/>
              </w:rPr>
            </w:pPr>
            <w:r>
              <w:rPr>
                <w:rFonts w:hint="eastAsia" w:ascii="宋体" w:hAnsi="宋体"/>
                <w:sz w:val="24"/>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交货期/服务期</w:t>
            </w:r>
          </w:p>
        </w:tc>
        <w:tc>
          <w:tcPr>
            <w:tcW w:w="5625" w:type="dxa"/>
            <w:tcBorders>
              <w:right w:val="single" w:color="auto" w:sz="12" w:space="0"/>
            </w:tcBorders>
            <w:vAlign w:val="center"/>
          </w:tcPr>
          <w:p>
            <w:pPr>
              <w:jc w:val="center"/>
              <w:rPr>
                <w:rFonts w:ascii="宋体" w:hAnsi="宋体" w:cs="宋体"/>
                <w:sz w:val="24"/>
              </w:rPr>
            </w:pPr>
            <w:r>
              <w:rPr>
                <w:rFonts w:hint="eastAsia" w:ascii="宋体" w:hAnsi="宋体"/>
                <w:sz w:val="24"/>
              </w:rPr>
              <w:t>详见第五章二、采购需求/（二）</w:t>
            </w:r>
            <w:r>
              <w:rPr>
                <w:rFonts w:hint="eastAsia" w:ascii="宋体" w:hAnsi="宋体"/>
                <w:sz w:val="24"/>
                <w:szCs w:val="24"/>
              </w:rPr>
              <w:t>商务条件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交货地点/服务地点</w:t>
            </w:r>
          </w:p>
        </w:tc>
        <w:tc>
          <w:tcPr>
            <w:tcW w:w="5625" w:type="dxa"/>
            <w:tcBorders>
              <w:right w:val="single" w:color="auto" w:sz="12" w:space="0"/>
            </w:tcBorders>
            <w:vAlign w:val="center"/>
          </w:tcPr>
          <w:p>
            <w:pPr>
              <w:jc w:val="center"/>
              <w:rPr>
                <w:rFonts w:ascii="宋体" w:hAnsi="宋体" w:cs="宋体"/>
                <w:bCs/>
                <w:sz w:val="24"/>
                <w:szCs w:val="24"/>
              </w:rPr>
            </w:pPr>
            <w:r>
              <w:rPr>
                <w:rFonts w:hint="eastAsia" w:ascii="宋体" w:hAnsi="宋体"/>
                <w:sz w:val="24"/>
              </w:rPr>
              <w:t>详见第五章二、采购需求/（二）</w:t>
            </w:r>
            <w:r>
              <w:rPr>
                <w:rFonts w:hint="eastAsia" w:ascii="宋体" w:hAnsi="宋体"/>
                <w:sz w:val="24"/>
                <w:szCs w:val="24"/>
              </w:rPr>
              <w:t>商务条件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备注</w:t>
            </w:r>
          </w:p>
        </w:tc>
        <w:tc>
          <w:tcPr>
            <w:tcW w:w="5625" w:type="dxa"/>
            <w:tcBorders>
              <w:right w:val="single" w:color="auto" w:sz="12" w:space="0"/>
            </w:tcBorders>
            <w:vAlign w:val="center"/>
          </w:tcPr>
          <w:p>
            <w:pPr>
              <w:jc w:val="center"/>
              <w:rPr>
                <w:rFonts w:ascii="宋体" w:hAnsi="宋体" w:cs="宋体"/>
                <w:bCs/>
                <w:sz w:val="24"/>
                <w:szCs w:val="24"/>
              </w:rPr>
            </w:pPr>
            <w:r>
              <w:rPr>
                <w:rFonts w:hint="eastAsia" w:ascii="宋体" w:hAnsi="宋体"/>
                <w:sz w:val="24"/>
              </w:rPr>
              <w:t>本项目为交钥匙工程</w:t>
            </w:r>
          </w:p>
        </w:tc>
      </w:tr>
    </w:tbl>
    <w:p>
      <w:pPr>
        <w:jc w:val="center"/>
        <w:rPr>
          <w:rFonts w:ascii="宋体" w:hAnsi="宋体" w:cs="宋体"/>
          <w:spacing w:val="-6"/>
          <w:sz w:val="52"/>
        </w:rPr>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ind w:left="0" w:firstLine="0"/>
      </w:pPr>
    </w:p>
    <w:p>
      <w:pPr>
        <w:pStyle w:val="7"/>
        <w:jc w:val="center"/>
        <w:rPr>
          <w:b/>
          <w:bCs/>
        </w:rPr>
      </w:pPr>
      <w:r>
        <w:rPr>
          <w:rFonts w:hint="eastAsia" w:ascii="宋体" w:hAnsi="宋体" w:eastAsia="宋体" w:cs="宋体"/>
          <w:b/>
          <w:bCs/>
          <w:sz w:val="28"/>
          <w:szCs w:val="28"/>
        </w:rPr>
        <w:t>二、采购要求</w:t>
      </w:r>
    </w:p>
    <w:p>
      <w:pPr>
        <w:numPr>
          <w:ilvl w:val="0"/>
          <w:numId w:val="8"/>
        </w:numPr>
        <w:adjustRightInd w:val="0"/>
        <w:spacing w:line="460" w:lineRule="exact"/>
        <w:rPr>
          <w:rFonts w:ascii="宋体" w:hAnsi="宋体" w:cs="宋体"/>
          <w:sz w:val="24"/>
          <w:szCs w:val="24"/>
        </w:rPr>
      </w:pPr>
      <w:r>
        <w:rPr>
          <w:rFonts w:hint="eastAsia" w:ascii="宋体" w:hAnsi="宋体" w:cs="宋体"/>
          <w:sz w:val="24"/>
          <w:szCs w:val="24"/>
        </w:rPr>
        <w:t>技术规格</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0"/>
        <w:gridCol w:w="1442"/>
        <w:gridCol w:w="676"/>
        <w:gridCol w:w="440"/>
        <w:gridCol w:w="5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货物名称</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32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分体式教学终端</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14</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9"/>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sz w:val="24"/>
                <w:szCs w:val="24"/>
                <w:highlight w:val="none"/>
                <w:lang w:val="en-US" w:eastAsia="en-US"/>
              </w:rPr>
              <w:t>CPU</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en-US"/>
              </w:rPr>
              <w:t>物理核数</w:t>
            </w:r>
            <w:r>
              <w:rPr>
                <w:rFonts w:hint="eastAsia" w:ascii="宋体" w:hAnsi="宋体" w:eastAsia="宋体" w:cs="宋体"/>
                <w:i w:val="0"/>
                <w:iCs w:val="0"/>
                <w:color w:val="auto"/>
                <w:kern w:val="0"/>
                <w:sz w:val="24"/>
                <w:szCs w:val="24"/>
                <w:highlight w:val="none"/>
                <w:u w:val="none"/>
                <w:lang w:val="en-US" w:eastAsia="zh-CN" w:bidi="ar"/>
              </w:rPr>
              <w:t>≥12核,</w:t>
            </w:r>
            <w:r>
              <w:rPr>
                <w:rFonts w:hint="eastAsia" w:ascii="宋体" w:hAnsi="宋体" w:eastAsia="宋体" w:cs="宋体"/>
                <w:sz w:val="24"/>
                <w:szCs w:val="24"/>
                <w:highlight w:val="none"/>
                <w:lang w:val="en-US" w:eastAsia="en-US"/>
              </w:rPr>
              <w:t>主频</w:t>
            </w:r>
            <w:r>
              <w:rPr>
                <w:rFonts w:hint="eastAsia" w:ascii="宋体" w:hAnsi="宋体" w:eastAsia="宋体" w:cs="宋体"/>
                <w:i w:val="0"/>
                <w:iCs w:val="0"/>
                <w:color w:val="auto"/>
                <w:kern w:val="0"/>
                <w:sz w:val="24"/>
                <w:szCs w:val="24"/>
                <w:highlight w:val="none"/>
                <w:u w:val="none"/>
                <w:lang w:val="en-US" w:eastAsia="zh-CN" w:bidi="ar"/>
              </w:rPr>
              <w:t>≥2.1GHZ,</w:t>
            </w:r>
            <w:r>
              <w:rPr>
                <w:rFonts w:hint="eastAsia" w:ascii="宋体" w:hAnsi="宋体" w:eastAsia="宋体" w:cs="宋体"/>
                <w:sz w:val="24"/>
                <w:szCs w:val="24"/>
                <w:highlight w:val="none"/>
                <w:lang w:val="en-US" w:eastAsia="en-US"/>
              </w:rPr>
              <w:t>末级缓存容量</w:t>
            </w:r>
            <w:r>
              <w:rPr>
                <w:rFonts w:hint="eastAsia" w:ascii="宋体" w:hAnsi="宋体" w:eastAsia="宋体" w:cs="宋体"/>
                <w:i w:val="0"/>
                <w:iCs w:val="0"/>
                <w:color w:val="auto"/>
                <w:kern w:val="0"/>
                <w:sz w:val="24"/>
                <w:szCs w:val="24"/>
                <w:highlight w:val="none"/>
                <w:u w:val="none"/>
                <w:lang w:val="en-US" w:eastAsia="zh-CN" w:bidi="ar"/>
              </w:rPr>
              <w:t>≥25MB,</w:t>
            </w:r>
            <w:r>
              <w:rPr>
                <w:rFonts w:hint="eastAsia" w:ascii="宋体" w:hAnsi="宋体" w:eastAsia="宋体" w:cs="宋体"/>
                <w:sz w:val="24"/>
                <w:szCs w:val="24"/>
                <w:highlight w:val="none"/>
                <w:lang w:val="en-US" w:eastAsia="en-US"/>
              </w:rPr>
              <w:t>支持的内存最高速率</w:t>
            </w:r>
            <w:r>
              <w:rPr>
                <w:rFonts w:hint="eastAsia" w:ascii="宋体" w:hAnsi="宋体" w:eastAsia="宋体" w:cs="宋体"/>
                <w:i w:val="0"/>
                <w:iCs w:val="0"/>
                <w:color w:val="auto"/>
                <w:kern w:val="0"/>
                <w:sz w:val="24"/>
                <w:szCs w:val="24"/>
                <w:highlight w:val="none"/>
                <w:u w:val="none"/>
                <w:lang w:val="en-US" w:eastAsia="zh-CN" w:bidi="ar"/>
              </w:rPr>
              <w:t>≥2666MHZ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2、内存：32G DDR4 3200MT/s 内存或以上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3、硬盘：≥256G M.2 SSD硬盘，机械硬盘1T及以上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4、网络通信：为保证学生使用网络过程安全可控，提供双1000M以太网口，可以实现内网外网物理隔离。网口支持wake on LAN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5、集成标准声卡、USB键盘、鼠标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w:t>
            </w:r>
            <w:r>
              <w:rPr>
                <w:rFonts w:hint="eastAsia" w:ascii="宋体" w:hAnsi="宋体" w:eastAsia="宋体" w:cs="宋体"/>
                <w:i w:val="0"/>
                <w:iCs w:val="0"/>
                <w:color w:val="auto"/>
                <w:kern w:val="0"/>
                <w:sz w:val="24"/>
                <w:szCs w:val="24"/>
                <w:highlight w:val="none"/>
                <w:u w:val="none"/>
                <w:lang w:val="en-US" w:eastAsia="zh-Hans" w:bidi="ar"/>
              </w:rPr>
              <w:t>接口</w:t>
            </w:r>
            <w:r>
              <w:rPr>
                <w:rFonts w:hint="eastAsia" w:ascii="宋体" w:hAnsi="宋体" w:eastAsia="宋体" w:cs="宋体"/>
                <w:i w:val="0"/>
                <w:iCs w:val="0"/>
                <w:color w:val="auto"/>
                <w:kern w:val="0"/>
                <w:sz w:val="24"/>
                <w:szCs w:val="24"/>
                <w:highlight w:val="none"/>
                <w:u w:val="none"/>
                <w:lang w:eastAsia="zh-Hans" w:bidi="ar"/>
              </w:rPr>
              <w:t>：</w:t>
            </w:r>
            <w:r>
              <w:rPr>
                <w:rFonts w:hint="eastAsia" w:ascii="宋体" w:hAnsi="宋体" w:eastAsia="宋体" w:cs="宋体"/>
                <w:i w:val="0"/>
                <w:iCs w:val="0"/>
                <w:color w:val="auto"/>
                <w:kern w:val="0"/>
                <w:sz w:val="24"/>
                <w:szCs w:val="24"/>
                <w:highlight w:val="none"/>
                <w:u w:val="none"/>
                <w:lang w:val="en-US" w:eastAsia="zh-CN" w:bidi="ar"/>
              </w:rPr>
              <w:t>USB3.0≥6个；TypeC≥1个；麦克风输入≥</w:t>
            </w:r>
            <w:r>
              <w:rPr>
                <w:rFonts w:hint="eastAsia" w:ascii="宋体" w:hAnsi="宋体" w:eastAsia="宋体" w:cs="宋体"/>
                <w:i w:val="0"/>
                <w:iCs w:val="0"/>
                <w:color w:val="auto"/>
                <w:kern w:val="0"/>
                <w:sz w:val="24"/>
                <w:szCs w:val="24"/>
                <w:highlight w:val="none"/>
                <w:u w:val="none"/>
                <w:lang w:eastAsia="zh-CN" w:bidi="ar"/>
              </w:rPr>
              <w:t>2</w:t>
            </w:r>
            <w:r>
              <w:rPr>
                <w:rFonts w:hint="eastAsia" w:ascii="宋体" w:hAnsi="宋体" w:eastAsia="宋体" w:cs="宋体"/>
                <w:i w:val="0"/>
                <w:iCs w:val="0"/>
                <w:color w:val="auto"/>
                <w:kern w:val="0"/>
                <w:sz w:val="24"/>
                <w:szCs w:val="24"/>
                <w:highlight w:val="none"/>
                <w:u w:val="none"/>
                <w:lang w:val="en-US" w:eastAsia="zh-CN" w:bidi="ar"/>
              </w:rPr>
              <w:t>个，音频输出≥</w:t>
            </w:r>
            <w:r>
              <w:rPr>
                <w:rFonts w:hint="eastAsia" w:ascii="宋体" w:hAnsi="宋体" w:eastAsia="宋体" w:cs="宋体"/>
                <w:i w:val="0"/>
                <w:iCs w:val="0"/>
                <w:color w:val="auto"/>
                <w:kern w:val="0"/>
                <w:sz w:val="24"/>
                <w:szCs w:val="24"/>
                <w:highlight w:val="none"/>
                <w:u w:val="none"/>
                <w:lang w:eastAsia="zh-CN" w:bidi="ar"/>
              </w:rPr>
              <w:t>3</w:t>
            </w:r>
            <w:r>
              <w:rPr>
                <w:rFonts w:hint="eastAsia" w:ascii="宋体" w:hAnsi="宋体" w:eastAsia="宋体" w:cs="宋体"/>
                <w:i w:val="0"/>
                <w:iCs w:val="0"/>
                <w:color w:val="auto"/>
                <w:kern w:val="0"/>
                <w:sz w:val="24"/>
                <w:szCs w:val="24"/>
                <w:highlight w:val="none"/>
                <w:u w:val="none"/>
                <w:lang w:val="en-US" w:eastAsia="zh-CN" w:bidi="ar"/>
              </w:rPr>
              <w:t>个</w:t>
            </w:r>
            <w:r>
              <w:rPr>
                <w:rFonts w:hint="eastAsia" w:ascii="宋体" w:hAnsi="宋体" w:eastAsia="宋体" w:cs="宋体"/>
                <w:i w:val="0"/>
                <w:iCs w:val="0"/>
                <w:color w:val="auto"/>
                <w:kern w:val="0"/>
                <w:sz w:val="24"/>
                <w:szCs w:val="24"/>
                <w:highlight w:val="none"/>
                <w:u w:val="none"/>
                <w:lang w:eastAsia="zh-CN" w:bidi="ar"/>
              </w:rPr>
              <w:t>，</w:t>
            </w:r>
            <w:r>
              <w:rPr>
                <w:rFonts w:hint="eastAsia" w:ascii="宋体" w:hAnsi="宋体" w:eastAsia="宋体" w:cs="宋体"/>
                <w:i w:val="0"/>
                <w:iCs w:val="0"/>
                <w:color w:val="auto"/>
                <w:kern w:val="0"/>
                <w:sz w:val="24"/>
                <w:szCs w:val="24"/>
                <w:highlight w:val="none"/>
                <w:u w:val="none"/>
                <w:lang w:val="en-US" w:eastAsia="zh-CN" w:bidi="ar"/>
              </w:rPr>
              <w:t>USB2.0≥4个；HDMI输出≥1；VGA输出≥1；DP输出≥1；串口≥1；RJ45≥2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7、电源功率：≤300W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8、内部插槽：PCIEX16≥1（支持拓展独立显卡）；PCIEX1≥2；PCI≥1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9、其他要求：须满足</w:t>
            </w:r>
            <w:r>
              <w:rPr>
                <w:rFonts w:hint="eastAsia" w:ascii="宋体" w:hAnsi="宋体" w:eastAsia="宋体" w:cs="宋体"/>
                <w:kern w:val="2"/>
                <w:sz w:val="24"/>
                <w:szCs w:val="24"/>
                <w:highlight w:val="none"/>
                <w:lang w:val="en-US" w:eastAsia="zh-CN" w:bidi="ar-SA"/>
              </w:rPr>
              <w:t>附件：《台式计算机政府采购需求标准2023年版》必须纳入采购需求（加“*”）的指标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云桌面系统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1.支持云平板系统快捷部署，终端设备在部署时指定系统安装位置、数据分区（D盘）大小、云桌面镜像导入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2.支持云平板系统快捷部署，终端设备在部署过程中进行云桌面镜像导入时，支持编辑云桌面镜像的名称与操作系统类型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3.支持在现有终端设备上部署利旧使用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4.支持在云桌面镜像系统无法启动、系统异常时，通过手势在屏幕上调取触摸中控菜单，进行系统恢复至出厂默认状态，无需连接网络、无需连接管理平台、无需额外工具辅助。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5.支持云平板系统恢复后，公共数据分区（D盘）的数据得到保留，不受还原影响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6.支持监测网络状态，支持查看当前网络类型，支持查看终端设备IP地址，支持查看与管理平台的网络连接质量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7.支持诊断网络，支持检测与管理平台的通讯状态，支持TCP延迟、ICMP延迟、上传下载速度检测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8.支持诊断网络，支持查看本地网络状态、IP地址、掩码、网关、DNS、速率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9.支持使用PING进行网络连通性检测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10.支持查看终端设备信息，支持查看终端设备型号、序列号、磁盘容量、内存容量、CPU型号等信息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11.支持配置多网卡网络，支持配置DHCP获取IP或手动配置静态IP信息，配置的网络信息同步到启动的云桌面镜像中保持一致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12.支持配置管理平台地址，支持自动寻找网络中的管理平台，支持手动指定管理平台，支持检测管理平台的连通性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支持系统重置，恢复出厂设置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13.支持系统启动模式配置，可配置成开机自动进入云桌面镜像系统或进入云平板系统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14.支持在配置成开机自动进入云桌面镜像系统时，可以通过托盘程序重启进入云平板系统进行云桌面镜像切换或终端设置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15.支持云桌面镜像与终端设备绑定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16.支持终端设备上的云桌面镜像均可使用公共数据分区（D盘）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17.支持通过账号登录、手机扫码登录、无账号访客登录启动的云桌面镜像均可访问公共数据分区（D盘）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18.支持断网使用，即在终端设备网络中断或管理平台连接中断时，正在操作的教学业务不受影响，依然可使用当前云桌面镜像继续开展业务，打开的程序也不会中断，保障业务连续性；支持终端设备运行时无需运行独立的虚拟化系统，终端设备配置的IP与进入云桌面镜像后的IP能够保持一致，同一个终端无需使用多个IP，简化运维管理与网络规划复杂度；支持在终端设备部署多个云桌面镜像切换使用，支持Windows、UOS、KylinOS、Ubuntu等桌面操作系统的云桌面镜像；</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19.支持Windows云桌面镜像，在Windows云桌面镜像系统中查看设备的CPU型号、GPU型号、系统型号、BIOS版本等系统信息显示与终端物理设备一致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20.支持统信桌面操作系统云桌面镜像，在统信桌面操作系统云桌面中查看设备的CPU型号、GPU型号、系统型号、BIOS版本等系统信息显示与终端物理设备一致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21.支持麒麟桌面操作系统云桌面镜像，在麒麟桌面操作系统云桌面中查看设备的CPU型号、GPU型号、系统型号、BIOS版本等系统信息显示与终端物理设备一致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22.支持在包括但不限于Windows、统信桌面操作系统、麒麟桌面操作系统等不同的云桌面中使用相同品牌的教学应用工具，包括但不限于教学白板软件、学生行为评价软件、视频展台软件、录屏软件等教学应用工具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23.支持高清显示，在云桌面镜像设置显示分辨率为3840*2160@60Hz，支持不低于4K清晰度不低于60帧高清视频流畅解码播放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24.在未配置管理平台使用终端设备时，管理员进行云桌面镜像管理时，支持查看信息、设置默认启动、设置还原、导入镜像、导出镜像、删除镜像；在未配置管理平台使用终端设备时，支持管理员从USB移动存储设备中导入云桌面镜像系统镜像，支持编辑云桌面镜像的名称与操作系统类型，支持导入过程中查看进度、传输速度等信息；在未配置管理平台使用终端设备时，支持管理员导出指定云桌面镜像系统镜像至USB移动存储设备，支持导出时同步导出配置信息，支持导入过程中查看进度、传输速度等信息</w:t>
            </w:r>
          </w:p>
          <w:p>
            <w:pPr>
              <w:keepNext w:val="0"/>
              <w:keepLines w:val="0"/>
              <w:pageBreakBefore w:val="0"/>
              <w:widowControl/>
              <w:numPr>
                <w:ilvl w:val="-1"/>
                <w:numId w:val="0"/>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25.在未配置管理平台使用终端设备时，支持管理员设置指定云桌面镜像默认启动，终端设备每次开机、重启时自动进入设置的云桌面镜像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26.在未配置管理平台使用终端设备时，支持管理员设置指定云桌面镜像启动还原，设置还原的云桌面镜像的使用记录与数据将不被保留，关机清除</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备授课软件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1、为使用方全体教师配备个人账号，形成一体的信息化教学账号体系；根据教师账号信息将教师云空间匹配至对应学校、学科校本资源库。支持通过数字账号、微信二维码、硬件密钥方式登录教师个人账号。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2、支持PPT解析课件、互动云课件和云端资源调用等多种备课方式。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3、互动教学课件支持定向精准分享：分享者可将互动课件、课件组精准推送至指定接收方账号云空间，接收方可在云空间接收并打开分享课件。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4、支持PPT的原生解析，教师可将pptx课件转化为互动教学课件，支持单份导入和批量文件夹导入两种导入方式，保留pptx原文件中的文字、图片、表格等对象及动画的可编辑性，并可为课件增加互动教学元素。</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5.云内置备授课软件提供教案模板供老师撰写教案，预置模板包含表格式、提纲式、集备式、多课时式、单元设计式不少于7个。支持校本模板，管理员在教研管理后台设置校本模板后，老师可在云教案模板调用。</w:t>
            </w:r>
            <w:r>
              <w:rPr>
                <w:rFonts w:hint="eastAsia" w:ascii="宋体" w:hAnsi="宋体" w:eastAsia="宋体" w:cs="宋体"/>
                <w:b/>
                <w:bCs/>
                <w:i w:val="0"/>
                <w:iCs w:val="0"/>
                <w:color w:val="auto"/>
                <w:kern w:val="0"/>
                <w:sz w:val="24"/>
                <w:szCs w:val="24"/>
                <w:highlight w:val="none"/>
                <w:u w:val="none"/>
                <w:lang w:val="en-US" w:eastAsia="zh-CN" w:bidi="ar"/>
              </w:rPr>
              <w:t>（注：针对该项参数，响应文件中须提供</w:t>
            </w:r>
            <w:r>
              <w:rPr>
                <w:rFonts w:hint="eastAsia" w:ascii="宋体" w:hAnsi="宋体" w:eastAsia="宋体" w:cs="宋体"/>
                <w:b/>
                <w:bCs/>
                <w:i w:val="0"/>
                <w:iCs w:val="0"/>
                <w:color w:val="auto"/>
                <w:kern w:val="0"/>
                <w:sz w:val="24"/>
                <w:szCs w:val="24"/>
                <w:highlight w:val="none"/>
                <w:u w:val="none"/>
                <w:lang w:val="en-US" w:eastAsia="zh-Hans" w:bidi="ar"/>
              </w:rPr>
              <w:t>软件功能截图</w:t>
            </w:r>
            <w:r>
              <w:rPr>
                <w:rFonts w:hint="eastAsia" w:ascii="宋体" w:hAnsi="宋体" w:eastAsia="宋体" w:cs="宋体"/>
                <w:b/>
                <w:bCs/>
                <w:i w:val="0"/>
                <w:iCs w:val="0"/>
                <w:color w:val="auto"/>
                <w:kern w:val="0"/>
                <w:sz w:val="24"/>
                <w:szCs w:val="24"/>
                <w:highlight w:val="none"/>
                <w:u w:val="none"/>
                <w:lang w:val="en-US" w:eastAsia="zh-CN" w:bidi="ar"/>
              </w:rPr>
              <w:t>佐证。）</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6.内置备授课软件移动端支持空白页、课件页录制微课，支持将教师声音与对课件、画布的操作过程数据打点绑定，生成播放链接。支持分发到微信、QQ、钉钉，支持链接、海报二维码2种分发模式。</w:t>
            </w:r>
            <w:r>
              <w:rPr>
                <w:rFonts w:hint="eastAsia" w:ascii="宋体" w:hAnsi="宋体" w:eastAsia="宋体" w:cs="宋体"/>
                <w:b/>
                <w:bCs/>
                <w:i w:val="0"/>
                <w:iCs w:val="0"/>
                <w:color w:val="auto"/>
                <w:kern w:val="0"/>
                <w:sz w:val="24"/>
                <w:szCs w:val="24"/>
                <w:highlight w:val="none"/>
                <w:u w:val="none"/>
                <w:lang w:val="en-US" w:eastAsia="zh-CN" w:bidi="ar"/>
              </w:rPr>
              <w:t>（注：针对该项参数，响应文件中须提供</w:t>
            </w:r>
            <w:r>
              <w:rPr>
                <w:rFonts w:hint="eastAsia" w:ascii="宋体" w:hAnsi="宋体" w:eastAsia="宋体" w:cs="宋体"/>
                <w:b/>
                <w:bCs/>
                <w:i w:val="0"/>
                <w:iCs w:val="0"/>
                <w:color w:val="auto"/>
                <w:kern w:val="0"/>
                <w:sz w:val="24"/>
                <w:szCs w:val="24"/>
                <w:highlight w:val="none"/>
                <w:u w:val="none"/>
                <w:lang w:val="en-US" w:eastAsia="zh-Hans" w:bidi="ar"/>
              </w:rPr>
              <w:t>软件功能截图</w:t>
            </w:r>
            <w:r>
              <w:rPr>
                <w:rFonts w:hint="eastAsia" w:ascii="宋体" w:hAnsi="宋体" w:eastAsia="宋体" w:cs="宋体"/>
                <w:b/>
                <w:bCs/>
                <w:i w:val="0"/>
                <w:iCs w:val="0"/>
                <w:color w:val="auto"/>
                <w:kern w:val="0"/>
                <w:sz w:val="24"/>
                <w:szCs w:val="24"/>
                <w:highlight w:val="none"/>
                <w:u w:val="none"/>
                <w:lang w:val="en-US" w:eastAsia="zh-CN" w:bidi="ar"/>
              </w:rPr>
              <w:t>佐证。）</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color w:val="auto"/>
                <w:sz w:val="24"/>
                <w:szCs w:val="24"/>
                <w:highlight w:val="none"/>
                <w:lang w:val="en-US" w:eastAsia="zh-CN"/>
              </w:rPr>
            </w:pPr>
            <w:r>
              <w:rPr>
                <w:rFonts w:hint="eastAsia" w:ascii="宋体" w:hAnsi="宋体" w:cs="宋体"/>
                <w:b/>
                <w:bCs/>
                <w:i w:val="0"/>
                <w:iCs w:val="0"/>
                <w:color w:val="auto"/>
                <w:kern w:val="0"/>
                <w:sz w:val="24"/>
                <w:szCs w:val="24"/>
                <w:highlight w:val="none"/>
                <w:u w:val="none"/>
                <w:lang w:val="en-US" w:eastAsia="zh-CN" w:bidi="ar"/>
              </w:rPr>
              <w:t>注：</w:t>
            </w:r>
            <w:r>
              <w:rPr>
                <w:rFonts w:hint="eastAsia" w:ascii="宋体" w:hAnsi="宋体" w:eastAsia="宋体" w:cs="宋体"/>
                <w:b/>
                <w:bCs/>
                <w:i w:val="0"/>
                <w:iCs w:val="0"/>
                <w:color w:val="auto"/>
                <w:kern w:val="0"/>
                <w:sz w:val="24"/>
                <w:szCs w:val="24"/>
                <w:highlight w:val="none"/>
                <w:u w:val="none"/>
                <w:lang w:val="en-US" w:eastAsia="zh-CN" w:bidi="ar"/>
              </w:rPr>
              <w:t>针对该产品，响应文件中须提供国家确定的认证机构出具的处于有效期之内的节能产品认证证书扫描件，不满足的视为无效响应。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显示设备</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115</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1"/>
                <w:numId w:val="0"/>
              </w:numPr>
              <w:suppressLineNumbers w:val="0"/>
              <w:jc w:val="left"/>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1.≥23.8英寸显示屏幕，分辨率≥1920*1080，屏幕亮度≥250nit，IPS屏，支持VGA≥1，HDMI≥1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2.为保证屏幕色彩显示真实度，显示屏幕DCI-P3色域覆盖率≥ 90%；对比度达到1000:1，屏幕刷新率达到75Hz，响应时间≤7ms，可视角度178/178度；电源能效转换效率≥86%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为了适应日常使用和更好的视频播放体验，显示屏分别提供标准模式和炫彩模式选项；为保证教师、学生的用眼舒适，显示屏幕提供护眼模式，护眼模式下，蓝光比例≤20%；显示器提供阅读模式，为长时间阅读提供舒适的用眼体验。</w:t>
            </w:r>
          </w:p>
          <w:p>
            <w:pPr>
              <w:keepNext w:val="0"/>
              <w:keepLines w:val="0"/>
              <w:widowControl/>
              <w:numPr>
                <w:ilvl w:val="-1"/>
                <w:numId w:val="0"/>
              </w:numPr>
              <w:suppressLineNumbers w:val="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4.显示屏幕采用窄边设计，上左右边框≤3.6mm，下边框≤16.5mm，屏占比≥92%</w:t>
            </w:r>
          </w:p>
          <w:p>
            <w:pPr>
              <w:keepNext w:val="0"/>
              <w:keepLines w:val="0"/>
              <w:widowControl/>
              <w:numPr>
                <w:ilvl w:val="-1"/>
                <w:numId w:val="0"/>
              </w:numPr>
              <w:suppressLineNumbers w:val="0"/>
              <w:ind w:left="0" w:leftChars="0" w:firstLine="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i w:val="0"/>
                <w:iCs w:val="0"/>
                <w:color w:val="auto"/>
                <w:kern w:val="0"/>
                <w:sz w:val="24"/>
                <w:szCs w:val="24"/>
                <w:highlight w:val="none"/>
                <w:u w:val="none"/>
                <w:lang w:val="en-US" w:eastAsia="zh-CN" w:bidi="ar"/>
              </w:rPr>
              <w:t>注：</w:t>
            </w:r>
            <w:r>
              <w:rPr>
                <w:rFonts w:hint="eastAsia" w:ascii="宋体" w:hAnsi="宋体" w:eastAsia="宋体" w:cs="宋体"/>
                <w:b/>
                <w:bCs/>
                <w:i w:val="0"/>
                <w:iCs w:val="0"/>
                <w:color w:val="auto"/>
                <w:kern w:val="0"/>
                <w:sz w:val="24"/>
                <w:szCs w:val="24"/>
                <w:highlight w:val="none"/>
                <w:u w:val="none"/>
                <w:lang w:val="en-US" w:eastAsia="zh-CN" w:bidi="ar"/>
              </w:rPr>
              <w:t>针对该产品，响应文件中须提供国家确定的认证机构出具的处于有效期之内的节能产品认证证书扫描件，不满足的视为无效响应。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边缘服务器</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1、软硬一体化1U设备，内置系统软件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2、CPU主频不低于3.5GHz,物理核心数不少于4 颗，缓存不低于8MB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3、内存：32G DDR4内存或以上配置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4、系统硬盘：1TB或以上M.2 NVME SSD固态硬盘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5、数据硬盘：配置不少于4块8T SATA 3.0 7200RPM 256M缓存企业级机械硬盘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6、PCIE扩展：支持不少于1个全高PCIE X16 扩展槽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7、支持IPMI 远程管理，配置独立的IPMI RJ45 管理网口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8、网口：配置不少于4个千兆RJ45 以太网口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9.其他要求：须满足</w:t>
            </w:r>
            <w:r>
              <w:rPr>
                <w:rFonts w:hint="eastAsia" w:ascii="宋体" w:hAnsi="宋体" w:eastAsia="宋体" w:cs="宋体"/>
                <w:sz w:val="24"/>
                <w:szCs w:val="24"/>
                <w:highlight w:val="none"/>
                <w:lang w:val="en-US" w:eastAsia="zh-CN"/>
              </w:rPr>
              <w:t>附件：</w:t>
            </w:r>
            <w:r>
              <w:rPr>
                <w:rFonts w:hint="eastAsia" w:ascii="宋体" w:hAnsi="宋体" w:eastAsia="宋体" w:cs="宋体"/>
                <w:kern w:val="2"/>
                <w:sz w:val="24"/>
                <w:szCs w:val="24"/>
                <w:highlight w:val="none"/>
                <w:lang w:val="en-US" w:eastAsia="zh-CN" w:bidi="ar-SA"/>
              </w:rPr>
              <w:t>《通用服务器政府采购需求标准（2023年版）》中必须纳入采购需求（加“*”）的指标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云管理平台</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一、终端管理：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1.支持远程管理终端设备，通过管理平台进行开机、关机、重启、还原、初始化、云桌面镜像推送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2.支持终端设备分组管理，支持在终端组中添加不同型号的终端设备，支持为终端组添加不同的云桌面镜像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3.支持终端分组关联的云桌面镜像优先级调整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4.支持对指定终端已缓存的云桌面镜像进行管理，支持为终端添加或删除云桌面镜像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二、镜像管理：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1.支持云桌面镜像管理，支持上传多种操作系统的云桌面镜像，支持Windows、UOS、Kylin、Ubuntu等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2.支持通过浏览器上传云桌面镜像，无需安装额外的插件或程序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3.支持云桌面镜像的更新，将终端设备提交的更新创建新的版本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4.支持云桌面镜像的历史版本管理，支持回滚到历史版本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5.支持云桌面镜像推送时，查看网络的使用情况，支持查看各终端设备同步进度与速率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三、用户管理：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1.支持用户管理功能，支持批量导入用户，支持添加的用户在终端设备使用手机扫码登录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2.支持用户角色管理，支持创建管理员角色用户，管理员角色用户可以登录管理平台，普通用户仅能在终端设备登录使用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四、系统设置：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1.支持配置终端设备的统一升级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2.支持配置终端设备的使用方式统一配置，可配置成开机自动进入云桌面镜像系统或进入云平板系统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3.支持配置终端设备使用鉴权方式统一配置，可配置成仅使用无账号登录、仅使用有账号登录、同时启用两种登录方式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4.支持分别配置无账号登录、有账号登录方式的还原模式，开启还原后终端设备的云桌面镜像系统的使用记录与数据将不被保留，关机清除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5.支持在启用还原后，终端设备的公共数据分区（D盘）的数据得到保留，不受还原影响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6.支持终端设备自助恢复系统，启用后终端设备可进行系统恢复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7.支持配置终端设备的公共数据分区（D盘）的容量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8.支持统一清空终端设备的公共数据分区（D盘）的数据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8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教学管理软件</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1.屏幕广播：将教师机屏幕和教师讲话实时广播给单一、部分或全体学生，可选择全屏或窗口方式。窗口模式下或教师机与学生机分辨率不同情况下，学生机可以以不同的窗口方式接收广播。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2.扩展屏广播模式：教师机连接两个显示器，可在广播时选择将任意一个显示器的内容广播到学生机。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3.屏幕广播速度增强：屏幕广播时支持多种画面质量的调节，根据网络的不同选择最好的效果进行教学。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屏幕笔：教师教学使用的辅助工具，突出显示项目、添加注释，添加批注等等。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4.共享白板：教师可共享白板、桌面或图片与选定的学生共同完成相同的学习任务或绘画作品，提供学生也可以单独完成。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5.网络影院：实现教师机播放的视频同步广播到学生机。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6.视频直播：通过USB摄像头将教师的画面实时广播到学生机，达到更形象的教学效果，具有引导客户选择视频设备的提示画面，以便客户快速完成摄像头设备的设置。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7.登录模式：支持频道登录、选择教师登录和IP地址段登录。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8.签到：提供学生名单管理工具，为软件和考试模块提供实名验证。提供点名功能，支持保留学生多次登录记录、考勤统计、签到信息的导出与对比。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9.班级模型：有单独的管理界面，实现对班级模型的统一管理，并能够导入、导出，调用不同网络教室中的班级模型。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10.打印和光盘限制：对打印的权限和光盘使用做限制。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11.U盘限制：对U盘访问权限的设定（完全开放、只读、只写、完全限制），有效控制学生使用U盘，防止资料的流失和病毒的引入。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12.网页限制：设定学生访问网站的黑名单或白名单，对学生可以访问的Internet站点进行管理。支持多浏览器限制，如QQ、IE、谷歌、360、遨游等浏览器。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13.程序限制：通过各种策略的应用，可防止学生在教学过程中打游戏，或使用QQ，MSN等聊天工具，支持限制U盘，网络映射盘，硬盘虚拟盘，虚拟光盘，内存虚拟盘里的程序。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8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集控软件</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14</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一、系统架构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1.系统基于SaaS布局，应用界面采用B/S架构设计，支持学校管理员在Windows、Linux、Android、IOS等多种不同的操作系统上通过网页浏览器登录进行所有管理指令操作。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2.系统支持多类型设备接入，集中运维。包含班班通设备、录播设备、班牌设备、校园屏显设备、学生平板设备。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3.批量关联：支持通过设备辅助管理软件，在单台班班通设备关联学校代码后，自动发现并关联同网段下其他班班通设备。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4.登录方式多样性：支持账号/密码、手机扫码登录。扫码登录：用户首次登录时绑定微信用户ID与账号的对应关系，之后即可通过微信扫一扫安全登录。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5.权限管理：支持学校高级管理员添加多位管理员协同管理，并支持为普通管理员分配不同权限，权限支持按系统功能菜单分配、按管理设备分配方式。并支持转让高级管理员给其他管理员。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二、精准管理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6.并行管理：支持实时展示不少于20台设备的运行画面，并支持切换画面模式/列表模式，方便管理员根据实际管理需要选择管理模式。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7.支持查看设备当前使用老师信息，以及最近一次设备解锁时间、解锁方式、解锁老师，实时了解班班通设备教学应用情况。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8.分组管理：支持根据设备类型、设备所属年级/场地/自定义分组、设备开关机状态进行分组管理；支持文字检索设备名称，快速定位对应设备进行定向精准管理。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三、基础指令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多场景锁屏：支持一键下课锁屏、开机自动锁屏、无网络时验证身份解锁。其中“下课锁屏”功能开启后，老师授课结束后可在班班通设备上点击“下课锁屏”按钮即可锁屏，保证班班通设备的使用秩序；其中“开机自动锁屏”可根据用户实际管理习惯，灵活设置不同分组的设备，开机后自动锁屏，以便于学校不同年级间分段管理；设备锁屏后，支持无网络情况下，使用者通过手机微信扫一扫验证身份后获取唯一临时解锁密码进行解锁使用。</w:t>
            </w:r>
            <w:r>
              <w:rPr>
                <w:rFonts w:hint="eastAsia" w:ascii="宋体" w:hAnsi="宋体" w:eastAsia="宋体" w:cs="宋体"/>
                <w:b/>
                <w:bCs/>
                <w:i w:val="0"/>
                <w:iCs w:val="0"/>
                <w:color w:val="auto"/>
                <w:kern w:val="0"/>
                <w:sz w:val="24"/>
                <w:szCs w:val="24"/>
                <w:highlight w:val="none"/>
                <w:u w:val="none"/>
                <w:lang w:val="en-US" w:eastAsia="zh-CN" w:bidi="ar"/>
              </w:rPr>
              <w:t>（注：针对该项参数，响应文件中须提供具有CMA标识的检测报告扫描件佐证）</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10.大文件传输：支持同时上传多个大于50MB的文件，并可批量发送至多台设备。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11.循环指令：支持设置即时、定时、循环模式的关机、重启、打铃、锁屏/解锁指令。其中打铃指令支持上传自定义铃声、设置播放时长；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12.消息通知：支持发送提醒类通知、全局弹窗类紧急通知、桌面常驻类公告通知。支持设置常用通知消息模版，便于快捷发布。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13.远程控制：支持远程实时控制设备，可监测设备当前运行界面，并远程操作设备界面，适用于远程维护和修复设备软件问题。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高效管理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领导视窗：支持同时查看8个教室的实时摄像头画面、设备屏幕画面；并支持在一个显示界面同时查看单个教室内所有屏幕、所有摄像头的实时画面，以及所有麦克风的声音，完整还原课堂全貌。其中摄像头画面可直接使用班班通自带摄像头，无需额外购置，方便且实惠。单台设备巡视时，发现有违规违纪行为时，可远程发消息、发语音直接干预，也可记录备注，事后教育。支持记录所有管理员的巡视记录，方便回溯。</w:t>
            </w:r>
            <w:r>
              <w:rPr>
                <w:rFonts w:hint="eastAsia" w:ascii="宋体" w:hAnsi="宋体" w:eastAsia="宋体" w:cs="宋体"/>
                <w:b/>
                <w:bCs/>
                <w:i w:val="0"/>
                <w:iCs w:val="0"/>
                <w:color w:val="auto"/>
                <w:kern w:val="0"/>
                <w:sz w:val="24"/>
                <w:szCs w:val="24"/>
                <w:highlight w:val="none"/>
                <w:u w:val="none"/>
                <w:lang w:val="en-US" w:eastAsia="zh-CN" w:bidi="ar"/>
              </w:rPr>
              <w:t>（注：针对该项参数，响应文件中须提供</w:t>
            </w:r>
            <w:r>
              <w:rPr>
                <w:rFonts w:hint="eastAsia" w:ascii="宋体" w:hAnsi="宋体" w:eastAsia="宋体" w:cs="宋体"/>
                <w:b/>
                <w:bCs/>
                <w:i w:val="0"/>
                <w:iCs w:val="0"/>
                <w:color w:val="auto"/>
                <w:kern w:val="0"/>
                <w:sz w:val="24"/>
                <w:szCs w:val="24"/>
                <w:highlight w:val="none"/>
                <w:u w:val="none"/>
                <w:lang w:val="en-US" w:eastAsia="zh-Hans" w:bidi="ar"/>
              </w:rPr>
              <w:t>软件功能截图</w:t>
            </w:r>
            <w:r>
              <w:rPr>
                <w:rFonts w:hint="eastAsia" w:ascii="宋体" w:hAnsi="宋体" w:eastAsia="宋体" w:cs="宋体"/>
                <w:b/>
                <w:bCs/>
                <w:i w:val="0"/>
                <w:iCs w:val="0"/>
                <w:color w:val="auto"/>
                <w:kern w:val="0"/>
                <w:sz w:val="24"/>
                <w:szCs w:val="24"/>
                <w:highlight w:val="none"/>
                <w:u w:val="none"/>
                <w:lang w:val="en-US" w:eastAsia="zh-CN" w:bidi="ar"/>
              </w:rPr>
              <w:t>佐证。）</w:t>
            </w:r>
            <w:r>
              <w:rPr>
                <w:rFonts w:hint="eastAsia" w:ascii="宋体" w:hAnsi="宋体" w:eastAsia="宋体" w:cs="宋体"/>
                <w:i w:val="0"/>
                <w:iCs w:val="0"/>
                <w:color w:val="auto"/>
                <w:kern w:val="0"/>
                <w:sz w:val="24"/>
                <w:szCs w:val="24"/>
                <w:highlight w:val="none"/>
                <w:u w:val="none"/>
                <w:lang w:val="en-US" w:eastAsia="zh-CN" w:bidi="ar"/>
              </w:rPr>
              <w:t>15.软件静默安装：支持用户自主上传官方正版软件，经过人工封装软件后，批量将软件发送至班班通设备安装，整个安装过程完全无感，不影响正常教学。</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弹窗AI拦截：支持一键开启全校班班通设备的不良弹窗AI拦截过滤能力，设备辅助管理软件实时监测弹出窗口，当有窗口弹出时，会自动使用“不良弹窗AI模型”判断，判断为不良弹窗时，自动拦截该窗口，以保证课堂教学稳定进行。</w:t>
            </w:r>
            <w:r>
              <w:rPr>
                <w:rFonts w:hint="eastAsia" w:ascii="宋体" w:hAnsi="宋体" w:eastAsia="宋体" w:cs="宋体"/>
                <w:b/>
                <w:bCs/>
                <w:i w:val="0"/>
                <w:iCs w:val="0"/>
                <w:color w:val="auto"/>
                <w:kern w:val="0"/>
                <w:sz w:val="24"/>
                <w:szCs w:val="24"/>
                <w:highlight w:val="none"/>
                <w:u w:val="none"/>
                <w:lang w:val="en-US" w:eastAsia="zh-CN" w:bidi="ar"/>
              </w:rPr>
              <w:t>（注：针对该项参数，响应文件中须提供</w:t>
            </w:r>
            <w:r>
              <w:rPr>
                <w:rFonts w:hint="eastAsia" w:ascii="宋体" w:hAnsi="宋体" w:eastAsia="宋体" w:cs="宋体"/>
                <w:b/>
                <w:bCs/>
                <w:i w:val="0"/>
                <w:iCs w:val="0"/>
                <w:color w:val="auto"/>
                <w:kern w:val="0"/>
                <w:sz w:val="24"/>
                <w:szCs w:val="24"/>
                <w:highlight w:val="none"/>
                <w:u w:val="none"/>
                <w:lang w:val="en-US" w:eastAsia="zh-Hans" w:bidi="ar"/>
              </w:rPr>
              <w:t>软件功能截图</w:t>
            </w:r>
            <w:r>
              <w:rPr>
                <w:rFonts w:hint="eastAsia" w:ascii="宋体" w:hAnsi="宋体" w:eastAsia="宋体" w:cs="宋体"/>
                <w:b/>
                <w:bCs/>
                <w:i w:val="0"/>
                <w:iCs w:val="0"/>
                <w:color w:val="auto"/>
                <w:kern w:val="0"/>
                <w:sz w:val="24"/>
                <w:szCs w:val="24"/>
                <w:highlight w:val="none"/>
                <w:u w:val="none"/>
                <w:lang w:val="en-US" w:eastAsia="zh-CN" w:bidi="ar"/>
              </w:rPr>
              <w:t>佐证。）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一体化扩声音箱</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1.采用功放与互动音箱一体化设计，内置麦克风无线接收模块，帮助教师实现多媒体扩音以及本地扩声功能。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2.双音箱有线连接，机箱采用塑胶材质，保护设备免受环境影响。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3.输出额定功率≥2*15W。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4.配置独立音频数字信号处理芯片，支持啸叫抑制功能。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5.支持教师扩声和输入音源叠加输出。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6.端口：220V电源接口≥1个、Line in≥1个、USB≥1个。USB接口可外接U盘设备对音箱固件进行升级。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7.专门为教室声学环境设计的合适扩声效果，距离音箱10米处声压级达到75dB或以上。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8.音箱支持UHF频段的无线麦克风扩音接收，与WiFI不处于同一频段。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9.支持扩声和输入音源叠加输出。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10.支持蓝牙无线接收，可分享移动设备上的音频。支持密码模式，防止学生连接。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11.支持交互智能平板显示设备通过蓝牙无线连接音箱，实现快速控制有源音箱音量的功能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U段无线话筒</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1.配备耳戴麦+手持麦；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2.采用最新红外线自动对频（IR）与自动选频（AFS）技术，载波频段(MHz)UHF640~699.7MHz，频带宽度(MHz)60MHz；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3.2通道UHF无线系统，每个通道100个频率可选，可同时工作。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智能讲台</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讲台桌体要求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1.钢木结合设计，采用冷轧钢板桌体，桌体木板厚度≥16mm，钢版厚度≥1.2mm防水、防磨、耐污、耐刮划、抗氧化、老师接触位置为木质桌面，桌面防静电。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2.讲台尺寸设计为长×宽×高≥1200mm×600mm×920mm，讲台桌面支持升降功能，升降范围≥300mm，桌面距地高度≥780～1080mm，根据人体工学设计，讲台桌面高度适合老师站坐教学。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3.讲台桌面平整，全封闭设计，无菱角处理，保护师生安全。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4.讲台桌最大承重为≥120kg，结构稳固，可满足垂直平面水平位置≥110N推力位移仍不超过5mm的移动。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5.讲台升降控制器设计为LED数显、上下升降、支持一键调节坐姿和站姿操作、过流过压保护、遇阻反弹保护、陀螺仪水平失衡保护、快速升降。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6.讲台一键坐姿、一键站姿均为独立按键，不与任何其他功能键复用，出厂即可使用，无需任何现场部署设置。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7.讲台桌标配折叠式水杯收纳功能。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8.讲台桌标配大容量收纳空间，支持键盘、鼠标、书写笔、麦克风等常用教学工具的存储和充电需求。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9.讲台桌可以搭配专属智能屏体通过软件控制升降，并显示高度数据。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讲台屏要求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1.讲台屏设计为单屏幕，由一整块玻璃覆盖，钢化玻璃厚度≥2mm；屏幕融合在讲台中，无突出边角，无法在没有工具的情况下拆除。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2.讲台屏玻璃采用G1级防眩光工艺，降低眩光干扰和镜面反射带来的视觉影响。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3.讲台屏采用≥23.8英寸电容触摸屏幕，支持至少10点同时触摸。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4.讲台屏支持手动角度调节，可实现与桌面形成20°至80°角度调节，根据人体工学设计，可满足最佳观看视角。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5.讲台屏支持对交互智能平板画面的同屏显示和控制；老师讲课无需转身背对学生，提高授课效率。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6.讲台屏内置NFC模块，讲台屏至少支持NFC刷卡、二维码、输入账号密码3种方式实现设备使用前的用户身份认证。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7.讲台屏设置物理实体快捷按键，按键数量≥6个。用户可通过快捷按键对一体机进行进行一键熄屏、音量加控制、音量减控制等操作。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8.讲台屏侧边有≥2个USB充电口，支持对接入设备进行充电和数据传输，方便老师授课使用。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9.讲台屏侧边有≥1个USB type-C接口，支持手机、笔记本电脑音视频传输和充电。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10.讲台屏侧边有≥1个HDMI IN口，支持笔记本电脑接入，方便老师自带笔记本进行授课。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11.讲台屏支持至少1路RS232命令信号输出，可联动多媒体设备实现一键开关机。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12.讲台屏侧边有≥1个220V国标五插电源接口，方便老师给笔记本电脑等设备充电。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13.讲台屏自带定制化独立操作系统，基于安卓11及以上版本，可在任意通道下唤出多功能中控菜单并实现相关操作。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14.讲台屏可设置中控菜单，支持一键上课及下课两种场景控制，也可以对连接的设备单独控制开关机。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15.讲台屏可设置中控菜单，支持通过讲台通道控制功能使讲台主屏在四个输入源中切换，包括智能平板、电脑、HDMI、Type-C。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16.讲台屏可设置有录播菜单，当接入录播产品时，可显示录播导播流画面，选择开始录制、暂停录制和结束录制。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17.讲台屏可直接在中控菜单软件中控制讲桌升降，无需使用讲桌的物理控制面板，并可通过软件与老师账号绑定记录老师独有的升降高度数据。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机柜要求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1.采用钢木结合设计，冷轧钢板柜体，柜体桌面木板厚度≥15mm，钢板厚度≥1mm防水、防磨、耐污、耐刮划、抗氧化、老师接触位置为木质桌面，桌面防静电。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2.机柜尺寸设计为长×宽×高≥700mm×600mm×780mm，机柜容量≥12U,可适装标准19英寸系列网络、通讯类产品。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3.机柜桌面平整，全封闭设计，无菱角处理，保护师生安全。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4.机柜前后柜门采用平开打开方式，带机械锁，方便日常维护。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5.机柜支脚采用4个万向高承重脚轮，方便移动，同时带有自锁功能。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6.散热孔位置：正面门板+侧面。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7.出线孔位置：底部出线。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智慧监考系统软件</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基础平台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用户管理 实现对用户进行增删改查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机构管理 实现对机构进行增删改查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课程/活动管理 实现对课程/活动进行增删改查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基础参数配置 对系统的基础运行参数进行配置管理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监管平台 考试活动参数设置 支持对活动参数进行灵活配置，设定允许中途离开时间、考试起止时间、替考认定次数、最短录像时长、是否启动音频检测等。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支持对每个报警动作的参数单独设置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档案照管理 支持批量照片导入，在考试过程中通过照片比对来认定考生身份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照片现场采集功能 参考人员初始状态没有档案照片的情况下，系统支持现场采集人脸及参考人员的相关证件（学籍卡、身份证等）信息，用以比对认定考生身份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身份审核功能 对参考人员是否真实为本人，提供人工审核功能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监管结果人工审核功能 对于系统检测记录的作弊嫌疑记录，系统支持人工审核、认定或取消嫌疑记录的功能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多角度检索功能 对于监管结果可以按课程、机构、个人分类汇总查询监管结果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支持按帐号、姓名、时间、报警类型、认定类型、报警级别进行查询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支持按图像来源（正面、顶视、屏幕等）进行查询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支持查询报警录像的在线播放或下载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支持对报警事件根据重要性进行分级，并且用不同颜色标记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白名单设置 支持对特定考生免除考前认证，直接进入考试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监管客户端软件（PC端）授权</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08</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监管客户端 考前认证 考试开始前通过视频检测识别认证，确认是本人参考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全程认证 考试过程中全程通过视频检测识别认证，确认是本人正在参加考试,检测间隔不高于30秒，并可通过参数设置进行相应的检测间隔调整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防止访问未授权网站 如果网站页面中有链接到外部网站，根据授权列表进行控制，非授权网站不允许访问。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无人检测 检测参考人员中途是否一直在电脑前，若有离开，系统进行告警提示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防止长时间低头 检测是否长时间低头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防止长时间侧脸 检测是否长时间看别处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防中途拔掉摄像机 防止考生中途拔掉摄像机，系统能够给出检测。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支持外接顶视摄像机 支持外接顶视摄像机，实现对特定目标和行为的检测，包括看书/纸条/手机等，防止身边有人等。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防本机界面切换 防止参考人员通过切换到其他应用进行网络搜索及资料查看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防止虚拟摄像头作弊 防止用户利用虚拟摄像头的方式来作弊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现场监管PC软件</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监管客户端 多人检测 支持对区域内有多人进行检测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检测声音干扰 检测音量大小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讲话检测 检测是否有人讲话，能区分讲话和杂音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活体检测 考前或考中通过配合式动作，防止考生使用他人照片、录像等替考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防止虚拟机 防止利用虚拟机作弊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防止远程控制 防止他人利用网络远程操作考试电脑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视频监控 按机构实时监控 监管者可通过管理后台，实时监控所在机构及下级机构的在线考生，并通过监管界面对在线考生进行监视、监听、发送通知、翻页切换。可显示在线人数，实时接收考生端预警事件信息。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网上巡考 可远程实时监控每一路考生图像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支持监听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人工标记、锁定有作弊行为的图像窗口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人工警告、抓拍作弊行为、强制中断考试退出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自动输入常见作弊警告文字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单独放大某一路考生图像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每路考生图像上迭加考生照片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支持正面和顶视的图像迭加、切换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自动或手工切换图像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事件触发录像 当系统检测到有作弊嫌疑事件发生时，系统自动启动录像功能，支持最短录像时长设置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全程记录 支持对参考人员的参考过程进行全程图片和报警录像等记录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定时抓取屏幕 定时对屏幕操作进行抓取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全程录像 支持根据配置启动全程录像功能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现场监管仪</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2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支持人脸签入签出、每日一题、实时监控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顶视监管摄像机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08</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镜头：高清广角光学镜头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分辨率：500万像素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图像格式：支持MJPEG/JPG/YUY/YUY2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拍摄范围：在桌面高度拍摄≥1.5*1.1米,视场范围不超过底座左侧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线材： ≥200cm长度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接口： USB接口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音频：支持数字Mic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金属立杆高度（含底座）≥75cm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立杆倾倒后头部能够接触到桌面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横杆内置摄像头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立杆与横杆除了折叠或伸缩之外，不可以任意移动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支持LED灯照明及软件控制开关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支持底座外接螺丝固定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底座宽度≤9cm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底座支持从两侧引出USB线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其它功能：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支持软件调节亮度、对比度等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支持对查看手机、纸条、书籍等物品的行为进行检测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支持对跨越边界进行检测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支持对摄像头移动进行检测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支持对语音与噪音进行检测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兼容国内主流云桌面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支持国产操作系统（银河麒麟、统信、麒麟信安）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正面监管摄像头</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08</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1、像素与帧速：200万像素  1920*1080  30fps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2、对焦方式：固定焦距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3、图像传感器为1/3" CMOS Sensor。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4、DSP图像处理芯片支持YUV/MJPG数据格式。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5、支持USB Video Class (UVC)免驱协议。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6、支持MIC音视频同步采集。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7、全高清1920*1080 30 fps，视频流畅不卡顿。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8、配置广角无变镜头，对角90度。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9、默认1080P视频出图，整机能耗小于1W。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8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监考服务器</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1、高度1U短款型设备</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2、CPU：主频不低于3.4GHz,物理核心数不少于4 核心，缓存不低于8MB</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3、内存：32G DDR4内存或以上配置</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4、系统硬盘：≥960GB SSD固态硬盘</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5、数据硬盘：配置不少于3块8T SATA 3.0 7200RPM 256M缓存企业级机械硬盘，配置独立SAS-HBA卡</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6、PCIE扩展：支持不少于1个全高PCIE X16 扩展槽</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7、支持IPMI 远程管理，配置独立的IPMI RJ45 管理网口</w:t>
            </w:r>
          </w:p>
          <w:p>
            <w:pPr>
              <w:pStyle w:val="2"/>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8、网口：配置不少于4个千兆RJ45 以太网口</w:t>
            </w:r>
          </w:p>
          <w:p>
            <w:pPr>
              <w:pStyle w:val="2"/>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9.其他要求：须满足附件：《通用服务器政府采购需求标准（2023年版）》中必须纳入采购需求（加“*”）的指标。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400万广角网络摄像机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最高分辨率不低于2688 × 1520 @25 fps，在该分辨率下可输出实时图像;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Smart侦测：区域入侵侦测，越界侦测，进入区域侦测，离开区域侦测，物品遗留侦测，物品拿取侦测，徘徊侦测，停车侦测，人员聚集侦测，快速移动侦测;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支持背光补偿，强光抑制，3D数字降噪，120 dB宽动态;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支持180°水平视场角;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采用高效阵列红外灯，使用寿命长，红外照射距离不低于10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1个内置麦克风，高清拾音;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传感器类型：1/3"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最低照度：0.005 Lux @（F1.2，AGC ON），0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宽动态：120 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调节角度：水平：0°~360°，垂直：0°~75°，旋转：0°~360°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焦距&amp;视场角：1.68 mm，水平视场角：180°，垂直视场角：98°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补光灯类型：红外灯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补光距离：不低于10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防补光过曝：支持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最大图像尺寸：不低于2688 × 1520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视频压缩标准：主码流：H.265/H.264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子码流：H.265/H.264/MJPEG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第三码流：H.265/H.264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网络：1个RJ45 10 M/100 M自适应以太网口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音频：1个内置麦克风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启动和工作温湿度：-10 ℃~40 ℃，湿度小于95%（无凝结）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电流及功耗：DC：12 V，0.46 A，最大功耗：5.5 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PoE：802.3af，36 V~57 V，0.18 A~0.11 A，最大功耗：6.5 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供电方式：DC：12 V ± 25%，支持防反接保护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PoE：802.3af，Class 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电源接口类型：Ø5.5 mm圆口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硬盘录像机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支持不少于16路同步回放及多路同步倒放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支持视频摘要回放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支持标签定义、查询、回放录像文件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支持重要录像文件加锁保护功能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支持硬盘配额和硬盘盘组两种存储模式，可对不同通道分配不同的录像保存容量或周期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支持不少于8个SATA接口，1个eSATA盘库，可用于录像和备份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双千兆网卡，支持网络容错以及多址设定等应用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支持网络检测（网络流量监控、网络抓包、网络通畅）功能。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8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4TB监控硬盘</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运行环境：0°C至65°C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工作负载：180 TB/年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容量： 4TB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高速缓存：256 MB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接口：SATA 6 Gb/s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存储环境：-40°C至70°C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M T B F：100 万小时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电脑桌</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08</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32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不小于85*50cm，两侧带45cm不透明隔断，前面的挡板宜用透明材料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电脑椅</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08</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1.架子采用≥18×32mm异型扁管喷涂，烤漆后厚度≥1.5mm，实际铁管厚度≥1.3mm。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2.背板采用尼龙塑料加网布特网靠背，靠背连接件为工程塑料ABS坐板采用定型海绵加耐污弹力布饰面。坐板可翻起来。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教师椅</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人体工学靠背办公椅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面料材质：网布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类别：转椅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升降方式：气压升降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扶手类型：固定扶手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附加组件：带滚轮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靠背最大角度：不可调节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五星脚材质：锦纶/尼龙(聚酰胺纤维)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交换机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1、交换容量≥336G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2、包转发率≥126Mpps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3、固化10/100/1000M以太网端口≥24，固化1G SFP光接口≥4个；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4、设备自带云管理功能，即插即用，可随时查看网络健康度，告警及时推送，有日记事件供回溯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5、支持生成树协议STP(IEEE 802.1d)，RSTP(IEEE 802.1w)和MSTP(IEEE 802.1s)，完全保证快速收敛，提高容错能力，保证网络的稳定运行和链路的负载均衡，合理使用网络通道，提供冗余链路利用率。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6、支持IPV4/IPV6静态路由，RIP、RIPng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7、支持特有的CPU保护策略，对发往CPU的数据流，进行流区分和优先级队列分级处理，并根据需要实施带宽限速，充分保护CPU不被非法流量占用、恶意攻击和资源消耗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8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高密吸顶AP</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802.11ax四路双频通用级高密放装型AR系列无线接入点，搭载AI Radio，支持极简以太全光方案；整机最大支持8条空间流，整机最高无线协商速率不低于4.134Gbps，可支持802.11a/b/g/n/ac和802.11ax工作，胖/瘦模式切换、802.3at供电和本地供电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信息点建设</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140</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点位</w:t>
            </w:r>
          </w:p>
        </w:tc>
        <w:tc>
          <w:tcPr>
            <w:tcW w:w="32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包含信息点接口面板，调试服务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超六类网线</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箱</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线规：23AWG纯铜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线径：7.6±0.35mm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接法：TIA568A/568B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传输速录：不低于10 Gbps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lang w:eastAsia="zh-CN"/>
              </w:rPr>
              <w:t>通风设备</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kinsoku/>
              <w:wordWrap/>
              <w:overflowPunct/>
              <w:topLinePunct w:val="0"/>
              <w:autoSpaceDE/>
              <w:autoSpaceDN/>
              <w:bidi w:val="0"/>
              <w:adjustRightInd/>
              <w:snapToGrid/>
              <w:ind w:firstLine="0" w:firstLineChars="0"/>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风管式</w:t>
            </w:r>
            <w:r>
              <w:rPr>
                <w:rFonts w:hint="eastAsia" w:ascii="宋体" w:hAnsi="宋体" w:eastAsia="宋体" w:cs="宋体"/>
                <w:color w:val="auto"/>
                <w:sz w:val="24"/>
                <w:szCs w:val="24"/>
                <w:highlight w:val="none"/>
                <w:lang w:eastAsia="zh-CN"/>
              </w:rPr>
              <w:t>通风设备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制冷量：不小于14 KW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制热量：不小于15.8 KW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能效等级：二级及以上</w:t>
            </w:r>
          </w:p>
          <w:p>
            <w:pPr>
              <w:pStyle w:val="6"/>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带电辅热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电源：380V 3N- 50Hz</w:t>
            </w:r>
          </w:p>
          <w:p>
            <w:pPr>
              <w:pStyle w:val="6"/>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注：</w:t>
            </w:r>
            <w:r>
              <w:rPr>
                <w:rFonts w:hint="eastAsia" w:ascii="宋体" w:hAnsi="宋体" w:eastAsia="宋体" w:cs="宋体"/>
                <w:b/>
                <w:bCs/>
                <w:i w:val="0"/>
                <w:iCs w:val="0"/>
                <w:color w:val="auto"/>
                <w:kern w:val="0"/>
                <w:sz w:val="24"/>
                <w:szCs w:val="24"/>
                <w:highlight w:val="none"/>
                <w:u w:val="none"/>
                <w:lang w:val="en-US" w:eastAsia="zh-CN" w:bidi="ar"/>
              </w:rPr>
              <w:t>针对该产品，响应文件中须提供国家确定的认证机构出具的处于有效期之内的节能产品认证证书扫描件，不满足的视为无效响应。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一体式终端</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lang w:val="en-US" w:eastAsia="zh-CN"/>
              </w:rPr>
              <w:t>1.整机输入接口具备不少于以下接口数量：3路HDMI IN，5路USB口（至少包含2路USB3.0），1路TYPE-C接口，1路RJ45 IN，1路RS232；</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2.整机输出接口具备1路AUDIO OUT，1路J45 OUT</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3.整机屏幕采用110英寸IPS液晶屏</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4.显示比例16:9，屏幕分辨率≥3840*2160，色彩度≥10bit ,可视角度≥178°</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5.屏亮度≥350cd/㎡，对比度≥1200:1，色域达到95%NTSC，</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6.超薄窄边框，整机屏占比≥92%以上，整机最薄处≤25mm</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7.整机采用Android 9.0系统，内置CPU性能≥四核A73，内置GPU性能≥双核Mali G52，RAM≥6G，ROM≥64G</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8.采用2.2声道，顶部发声设计，内置2×7W+2×18W扬声器</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9.无线模块支持802.11 a/b/g/n/ac，工作频率2.4GHz/5GHz；可支持插拔</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10.支持手机投屏软件操控大屏，小屏控大屏满足近端操控需求</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11.手机和电脑支持混合投屏展示，可支持4个画面同屏展示</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12.无线传屏软硬件均支持win10系统/MAC系统扩展屏显示</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13.在同一个局域网下，电脑或手机使用可通过连接码进行投屏</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14.电脑投屏，最大支持4k@30的分辨率投屏</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15.可以仅对一个窗口进行无线投屏，其他窗口内容不做展示，保证数据的隐私</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16.可通过传屏工具栏暂停投屏功能进行画面冻结暂停，投屏电脑可自主进行其他操作，不影响整机的冻结画面内容显示</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17.可通过传屏工具栏传屏模式，快速切换传屏方式</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18.手机扫描整机传屏二维码即可完成连接整机热点，无需单独在手机上输入WIFI账号密码</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19.采用更加符合遥控操作的主页面，在主页面的底部显示≥4个图标</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20.整机无需外接任何视频会议终端，仅用整机即可召开视频会议，实现远端互联</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21.内置欢迎界面，内置多种模板，并支持手机编辑欢迎界面</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22.内置应用商城，提供多种应用软件供客户选择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防病毒软件</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14</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不良信息过滤系统软件：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产品过滤技术：产品具备网址过滤、图像过滤、网址库升级、网页内容信息过滤、网页内容信息过滤扩展、预定义网址库自动添加、传输文件过滤、邮件编码过滤、邮件内容信息过滤、服务命令过滤、在线游戏过滤、定时抓屏等功能；</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（2）设备使用管理：产品具备对设备使用时间进行管理的功能，管理员可以根据需要设定使用设备的时间表，在设定的允许使用设备的时间区间使用设备；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（3）日志全程记录：产品提供日志管理功能，详细记录操作者每次浏览的网上内容和上网时间，以及拦截黄色图像的次数和时间，可随时记录用户上网浏览内容和时间；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（4）实时屏幕监控：实时屏幕拍照，详细上网记录一览无遗，便于事后监督；安全密钥掌控完全隐形过滤，方便热键激活，有效防止非授权卸载；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（5）产品资源：产品自身包含黑、白名单及关键字资源，不低于10万条策略，并支持自定义过滤策略；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（6）自定义资源：产品支持用户手动设置黑白名单及关键字，用户自定义的资源过滤时优先级最高；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（7）资源/软件自动升级：软件自身模块及识别模块、黑/白名单IP地址库、关键字库、图像检测算法库能够在线自动/手动升级。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（8）不良信息过滤系统系统的技术完全符合国家工业和信息化部制定的基于PC终端的互联网内容过滤软件技术要求YDN138-2006。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辅材</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32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超六类水晶头，HDMI高清连接线，PE电源线，空调管路，出风口等</w:t>
            </w:r>
          </w:p>
        </w:tc>
      </w:tr>
    </w:tbl>
    <w:p>
      <w:pPr>
        <w:adjustRightInd w:val="0"/>
        <w:spacing w:line="460" w:lineRule="exact"/>
        <w:rPr>
          <w:rFonts w:hint="eastAsia" w:ascii="宋体" w:hAnsi="宋体" w:cs="宋体"/>
          <w:b/>
          <w:bCs/>
          <w:sz w:val="24"/>
          <w:szCs w:val="24"/>
        </w:rPr>
      </w:pPr>
      <w:r>
        <w:rPr>
          <w:rFonts w:hint="eastAsia" w:ascii="宋体" w:hAnsi="宋体" w:cs="宋体"/>
          <w:b/>
          <w:bCs/>
          <w:sz w:val="24"/>
          <w:szCs w:val="24"/>
        </w:rPr>
        <w:t>注：</w:t>
      </w:r>
    </w:p>
    <w:p>
      <w:pPr>
        <w:adjustRightInd w:val="0"/>
        <w:spacing w:line="460" w:lineRule="exact"/>
        <w:rPr>
          <w:rFonts w:hint="eastAsia" w:ascii="宋体" w:hAnsi="宋体" w:cs="宋体"/>
          <w:b/>
          <w:bCs/>
          <w:sz w:val="24"/>
          <w:szCs w:val="24"/>
        </w:rPr>
      </w:pPr>
      <w:r>
        <w:rPr>
          <w:rFonts w:hint="eastAsia" w:ascii="宋体" w:hAnsi="宋体" w:cs="宋体"/>
          <w:b/>
          <w:bCs/>
          <w:sz w:val="24"/>
          <w:szCs w:val="24"/>
        </w:rPr>
        <w:t>1.本项目采购的产品属于政府强制采购节能产品的，响应文件中须提供所投产品由国家确定的认证机构出具的、处于有效期之内的节能产品认证证书复印件，否则视为无效响应。（说明：国家确定的认证机构名单见《市场监管总局关于发布参与实施政府采购节能产品、环境标志产品认证机构名录的公告》2019年第16号）</w:t>
      </w:r>
    </w:p>
    <w:p>
      <w:pPr>
        <w:adjustRightInd w:val="0"/>
        <w:spacing w:line="460" w:lineRule="exact"/>
        <w:rPr>
          <w:rFonts w:hint="eastAsia" w:ascii="宋体" w:hAnsi="宋体" w:cs="宋体"/>
          <w:b/>
          <w:bCs/>
          <w:sz w:val="24"/>
          <w:szCs w:val="24"/>
        </w:rPr>
      </w:pPr>
      <w:r>
        <w:rPr>
          <w:rFonts w:hint="eastAsia" w:ascii="宋体" w:hAnsi="宋体" w:cs="宋体"/>
          <w:b/>
          <w:bCs/>
          <w:sz w:val="24"/>
          <w:szCs w:val="24"/>
        </w:rPr>
        <w:t>2.供应商完成本项目所需的一切费用均须包含在报价中，采购人不再另行支付。</w:t>
      </w:r>
    </w:p>
    <w:p>
      <w:pPr>
        <w:adjustRightInd w:val="0"/>
        <w:spacing w:line="460" w:lineRule="exact"/>
        <w:rPr>
          <w:rFonts w:ascii="宋体" w:hAnsi="宋体" w:cs="宋体"/>
          <w:b/>
          <w:bCs/>
          <w:sz w:val="24"/>
          <w:szCs w:val="24"/>
        </w:rPr>
      </w:pPr>
      <w:r>
        <w:rPr>
          <w:rFonts w:hint="eastAsia" w:ascii="宋体" w:hAnsi="宋体" w:cs="宋体"/>
          <w:b/>
          <w:bCs/>
          <w:sz w:val="24"/>
          <w:szCs w:val="24"/>
        </w:rPr>
        <w:t>3.以上所有技术要求，供应商必须完全满足或优于，否则视为无效响应。</w:t>
      </w:r>
    </w:p>
    <w:p>
      <w:pP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br w:type="page"/>
      </w:r>
    </w:p>
    <w:p>
      <w:pPr>
        <w:pStyle w:val="3"/>
        <w:rPr>
          <w:rFonts w:hint="eastAsia"/>
          <w:lang w:eastAsia="zh-CN"/>
        </w:rPr>
        <w:sectPr>
          <w:headerReference r:id="rId13" w:type="default"/>
          <w:footerReference r:id="rId14" w:type="default"/>
          <w:pgSz w:w="11906" w:h="16838"/>
          <w:pgMar w:top="1440" w:right="1797" w:bottom="1440" w:left="1797" w:header="851" w:footer="992" w:gutter="0"/>
          <w:cols w:space="425" w:num="1"/>
          <w:docGrid w:type="linesAndChars" w:linePitch="312" w:charSpace="0"/>
        </w:sectPr>
      </w:pPr>
    </w:p>
    <w:p>
      <w:pPr>
        <w:rPr>
          <w:rFonts w:hint="eastAsia"/>
          <w:lang w:val="en-US" w:eastAsia="zh-CN"/>
        </w:rPr>
      </w:pPr>
      <w:r>
        <w:rPr>
          <w:rFonts w:hint="eastAsia"/>
          <w:lang w:val="en-US" w:eastAsia="zh-CN"/>
        </w:rPr>
        <w:t>参数附件一</w:t>
      </w:r>
    </w:p>
    <w:p>
      <w:pPr>
        <w:pStyle w:val="3"/>
        <w:rPr>
          <w:rFonts w:hint="eastAsia"/>
          <w:lang w:val="en-US"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733"/>
        <w:gridCol w:w="931"/>
        <w:gridCol w:w="1073"/>
        <w:gridCol w:w="932"/>
        <w:gridCol w:w="4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67"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jc w:val="center"/>
              <w:textAlignment w:val="center"/>
              <w:rPr>
                <w:rFonts w:hint="eastAsia" w:cs="黑体"/>
                <w:b/>
                <w:bCs/>
                <w:snapToGrid w:val="0"/>
                <w:color w:val="000000"/>
                <w:kern w:val="0"/>
                <w:sz w:val="18"/>
                <w:szCs w:val="18"/>
                <w:lang w:val="en-US" w:eastAsia="zh-CN" w:bidi="ar-SA"/>
              </w:rPr>
            </w:pPr>
            <w:r>
              <w:rPr>
                <w:rFonts w:hint="eastAsia" w:cs="黑体"/>
                <w:b/>
                <w:bCs/>
                <w:snapToGrid w:val="0"/>
                <w:color w:val="000000"/>
                <w:kern w:val="0"/>
                <w:sz w:val="18"/>
                <w:szCs w:val="18"/>
                <w:lang w:val="en-US" w:eastAsia="zh-CN" w:bidi="ar-SA"/>
              </w:rPr>
              <w:t>序</w:t>
            </w:r>
          </w:p>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jc w:val="center"/>
              <w:textAlignment w:val="center"/>
              <w:rPr>
                <w:rFonts w:hint="default" w:ascii="黑体" w:hAnsi="黑体" w:eastAsia="黑体" w:cs="黑体"/>
                <w:snapToGrid w:val="0"/>
                <w:color w:val="000000"/>
                <w:kern w:val="0"/>
                <w:sz w:val="18"/>
                <w:szCs w:val="18"/>
                <w:lang w:val="en-US" w:eastAsia="zh-CN" w:bidi="ar-SA"/>
              </w:rPr>
            </w:pPr>
            <w:r>
              <w:rPr>
                <w:rFonts w:hint="eastAsia" w:cs="黑体"/>
                <w:b/>
                <w:bCs/>
                <w:snapToGrid w:val="0"/>
                <w:color w:val="000000"/>
                <w:kern w:val="0"/>
                <w:sz w:val="18"/>
                <w:szCs w:val="18"/>
                <w:lang w:val="en-US" w:eastAsia="zh-CN" w:bidi="ar-SA"/>
              </w:rPr>
              <w:t>号</w:t>
            </w:r>
          </w:p>
        </w:tc>
        <w:tc>
          <w:tcPr>
            <w:tcW w:w="733"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jc w:val="center"/>
              <w:textAlignment w:val="center"/>
              <w:rPr>
                <w:rFonts w:hint="eastAsia" w:ascii="黑体" w:hAnsi="黑体" w:eastAsia="黑体" w:cs="黑体"/>
                <w:snapToGrid w:val="0"/>
                <w:color w:val="000000"/>
                <w:kern w:val="0"/>
                <w:sz w:val="18"/>
                <w:szCs w:val="18"/>
                <w:lang w:val="en-US" w:eastAsia="zh-CN" w:bidi="ar-SA"/>
              </w:rPr>
            </w:pPr>
            <w:r>
              <w:rPr>
                <w:rFonts w:hint="eastAsia"/>
                <w:b/>
                <w:bCs/>
                <w:spacing w:val="-6"/>
                <w:position w:val="4"/>
                <w:sz w:val="18"/>
                <w:szCs w:val="18"/>
                <w:lang w:val="en-US" w:eastAsia="zh-CN"/>
              </w:rPr>
              <w:t>指标分类</w:t>
            </w:r>
          </w:p>
        </w:tc>
        <w:tc>
          <w:tcPr>
            <w:tcW w:w="931"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default" w:ascii="黑体" w:hAnsi="黑体" w:eastAsia="黑体" w:cs="黑体"/>
                <w:b/>
                <w:bCs/>
                <w:snapToGrid w:val="0"/>
                <w:color w:val="000000"/>
                <w:kern w:val="0"/>
                <w:sz w:val="18"/>
                <w:szCs w:val="18"/>
                <w:lang w:val="en-US" w:eastAsia="en-US" w:bidi="ar-SA"/>
              </w:rPr>
            </w:pPr>
            <w:r>
              <w:rPr>
                <w:rFonts w:hint="eastAsia" w:cs="黑体"/>
                <w:b/>
                <w:bCs/>
                <w:snapToGrid w:val="0"/>
                <w:color w:val="000000"/>
                <w:kern w:val="0"/>
                <w:sz w:val="18"/>
                <w:szCs w:val="18"/>
                <w:lang w:val="en-US" w:eastAsia="zh-CN" w:bidi="ar-SA"/>
              </w:rPr>
              <w:t>一级指标</w:t>
            </w:r>
            <w:r>
              <w:rPr>
                <w:rFonts w:hint="eastAsia" w:cs="黑体"/>
                <w:b/>
                <w:bCs/>
                <w:snapToGrid w:val="0"/>
                <w:color w:val="000000"/>
                <w:kern w:val="0"/>
                <w:sz w:val="18"/>
                <w:szCs w:val="18"/>
                <w:lang w:val="en-US" w:eastAsia="zh-CN" w:bidi="ar-SA"/>
              </w:rPr>
              <w:fldChar w:fldCharType="begin"/>
            </w:r>
            <w:r>
              <w:rPr>
                <w:rFonts w:hint="eastAsia" w:cs="黑体"/>
                <w:b/>
                <w:bCs/>
                <w:snapToGrid w:val="0"/>
                <w:color w:val="000000"/>
                <w:kern w:val="0"/>
                <w:sz w:val="18"/>
                <w:szCs w:val="18"/>
                <w:lang w:val="en-US" w:eastAsia="zh-CN" w:bidi="ar-SA"/>
              </w:rPr>
              <w:instrText xml:space="preserve"> HYPERLINK \l "bookmark1" </w:instrText>
            </w:r>
            <w:r>
              <w:rPr>
                <w:rFonts w:hint="eastAsia" w:cs="黑体"/>
                <w:b/>
                <w:bCs/>
                <w:snapToGrid w:val="0"/>
                <w:color w:val="000000"/>
                <w:kern w:val="0"/>
                <w:sz w:val="18"/>
                <w:szCs w:val="18"/>
                <w:lang w:val="en-US" w:eastAsia="zh-CN" w:bidi="ar-SA"/>
              </w:rPr>
              <w:fldChar w:fldCharType="separate"/>
            </w:r>
            <w:r>
              <w:rPr>
                <w:rFonts w:hint="eastAsia" w:cs="黑体"/>
                <w:b/>
                <w:bCs/>
                <w:snapToGrid w:val="0"/>
                <w:color w:val="000000"/>
                <w:kern w:val="0"/>
                <w:sz w:val="18"/>
                <w:szCs w:val="18"/>
                <w:lang w:val="en-US" w:eastAsia="zh-CN" w:bidi="ar-SA"/>
              </w:rPr>
              <w:t>1</w:t>
            </w:r>
            <w:r>
              <w:rPr>
                <w:rFonts w:hint="eastAsia" w:cs="黑体"/>
                <w:b/>
                <w:bCs/>
                <w:snapToGrid w:val="0"/>
                <w:color w:val="000000"/>
                <w:kern w:val="0"/>
                <w:sz w:val="18"/>
                <w:szCs w:val="18"/>
                <w:lang w:val="en-US" w:eastAsia="zh-CN" w:bidi="ar-SA"/>
              </w:rPr>
              <w:fldChar w:fldCharType="end"/>
            </w:r>
          </w:p>
        </w:tc>
        <w:tc>
          <w:tcPr>
            <w:tcW w:w="1073"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黑体" w:hAnsi="黑体" w:eastAsia="黑体" w:cs="黑体"/>
                <w:b/>
                <w:bCs/>
                <w:snapToGrid w:val="0"/>
                <w:color w:val="000000"/>
                <w:kern w:val="0"/>
                <w:sz w:val="18"/>
                <w:szCs w:val="18"/>
                <w:lang w:val="en-US" w:eastAsia="en-US" w:bidi="ar-SA"/>
              </w:rPr>
            </w:pPr>
            <w:r>
              <w:rPr>
                <w:rFonts w:hint="eastAsia" w:cs="黑体"/>
                <w:b/>
                <w:bCs/>
                <w:snapToGrid w:val="0"/>
                <w:color w:val="000000"/>
                <w:kern w:val="0"/>
                <w:sz w:val="18"/>
                <w:szCs w:val="18"/>
                <w:lang w:val="en-US" w:eastAsia="zh-CN" w:bidi="ar-SA"/>
              </w:rPr>
              <w:t>二</w:t>
            </w:r>
            <w:r>
              <w:rPr>
                <w:rFonts w:hint="eastAsia" w:cs="黑体"/>
                <w:b/>
                <w:bCs/>
                <w:snapToGrid w:val="0"/>
                <w:color w:val="000000"/>
                <w:kern w:val="0"/>
                <w:sz w:val="18"/>
                <w:szCs w:val="18"/>
                <w:lang w:val="en-US" w:eastAsia="en-US" w:bidi="ar-SA"/>
              </w:rPr>
              <w:t>级指标</w:t>
            </w:r>
            <w:r>
              <w:rPr>
                <w:rFonts w:hint="eastAsia" w:cs="黑体"/>
                <w:b/>
                <w:bCs/>
                <w:snapToGrid w:val="0"/>
                <w:color w:val="000000"/>
                <w:kern w:val="0"/>
                <w:sz w:val="18"/>
                <w:szCs w:val="18"/>
                <w:lang w:val="en-US" w:eastAsia="zh-CN" w:bidi="ar-SA"/>
              </w:rPr>
              <w:fldChar w:fldCharType="begin"/>
            </w:r>
            <w:r>
              <w:rPr>
                <w:rFonts w:hint="eastAsia" w:cs="黑体"/>
                <w:b/>
                <w:bCs/>
                <w:snapToGrid w:val="0"/>
                <w:color w:val="000000"/>
                <w:kern w:val="0"/>
                <w:sz w:val="18"/>
                <w:szCs w:val="18"/>
                <w:lang w:val="en-US" w:eastAsia="zh-CN" w:bidi="ar-SA"/>
              </w:rPr>
              <w:instrText xml:space="preserve"> HYPERLINK \l "bookmark1" </w:instrText>
            </w:r>
            <w:r>
              <w:rPr>
                <w:rFonts w:hint="eastAsia" w:cs="黑体"/>
                <w:b/>
                <w:bCs/>
                <w:snapToGrid w:val="0"/>
                <w:color w:val="000000"/>
                <w:kern w:val="0"/>
                <w:sz w:val="18"/>
                <w:szCs w:val="18"/>
                <w:lang w:val="en-US" w:eastAsia="zh-CN" w:bidi="ar-SA"/>
              </w:rPr>
              <w:fldChar w:fldCharType="separate"/>
            </w:r>
            <w:r>
              <w:rPr>
                <w:rFonts w:hint="eastAsia" w:cs="黑体"/>
                <w:b/>
                <w:bCs/>
                <w:snapToGrid w:val="0"/>
                <w:color w:val="000000"/>
                <w:kern w:val="0"/>
                <w:sz w:val="18"/>
                <w:szCs w:val="18"/>
                <w:lang w:val="en-US" w:eastAsia="zh-CN" w:bidi="ar-SA"/>
              </w:rPr>
              <w:t>1</w:t>
            </w:r>
            <w:r>
              <w:rPr>
                <w:rFonts w:hint="eastAsia" w:cs="黑体"/>
                <w:b/>
                <w:bCs/>
                <w:snapToGrid w:val="0"/>
                <w:color w:val="000000"/>
                <w:kern w:val="0"/>
                <w:sz w:val="18"/>
                <w:szCs w:val="18"/>
                <w:lang w:val="en-US" w:eastAsia="zh-CN" w:bidi="ar-SA"/>
              </w:rPr>
              <w:fldChar w:fldCharType="end"/>
            </w:r>
          </w:p>
        </w:tc>
        <w:tc>
          <w:tcPr>
            <w:tcW w:w="932" w:type="dxa"/>
            <w:vAlign w:val="center"/>
          </w:tcPr>
          <w:p>
            <w:pPr>
              <w:pStyle w:val="69"/>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ascii="黑体" w:hAnsi="黑体" w:eastAsia="黑体" w:cs="黑体"/>
                <w:snapToGrid w:val="0"/>
                <w:color w:val="000000"/>
                <w:kern w:val="0"/>
                <w:sz w:val="18"/>
                <w:szCs w:val="18"/>
                <w:lang w:val="en-US" w:eastAsia="en-US" w:bidi="ar-SA"/>
              </w:rPr>
            </w:pPr>
            <w:r>
              <w:rPr>
                <w:b/>
                <w:bCs/>
                <w:spacing w:val="-4"/>
                <w:sz w:val="18"/>
                <w:szCs w:val="18"/>
              </w:rPr>
              <w:t>是否可以</w:t>
            </w:r>
            <w:r>
              <w:rPr>
                <w:b/>
                <w:bCs/>
                <w:spacing w:val="-3"/>
                <w:sz w:val="18"/>
                <w:szCs w:val="18"/>
              </w:rPr>
              <w:t>作为评分</w:t>
            </w:r>
            <w:r>
              <w:rPr>
                <w:b/>
                <w:bCs/>
                <w:spacing w:val="-6"/>
                <w:sz w:val="18"/>
                <w:szCs w:val="18"/>
              </w:rPr>
              <w:t>因素</w:t>
            </w:r>
            <w:r>
              <w:rPr>
                <w:sz w:val="18"/>
                <w:szCs w:val="18"/>
              </w:rPr>
              <w:fldChar w:fldCharType="begin"/>
            </w:r>
            <w:r>
              <w:rPr>
                <w:sz w:val="18"/>
                <w:szCs w:val="18"/>
              </w:rPr>
              <w:instrText xml:space="preserve"> HYPERLINK \l "bookmark2" </w:instrText>
            </w:r>
            <w:r>
              <w:rPr>
                <w:sz w:val="18"/>
                <w:szCs w:val="18"/>
              </w:rPr>
              <w:fldChar w:fldCharType="separate"/>
            </w:r>
            <w:r>
              <w:rPr>
                <w:b/>
                <w:bCs/>
                <w:spacing w:val="-6"/>
                <w:position w:val="8"/>
                <w:sz w:val="18"/>
                <w:szCs w:val="18"/>
              </w:rPr>
              <w:t>2</w:t>
            </w:r>
            <w:r>
              <w:rPr>
                <w:b/>
                <w:bCs/>
                <w:spacing w:val="-6"/>
                <w:position w:val="8"/>
                <w:sz w:val="18"/>
                <w:szCs w:val="18"/>
              </w:rPr>
              <w:fldChar w:fldCharType="end"/>
            </w:r>
          </w:p>
        </w:tc>
        <w:tc>
          <w:tcPr>
            <w:tcW w:w="4186" w:type="dxa"/>
            <w:vAlign w:val="center"/>
          </w:tcPr>
          <w:p>
            <w:pPr>
              <w:pStyle w:val="69"/>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ascii="黑体" w:hAnsi="黑体" w:eastAsia="黑体" w:cs="黑体"/>
                <w:snapToGrid w:val="0"/>
                <w:color w:val="000000"/>
                <w:kern w:val="0"/>
                <w:sz w:val="18"/>
                <w:szCs w:val="18"/>
                <w:lang w:val="en-US" w:eastAsia="en-US" w:bidi="ar-SA"/>
              </w:rPr>
            </w:pPr>
            <w:r>
              <w:rPr>
                <w:b/>
                <w:bCs/>
                <w:spacing w:val="-3"/>
                <w:sz w:val="18"/>
                <w:szCs w:val="18"/>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w:t>
            </w:r>
          </w:p>
        </w:tc>
        <w:tc>
          <w:tcPr>
            <w:tcW w:w="733" w:type="dxa"/>
            <w:vAlign w:val="center"/>
          </w:tcPr>
          <w:p>
            <w:pPr>
              <w:pStyle w:val="69"/>
              <w:widowControl w:val="0"/>
              <w:spacing w:line="240" w:lineRule="auto"/>
              <w:ind w:left="0" w:right="0" w:firstLine="0"/>
              <w:jc w:val="center"/>
            </w:pPr>
            <w:r>
              <w:rPr>
                <w:spacing w:val="-3"/>
                <w:position w:val="4"/>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3"/>
              </w:rPr>
              <w:t>规格</w:t>
            </w:r>
          </w:p>
        </w:tc>
        <w:tc>
          <w:tcPr>
            <w:tcW w:w="931" w:type="dxa"/>
            <w:vAlign w:val="center"/>
          </w:tcPr>
          <w:p>
            <w:pPr>
              <w:widowControl w:val="0"/>
              <w:spacing w:line="240" w:lineRule="auto"/>
              <w:ind w:left="0" w:right="0" w:firstLine="0"/>
              <w:jc w:val="center"/>
              <w:rPr>
                <w:rFonts w:ascii="Arial"/>
                <w:sz w:val="21"/>
              </w:rPr>
            </w:pPr>
          </w:p>
          <w:p>
            <w:pPr>
              <w:pStyle w:val="69"/>
              <w:widowControl w:val="0"/>
              <w:spacing w:line="240" w:lineRule="auto"/>
              <w:ind w:left="0" w:right="0" w:firstLine="0"/>
              <w:jc w:val="center"/>
            </w:pPr>
            <w:r>
              <w:rPr>
                <w:spacing w:val="-2"/>
              </w:rPr>
              <w:t>*CPU</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3"/>
              </w:rPr>
              <w:t>规格</w:t>
            </w:r>
          </w:p>
        </w:tc>
        <w:tc>
          <w:tcPr>
            <w:tcW w:w="1073" w:type="dxa"/>
            <w:vAlign w:val="center"/>
          </w:tcPr>
          <w:p>
            <w:pPr>
              <w:pStyle w:val="69"/>
              <w:widowControl w:val="0"/>
              <w:spacing w:line="240" w:lineRule="auto"/>
              <w:ind w:left="0" w:leftChars="0" w:right="0" w:firstLine="0"/>
              <w:jc w:val="both"/>
              <w:rPr>
                <w:rFonts w:ascii="黑体" w:hAnsi="黑体" w:eastAsia="黑体" w:cs="黑体"/>
                <w:snapToGrid w:val="0"/>
                <w:color w:val="000000"/>
                <w:kern w:val="0"/>
                <w:sz w:val="18"/>
                <w:szCs w:val="18"/>
                <w:lang w:val="en-US" w:eastAsia="en-US" w:bidi="ar-SA"/>
              </w:rPr>
            </w:pPr>
            <w:r>
              <w:rPr>
                <w:spacing w:val="-2"/>
              </w:rPr>
              <w:t>*CPU</w:t>
            </w:r>
            <w:r>
              <w:rPr>
                <w:spacing w:val="-37"/>
              </w:rPr>
              <w:t xml:space="preserve"> </w:t>
            </w:r>
            <w:r>
              <w:rPr>
                <w:spacing w:val="-2"/>
              </w:rPr>
              <w:t>信息</w:t>
            </w:r>
          </w:p>
        </w:tc>
        <w:tc>
          <w:tcPr>
            <w:tcW w:w="932" w:type="dxa"/>
            <w:vAlign w:val="center"/>
          </w:tcPr>
          <w:p>
            <w:pPr>
              <w:pStyle w:val="69"/>
              <w:widowControl w:val="0"/>
              <w:spacing w:line="240" w:lineRule="auto"/>
              <w:ind w:left="0" w:right="0" w:firstLine="0"/>
              <w:jc w:val="center"/>
              <w:rPr>
                <w:rFonts w:ascii="黑体" w:hAnsi="黑体" w:eastAsia="黑体" w:cs="黑体"/>
                <w:snapToGrid w:val="0"/>
                <w:color w:val="000000"/>
                <w:kern w:val="0"/>
                <w:sz w:val="18"/>
                <w:szCs w:val="18"/>
                <w:lang w:val="en-US" w:eastAsia="en-US" w:bidi="ar-SA"/>
              </w:rPr>
            </w:pPr>
            <w:r>
              <w:t>否</w:t>
            </w:r>
          </w:p>
        </w:tc>
        <w:tc>
          <w:tcPr>
            <w:tcW w:w="4186" w:type="dxa"/>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lang w:val="en-US" w:eastAsia="en-US" w:bidi="ar-SA"/>
              </w:rPr>
            </w:pPr>
            <w:r>
              <w:rPr>
                <w:rFonts w:hint="eastAsia" w:cs="黑体"/>
                <w:snapToGrid w:val="0"/>
                <w:color w:val="000000"/>
                <w:kern w:val="0"/>
                <w:sz w:val="18"/>
                <w:szCs w:val="18"/>
                <w:lang w:val="en-US" w:eastAsia="zh-CN" w:bidi="ar-SA"/>
              </w:rPr>
              <w:t>12700处理器</w:t>
            </w:r>
            <w:r>
              <w:rPr>
                <w:rFonts w:hint="eastAsia" w:ascii="黑体" w:hAnsi="黑体" w:eastAsia="黑体" w:cs="黑体"/>
                <w:snapToGrid w:val="0"/>
                <w:color w:val="000000"/>
                <w:kern w:val="0"/>
                <w:sz w:val="18"/>
                <w:szCs w:val="18"/>
                <w:lang w:val="en-US" w:eastAsia="zh-CN" w:bidi="ar-SA"/>
              </w:rPr>
              <w:t>，</w:t>
            </w:r>
            <w:r>
              <w:rPr>
                <w:rFonts w:hint="eastAsia" w:ascii="黑体" w:hAnsi="黑体" w:eastAsia="黑体" w:cs="黑体"/>
                <w:snapToGrid w:val="0"/>
                <w:color w:val="000000"/>
                <w:kern w:val="0"/>
                <w:sz w:val="18"/>
                <w:szCs w:val="18"/>
                <w:lang w:val="en-US" w:eastAsia="en-US" w:bidi="ar-SA"/>
              </w:rPr>
              <w:t>≥</w:t>
            </w:r>
            <w:r>
              <w:rPr>
                <w:rFonts w:hint="eastAsia" w:cs="黑体"/>
                <w:snapToGrid w:val="0"/>
                <w:color w:val="000000"/>
                <w:kern w:val="0"/>
                <w:sz w:val="18"/>
                <w:szCs w:val="18"/>
                <w:lang w:val="en-US" w:eastAsia="zh-CN" w:bidi="ar-SA"/>
              </w:rPr>
              <w:t>12</w:t>
            </w:r>
            <w:r>
              <w:rPr>
                <w:rFonts w:hint="eastAsia" w:ascii="黑体" w:hAnsi="黑体" w:eastAsia="黑体" w:cs="黑体"/>
                <w:snapToGrid w:val="0"/>
                <w:color w:val="000000"/>
                <w:kern w:val="0"/>
                <w:sz w:val="18"/>
                <w:szCs w:val="18"/>
                <w:lang w:val="en-US" w:eastAsia="en-US" w:bidi="ar-SA"/>
              </w:rPr>
              <w:t>核处理器、主频≥2.</w:t>
            </w:r>
            <w:r>
              <w:rPr>
                <w:rFonts w:hint="eastAsia" w:cs="黑体"/>
                <w:snapToGrid w:val="0"/>
                <w:color w:val="000000"/>
                <w:kern w:val="0"/>
                <w:sz w:val="18"/>
                <w:szCs w:val="18"/>
                <w:lang w:val="en-US" w:eastAsia="zh-CN" w:bidi="ar-SA"/>
              </w:rPr>
              <w:t>1</w:t>
            </w:r>
            <w:r>
              <w:rPr>
                <w:rFonts w:hint="eastAsia" w:ascii="黑体" w:hAnsi="黑体" w:eastAsia="黑体" w:cs="黑体"/>
                <w:snapToGrid w:val="0"/>
                <w:color w:val="000000"/>
                <w:kern w:val="0"/>
                <w:sz w:val="18"/>
                <w:szCs w:val="18"/>
                <w:lang w:val="en-US" w:eastAsia="en-US" w:bidi="ar-SA"/>
              </w:rPr>
              <w:t>GHz 、</w:t>
            </w:r>
            <w:r>
              <w:rPr>
                <w:rFonts w:hint="eastAsia" w:cs="黑体"/>
                <w:snapToGrid w:val="0"/>
                <w:color w:val="000000"/>
                <w:kern w:val="0"/>
                <w:sz w:val="18"/>
                <w:szCs w:val="18"/>
                <w:lang w:val="en-US" w:eastAsia="zh-CN" w:bidi="ar-SA"/>
              </w:rPr>
              <w:t>三</w:t>
            </w:r>
            <w:r>
              <w:rPr>
                <w:rFonts w:hint="eastAsia" w:ascii="黑体" w:hAnsi="黑体" w:eastAsia="黑体" w:cs="黑体"/>
                <w:snapToGrid w:val="0"/>
                <w:color w:val="000000"/>
                <w:kern w:val="0"/>
                <w:sz w:val="18"/>
                <w:szCs w:val="18"/>
                <w:lang w:val="en-US" w:eastAsia="en-US" w:bidi="ar-SA"/>
              </w:rPr>
              <w:t>级缓存≥</w:t>
            </w:r>
            <w:r>
              <w:rPr>
                <w:rFonts w:hint="eastAsia" w:cs="黑体"/>
                <w:snapToGrid w:val="0"/>
                <w:color w:val="000000"/>
                <w:kern w:val="0"/>
                <w:sz w:val="18"/>
                <w:szCs w:val="18"/>
                <w:lang w:val="en-US" w:eastAsia="zh-CN" w:bidi="ar-SA"/>
              </w:rPr>
              <w:t>25</w:t>
            </w:r>
            <w:r>
              <w:rPr>
                <w:rFonts w:hint="eastAsia" w:ascii="黑体" w:hAnsi="黑体" w:eastAsia="黑体" w:cs="黑体"/>
                <w:snapToGrid w:val="0"/>
                <w:color w:val="000000"/>
                <w:kern w:val="0"/>
                <w:sz w:val="18"/>
                <w:szCs w:val="18"/>
                <w:lang w:val="en-US" w:eastAsia="en-US" w:bidi="ar-SA"/>
              </w:rPr>
              <w:t>MB、≥</w:t>
            </w:r>
            <w:r>
              <w:rPr>
                <w:rFonts w:hint="eastAsia" w:cs="黑体"/>
                <w:snapToGrid w:val="0"/>
                <w:color w:val="000000"/>
                <w:kern w:val="0"/>
                <w:sz w:val="18"/>
                <w:szCs w:val="18"/>
                <w:lang w:val="en-US" w:eastAsia="zh-CN" w:bidi="ar-SA"/>
              </w:rPr>
              <w:t>20</w:t>
            </w:r>
            <w:r>
              <w:rPr>
                <w:rFonts w:hint="eastAsia" w:ascii="黑体" w:hAnsi="黑体" w:eastAsia="黑体" w:cs="黑体"/>
                <w:snapToGrid w:val="0"/>
                <w:color w:val="000000"/>
                <w:kern w:val="0"/>
                <w:sz w:val="18"/>
                <w:szCs w:val="18"/>
                <w:lang w:val="en-US" w:eastAsia="en-US" w:bidi="ar-SA"/>
              </w:rPr>
              <w:t>线程、70W TDP、最大支持内存速率DDR4-2666MHz、最大支持双内存通道数、CPU的位宽64bit；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2</w:t>
            </w:r>
          </w:p>
        </w:tc>
        <w:tc>
          <w:tcPr>
            <w:tcW w:w="733" w:type="dxa"/>
            <w:vAlign w:val="center"/>
          </w:tcPr>
          <w:p>
            <w:pPr>
              <w:pStyle w:val="69"/>
              <w:widowControl w:val="0"/>
              <w:spacing w:line="240" w:lineRule="auto"/>
              <w:ind w:left="0" w:right="0" w:firstLine="0"/>
              <w:jc w:val="center"/>
            </w:pPr>
            <w:r>
              <w:rPr>
                <w:spacing w:val="-3"/>
                <w:position w:val="4"/>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3"/>
              </w:rPr>
              <w:t>规格</w:t>
            </w:r>
          </w:p>
        </w:tc>
        <w:tc>
          <w:tcPr>
            <w:tcW w:w="931" w:type="dxa"/>
            <w:vMerge w:val="restart"/>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lang w:val="en-US" w:eastAsia="en-US" w:bidi="ar-SA"/>
              </w:rPr>
            </w:pPr>
            <w:r>
              <w:rPr>
                <w:spacing w:val="-2"/>
              </w:rPr>
              <w:t>*内存</w:t>
            </w:r>
            <w:r>
              <w:rPr>
                <w:spacing w:val="-3"/>
              </w:rPr>
              <w:t>规格</w:t>
            </w:r>
          </w:p>
        </w:tc>
        <w:tc>
          <w:tcPr>
            <w:tcW w:w="1073" w:type="dxa"/>
            <w:vAlign w:val="center"/>
          </w:tcPr>
          <w:p>
            <w:pPr>
              <w:pStyle w:val="69"/>
              <w:widowControl w:val="0"/>
              <w:spacing w:line="240" w:lineRule="auto"/>
              <w:ind w:left="0" w:right="0" w:firstLine="0"/>
              <w:jc w:val="center"/>
            </w:pPr>
            <w:r>
              <w:rPr>
                <w:spacing w:val="-1"/>
                <w:position w:val="4"/>
              </w:rPr>
              <w:t>*内存配</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4"/>
              </w:rPr>
              <w:t>置容量</w:t>
            </w:r>
          </w:p>
        </w:tc>
        <w:tc>
          <w:tcPr>
            <w:tcW w:w="932" w:type="dxa"/>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t>是</w:t>
            </w:r>
          </w:p>
        </w:tc>
        <w:tc>
          <w:tcPr>
            <w:tcW w:w="4186" w:type="dxa"/>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7"/>
              </w:rPr>
              <w:t>≥</w:t>
            </w:r>
            <w:r>
              <w:rPr>
                <w:rFonts w:hint="eastAsia"/>
                <w:spacing w:val="-7"/>
                <w:lang w:val="en-US" w:eastAsia="zh-CN"/>
              </w:rPr>
              <w:t>32</w:t>
            </w:r>
            <w:r>
              <w:rPr>
                <w:spacing w:val="-7"/>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w:t>
            </w:r>
          </w:p>
        </w:tc>
        <w:tc>
          <w:tcPr>
            <w:tcW w:w="733" w:type="dxa"/>
            <w:vAlign w:val="center"/>
          </w:tcPr>
          <w:p>
            <w:pPr>
              <w:pStyle w:val="69"/>
              <w:widowControl w:val="0"/>
              <w:spacing w:line="240" w:lineRule="auto"/>
              <w:ind w:left="0" w:right="0" w:firstLine="0"/>
              <w:jc w:val="center"/>
            </w:pPr>
            <w:r>
              <w:rPr>
                <w:spacing w:val="-3"/>
                <w:position w:val="4"/>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3"/>
              </w:rPr>
              <w:t>规格</w:t>
            </w:r>
          </w:p>
        </w:tc>
        <w:tc>
          <w:tcPr>
            <w:tcW w:w="931" w:type="dxa"/>
            <w:vMerge w:val="continue"/>
            <w:vAlign w:val="center"/>
          </w:tcPr>
          <w:p>
            <w:pPr>
              <w:widowControl w:val="0"/>
              <w:spacing w:line="240" w:lineRule="auto"/>
              <w:ind w:left="0" w:right="0" w:firstLine="0"/>
              <w:jc w:val="center"/>
              <w:rPr>
                <w:vertAlign w:val="baseline"/>
              </w:rPr>
            </w:pPr>
          </w:p>
        </w:tc>
        <w:tc>
          <w:tcPr>
            <w:tcW w:w="1073" w:type="dxa"/>
            <w:vAlign w:val="center"/>
          </w:tcPr>
          <w:p>
            <w:pPr>
              <w:pStyle w:val="69"/>
              <w:widowControl w:val="0"/>
              <w:spacing w:line="240" w:lineRule="auto"/>
              <w:ind w:left="0" w:right="0" w:firstLine="0"/>
              <w:jc w:val="center"/>
            </w:pPr>
            <w:r>
              <w:rPr>
                <w:spacing w:val="-1"/>
                <w:position w:val="4"/>
              </w:rPr>
              <w:t>*内存类</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t>型</w:t>
            </w:r>
          </w:p>
        </w:tc>
        <w:tc>
          <w:tcPr>
            <w:tcW w:w="932" w:type="dxa"/>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t>否</w:t>
            </w:r>
          </w:p>
        </w:tc>
        <w:tc>
          <w:tcPr>
            <w:tcW w:w="4186" w:type="dxa"/>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lang w:val="en-US" w:eastAsia="en-US" w:bidi="ar-SA"/>
              </w:rPr>
            </w:pPr>
            <w:r>
              <w:rPr>
                <w:spacing w:val="-1"/>
              </w:rPr>
              <w:t>支持</w:t>
            </w:r>
            <w:r>
              <w:rPr>
                <w:spacing w:val="-37"/>
              </w:rPr>
              <w:t xml:space="preserve"> </w:t>
            </w:r>
            <w:r>
              <w:rPr>
                <w:spacing w:val="-1"/>
              </w:rPr>
              <w:t>DDR4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w:t>
            </w:r>
          </w:p>
        </w:tc>
        <w:tc>
          <w:tcPr>
            <w:tcW w:w="733" w:type="dxa"/>
            <w:vAlign w:val="center"/>
          </w:tcPr>
          <w:p>
            <w:pPr>
              <w:widowControl w:val="0"/>
              <w:spacing w:line="240" w:lineRule="auto"/>
              <w:ind w:left="0" w:right="0" w:firstLine="0"/>
              <w:jc w:val="center"/>
              <w:rPr>
                <w:rFonts w:ascii="Arial"/>
                <w:sz w:val="21"/>
              </w:rPr>
            </w:pPr>
          </w:p>
          <w:p>
            <w:pPr>
              <w:pStyle w:val="69"/>
              <w:widowControl w:val="0"/>
              <w:spacing w:line="240" w:lineRule="auto"/>
              <w:ind w:left="0" w:right="0" w:firstLine="0"/>
              <w:jc w:val="center"/>
            </w:pPr>
            <w:r>
              <w:rPr>
                <w:spacing w:val="-3"/>
                <w:position w:val="4"/>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3"/>
              </w:rPr>
              <w:t>规格</w:t>
            </w:r>
          </w:p>
        </w:tc>
        <w:tc>
          <w:tcPr>
            <w:tcW w:w="931" w:type="dxa"/>
            <w:vMerge w:val="continue"/>
            <w:vAlign w:val="center"/>
          </w:tcPr>
          <w:p>
            <w:pPr>
              <w:widowControl w:val="0"/>
              <w:spacing w:line="240" w:lineRule="auto"/>
              <w:ind w:left="0" w:right="0" w:firstLine="0"/>
              <w:jc w:val="center"/>
              <w:rPr>
                <w:vertAlign w:val="baseline"/>
              </w:rPr>
            </w:pPr>
          </w:p>
        </w:tc>
        <w:tc>
          <w:tcPr>
            <w:tcW w:w="1073" w:type="dxa"/>
            <w:vAlign w:val="center"/>
          </w:tcPr>
          <w:p>
            <w:pPr>
              <w:pStyle w:val="69"/>
              <w:widowControl w:val="0"/>
              <w:spacing w:line="240" w:lineRule="auto"/>
              <w:ind w:left="0" w:right="0" w:firstLine="0"/>
              <w:jc w:val="center"/>
            </w:pPr>
            <w:r>
              <w:rPr>
                <w:spacing w:val="-1"/>
              </w:rPr>
              <w:t>*内存条</w:t>
            </w:r>
            <w:r>
              <w:t xml:space="preserve">  </w:t>
            </w:r>
            <w:r>
              <w:rPr>
                <w:spacing w:val="-2"/>
              </w:rPr>
              <w:t>配置数量</w:t>
            </w:r>
            <w:r>
              <w:t xml:space="preserve"> </w:t>
            </w:r>
            <w:r>
              <w:rPr>
                <w:spacing w:val="-2"/>
              </w:rPr>
              <w:t>（板载内</w:t>
            </w:r>
            <w:r>
              <w:t xml:space="preserve"> </w:t>
            </w:r>
            <w:r>
              <w:rPr>
                <w:spacing w:val="-3"/>
              </w:rPr>
              <w:t>存不涉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4"/>
              </w:rPr>
              <w:t>及）</w:t>
            </w:r>
          </w:p>
        </w:tc>
        <w:tc>
          <w:tcPr>
            <w:tcW w:w="932" w:type="dxa"/>
            <w:vAlign w:val="center"/>
          </w:tcPr>
          <w:p>
            <w:pPr>
              <w:widowControl w:val="0"/>
              <w:spacing w:line="240" w:lineRule="auto"/>
              <w:ind w:left="0" w:right="0" w:firstLine="0"/>
              <w:jc w:val="center"/>
              <w:rPr>
                <w:rFonts w:ascii="Arial"/>
                <w:sz w:val="21"/>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t>否</w:t>
            </w:r>
          </w:p>
        </w:tc>
        <w:tc>
          <w:tcPr>
            <w:tcW w:w="4186" w:type="dxa"/>
            <w:vAlign w:val="center"/>
          </w:tcPr>
          <w:p>
            <w:pPr>
              <w:widowControl w:val="0"/>
              <w:spacing w:line="240" w:lineRule="auto"/>
              <w:ind w:left="0" w:right="0" w:firstLine="0"/>
              <w:jc w:val="center"/>
              <w:rPr>
                <w:rFonts w:ascii="Arial"/>
                <w:sz w:val="21"/>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13"/>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*主板</w:t>
            </w:r>
            <w:r>
              <w:rPr>
                <w:spacing w:val="-3"/>
                <w:highlight w:val="none"/>
              </w:rPr>
              <w:t>规格</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*主板集</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成模块</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集成资源扩展模块、计算处理模块、音频扩展模块等，主板的互联拓扑可通过处理器或交换电路实现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default"/>
                <w:spacing w:val="-3"/>
                <w:position w:val="4"/>
                <w:lang w:val="en-US" w:eastAsia="zh-CN"/>
              </w:rPr>
            </w:pPr>
            <w:r>
              <w:rPr>
                <w:rFonts w:hint="default"/>
                <w:spacing w:val="-3"/>
                <w:position w:val="4"/>
                <w:lang w:val="en-US" w:eastAsia="zh-CN"/>
              </w:rPr>
              <w:t>6</w:t>
            </w:r>
          </w:p>
        </w:tc>
        <w:tc>
          <w:tcPr>
            <w:tcW w:w="733" w:type="dxa"/>
            <w:shd w:val="clear" w:color="auto" w:fill="auto"/>
            <w:vAlign w:val="top"/>
          </w:tcPr>
          <w:p>
            <w:pPr>
              <w:pStyle w:val="69"/>
              <w:widowControl w:val="0"/>
              <w:spacing w:before="279" w:line="240" w:lineRule="exact"/>
              <w:ind w:left="108"/>
            </w:pPr>
            <w:r>
              <w:rPr>
                <w:spacing w:val="-3"/>
                <w:position w:val="4"/>
              </w:rPr>
              <w:t>产品</w:t>
            </w:r>
          </w:p>
          <w:p>
            <w:pPr>
              <w:pStyle w:val="69"/>
              <w:widowControl w:val="0"/>
              <w:spacing w:line="223" w:lineRule="auto"/>
              <w:ind w:left="108" w:leftChars="0"/>
              <w:rPr>
                <w:rFonts w:ascii="黑体" w:hAnsi="黑体" w:eastAsia="黑体" w:cs="黑体"/>
                <w:snapToGrid w:val="0"/>
                <w:color w:val="000000"/>
                <w:kern w:val="0"/>
                <w:sz w:val="18"/>
                <w:szCs w:val="18"/>
                <w:lang w:val="en-US" w:eastAsia="en-US" w:bidi="ar-SA"/>
              </w:rPr>
            </w:pPr>
            <w:r>
              <w:rPr>
                <w:spacing w:val="-3"/>
              </w:rPr>
              <w:t>规格</w:t>
            </w:r>
          </w:p>
        </w:tc>
        <w:tc>
          <w:tcPr>
            <w:tcW w:w="931" w:type="dxa"/>
            <w:vMerge w:val="continue"/>
            <w:shd w:val="clear" w:color="auto" w:fill="auto"/>
            <w:vAlign w:val="top"/>
          </w:tcPr>
          <w:p>
            <w:pPr>
              <w:widowControl w:val="0"/>
              <w:rPr>
                <w:rFonts w:ascii="Arial" w:hAnsi="Arial" w:eastAsia="Arial" w:cs="Arial"/>
                <w:snapToGrid w:val="0"/>
                <w:color w:val="000000"/>
                <w:kern w:val="0"/>
                <w:sz w:val="21"/>
                <w:szCs w:val="21"/>
                <w:lang w:val="en-US" w:eastAsia="en-US" w:bidi="ar-SA"/>
              </w:rPr>
            </w:pPr>
          </w:p>
        </w:tc>
        <w:tc>
          <w:tcPr>
            <w:tcW w:w="1073" w:type="dxa"/>
            <w:shd w:val="clear" w:color="auto" w:fill="auto"/>
            <w:vAlign w:val="top"/>
          </w:tcPr>
          <w:p>
            <w:pPr>
              <w:pStyle w:val="69"/>
              <w:widowControl w:val="0"/>
              <w:spacing w:before="38" w:line="235" w:lineRule="auto"/>
              <w:ind w:left="107" w:leftChars="0" w:right="167" w:rightChars="0" w:hanging="2" w:firstLineChars="0"/>
              <w:jc w:val="both"/>
              <w:rPr>
                <w:rFonts w:ascii="黑体" w:hAnsi="黑体" w:eastAsia="黑体" w:cs="黑体"/>
                <w:snapToGrid w:val="0"/>
                <w:color w:val="000000"/>
                <w:kern w:val="0"/>
                <w:sz w:val="18"/>
                <w:szCs w:val="18"/>
                <w:lang w:val="en-US" w:eastAsia="en-US" w:bidi="ar-SA"/>
              </w:rPr>
            </w:pPr>
            <w:r>
              <w:rPr>
                <w:spacing w:val="-1"/>
              </w:rPr>
              <w:t>*主板支</w:t>
            </w:r>
            <w:r>
              <w:rPr>
                <w:spacing w:val="-3"/>
              </w:rPr>
              <w:t>持的</w:t>
            </w:r>
            <w:r>
              <w:rPr>
                <w:spacing w:val="-37"/>
              </w:rPr>
              <w:t xml:space="preserve"> </w:t>
            </w:r>
            <w:r>
              <w:rPr>
                <w:spacing w:val="-3"/>
              </w:rPr>
              <w:t>CPU</w:t>
            </w:r>
            <w:r>
              <w:rPr>
                <w:spacing w:val="-2"/>
              </w:rPr>
              <w:t>和内存情</w:t>
            </w:r>
            <w:r>
              <w:t xml:space="preserve"> 况</w:t>
            </w:r>
          </w:p>
        </w:tc>
        <w:tc>
          <w:tcPr>
            <w:tcW w:w="932" w:type="dxa"/>
            <w:shd w:val="clear" w:color="auto" w:fill="auto"/>
            <w:vAlign w:val="center"/>
          </w:tcPr>
          <w:p>
            <w:pPr>
              <w:pStyle w:val="69"/>
              <w:widowControl w:val="0"/>
              <w:spacing w:before="59" w:line="223" w:lineRule="auto"/>
              <w:jc w:val="center"/>
              <w:rPr>
                <w:rFonts w:ascii="黑体" w:hAnsi="黑体" w:eastAsia="黑体" w:cs="黑体"/>
                <w:snapToGrid w:val="0"/>
                <w:color w:val="000000"/>
                <w:kern w:val="0"/>
                <w:sz w:val="18"/>
                <w:szCs w:val="18"/>
                <w:lang w:val="en-US" w:eastAsia="en-US" w:bidi="ar-SA"/>
              </w:rPr>
            </w:pPr>
            <w:r>
              <w:t>否</w:t>
            </w:r>
          </w:p>
        </w:tc>
        <w:tc>
          <w:tcPr>
            <w:tcW w:w="4186" w:type="dxa"/>
            <w:shd w:val="clear" w:color="auto" w:fill="auto"/>
            <w:vAlign w:val="top"/>
          </w:tcPr>
          <w:p>
            <w:pPr>
              <w:pStyle w:val="69"/>
              <w:widowControl w:val="0"/>
              <w:spacing w:before="279" w:line="234" w:lineRule="auto"/>
              <w:ind w:left="115" w:leftChars="0" w:right="189" w:rightChars="0" w:hanging="4" w:firstLineChars="0"/>
              <w:rPr>
                <w:rFonts w:hint="default" w:ascii="黑体" w:hAnsi="黑体" w:eastAsia="黑体" w:cs="黑体"/>
                <w:snapToGrid w:val="0"/>
                <w:color w:val="000000"/>
                <w:kern w:val="0"/>
                <w:sz w:val="18"/>
                <w:szCs w:val="18"/>
                <w:lang w:val="en-US" w:eastAsia="zh-CN" w:bidi="ar-SA"/>
              </w:rPr>
            </w:pPr>
            <w:r>
              <w:rPr>
                <w:rFonts w:hint="eastAsia" w:cs="黑体"/>
                <w:snapToGrid w:val="0"/>
                <w:color w:val="000000"/>
                <w:kern w:val="0"/>
                <w:sz w:val="18"/>
                <w:szCs w:val="18"/>
                <w:lang w:val="en-US" w:eastAsia="zh-CN" w:bidi="ar-SA"/>
              </w:rPr>
              <w:t>主板支持12700、内存型号为32G:FD4AU3200CQGHC(江波龙)*2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*主板其</w:t>
            </w:r>
            <w:r>
              <w:rPr>
                <w:highlight w:val="none"/>
              </w:rPr>
              <w:t xml:space="preserve">  </w:t>
            </w:r>
            <w:r>
              <w:rPr>
                <w:spacing w:val="-3"/>
                <w:highlight w:val="none"/>
              </w:rPr>
              <w:t>他内置接</w:t>
            </w:r>
            <w:r>
              <w:rPr>
                <w:spacing w:val="2"/>
                <w:highlight w:val="none"/>
              </w:rPr>
              <w:t xml:space="preserve"> </w:t>
            </w:r>
            <w:r>
              <w:rPr>
                <w:highlight w:val="none"/>
              </w:rPr>
              <w:t>口</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hint="eastAsia"/>
                <w:spacing w:val="-2"/>
                <w:highlight w:val="none"/>
              </w:rPr>
            </w:pPr>
            <w:r>
              <w:rPr>
                <w:rFonts w:hint="eastAsia"/>
                <w:spacing w:val="-2"/>
                <w:highlight w:val="none"/>
              </w:rPr>
              <w:t xml:space="preserve">主板内部接口数量如下： </w:t>
            </w:r>
          </w:p>
          <w:p>
            <w:pPr>
              <w:pStyle w:val="69"/>
              <w:widowControl w:val="0"/>
              <w:spacing w:line="240" w:lineRule="auto"/>
              <w:ind w:left="0" w:leftChars="0" w:right="0" w:rightChars="0" w:firstLine="0" w:firstLineChars="0"/>
              <w:jc w:val="center"/>
              <w:rPr>
                <w:rFonts w:hint="eastAsia"/>
                <w:spacing w:val="-2"/>
                <w:highlight w:val="none"/>
              </w:rPr>
            </w:pPr>
            <w:r>
              <w:rPr>
                <w:rFonts w:hint="eastAsia"/>
                <w:spacing w:val="-2"/>
                <w:highlight w:val="none"/>
              </w:rPr>
              <w:t>SATA×3 （支持SATA 3.0。其中一路用于拓展机械硬盘、一路用于拓展DVD光驱、一路空闲供用户自行决定）</w:t>
            </w: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rFonts w:hint="eastAsia"/>
                <w:spacing w:val="-2"/>
                <w:highlight w:val="none"/>
              </w:rPr>
              <w:t>M.2×2 （其中一路用于拓展固态硬盘（2280）、一路用于拓展wifi/蓝牙模块（2230））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*单内存</w:t>
            </w:r>
            <w:r>
              <w:rPr>
                <w:highlight w:val="none"/>
              </w:rPr>
              <w:t xml:space="preserve">  </w:t>
            </w:r>
            <w:r>
              <w:rPr>
                <w:spacing w:val="-2"/>
                <w:highlight w:val="none"/>
              </w:rPr>
              <w:t>插槽最大</w:t>
            </w:r>
            <w:r>
              <w:rPr>
                <w:highlight w:val="none"/>
              </w:rPr>
              <w:t xml:space="preserve"> </w:t>
            </w:r>
            <w:r>
              <w:rPr>
                <w:spacing w:val="-2"/>
                <w:highlight w:val="none"/>
              </w:rPr>
              <w:t>可支持容</w:t>
            </w:r>
            <w:r>
              <w:rPr>
                <w:highlight w:val="none"/>
              </w:rPr>
              <w:t xml:space="preserve"> </w:t>
            </w:r>
            <w:r>
              <w:rPr>
                <w:spacing w:val="-2"/>
                <w:highlight w:val="none"/>
              </w:rPr>
              <w:t>量（板载</w:t>
            </w:r>
            <w:r>
              <w:rPr>
                <w:highlight w:val="none"/>
              </w:rPr>
              <w:t xml:space="preserve"> </w:t>
            </w:r>
            <w:r>
              <w:rPr>
                <w:spacing w:val="-2"/>
                <w:highlight w:val="none"/>
              </w:rPr>
              <w:t>内存不涉</w:t>
            </w:r>
            <w:r>
              <w:rPr>
                <w:highlight w:val="none"/>
              </w:rPr>
              <w:t xml:space="preserve"> </w:t>
            </w:r>
            <w:r>
              <w:rPr>
                <w:spacing w:val="-4"/>
                <w:highlight w:val="none"/>
              </w:rPr>
              <w:t>及）</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rFonts w:hint="eastAsia"/>
                <w:spacing w:val="-7"/>
                <w:highlight w:val="none"/>
              </w:rPr>
              <w:t>单内存插槽最大可支持32GB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*内存插</w:t>
            </w:r>
            <w:r>
              <w:rPr>
                <w:highlight w:val="none"/>
              </w:rPr>
              <w:t xml:space="preserve">  </w:t>
            </w:r>
            <w:r>
              <w:rPr>
                <w:spacing w:val="-2"/>
                <w:highlight w:val="none"/>
              </w:rPr>
              <w:t>槽满配时</w:t>
            </w:r>
            <w:r>
              <w:rPr>
                <w:spacing w:val="1"/>
                <w:highlight w:val="none"/>
              </w:rPr>
              <w:t xml:space="preserve"> </w:t>
            </w:r>
            <w:r>
              <w:rPr>
                <w:spacing w:val="-2"/>
                <w:highlight w:val="none"/>
              </w:rPr>
              <w:t>提供的最</w:t>
            </w:r>
            <w:r>
              <w:rPr>
                <w:spacing w:val="1"/>
                <w:highlight w:val="none"/>
              </w:rPr>
              <w:t xml:space="preserve"> </w:t>
            </w:r>
            <w:r>
              <w:rPr>
                <w:spacing w:val="-2"/>
                <w:highlight w:val="none"/>
              </w:rPr>
              <w:t>高内存总</w:t>
            </w:r>
            <w:r>
              <w:rPr>
                <w:spacing w:val="1"/>
                <w:highlight w:val="none"/>
              </w:rPr>
              <w:t xml:space="preserve"> </w:t>
            </w:r>
            <w:r>
              <w:rPr>
                <w:spacing w:val="-3"/>
                <w:highlight w:val="none"/>
              </w:rPr>
              <w:t>容量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w:t>
            </w:r>
            <w:r>
              <w:rPr>
                <w:rFonts w:hint="eastAsia"/>
                <w:spacing w:val="-6"/>
                <w:highlight w:val="none"/>
              </w:rPr>
              <w:t>64GB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*存储</w:t>
            </w:r>
            <w:r>
              <w:rPr>
                <w:spacing w:val="-3"/>
                <w:highlight w:val="none"/>
              </w:rPr>
              <w:t>设备规格</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*固态盘</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数量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≥1</w:t>
            </w:r>
            <w:r>
              <w:rPr>
                <w:spacing w:val="-38"/>
                <w:highlight w:val="none"/>
              </w:rPr>
              <w:t xml:space="preserve"> </w:t>
            </w:r>
            <w:r>
              <w:rPr>
                <w:spacing w:val="-9"/>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*固态存</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储容量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≥2</w:t>
            </w:r>
            <w:r>
              <w:rPr>
                <w:rFonts w:hint="eastAsia"/>
                <w:spacing w:val="-5"/>
                <w:highlight w:val="none"/>
                <w:lang w:val="en-US" w:eastAsia="zh-CN"/>
              </w:rPr>
              <w:t>56</w:t>
            </w:r>
            <w:r>
              <w:rPr>
                <w:spacing w:val="-5"/>
                <w:highlight w:val="none"/>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*机械硬</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盘数量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≥1</w:t>
            </w:r>
            <w:r>
              <w:rPr>
                <w:spacing w:val="-38"/>
                <w:highlight w:val="none"/>
              </w:rPr>
              <w:t xml:space="preserve"> </w:t>
            </w:r>
            <w:r>
              <w:rPr>
                <w:spacing w:val="-9"/>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*机械硬</w:t>
            </w:r>
            <w:r>
              <w:rPr>
                <w:highlight w:val="none"/>
              </w:rPr>
              <w:t xml:space="preserve">  </w:t>
            </w:r>
            <w:r>
              <w:rPr>
                <w:spacing w:val="-2"/>
                <w:highlight w:val="none"/>
              </w:rPr>
              <w:t>盘总容量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hint="default" w:ascii="黑体" w:hAnsi="黑体" w:eastAsia="黑体" w:cs="黑体"/>
                <w:snapToGrid w:val="0"/>
                <w:color w:val="000000"/>
                <w:kern w:val="0"/>
                <w:sz w:val="18"/>
                <w:szCs w:val="18"/>
                <w:highlight w:val="none"/>
                <w:lang w:val="en-US" w:eastAsia="zh-CN" w:bidi="ar-SA"/>
              </w:rPr>
            </w:pPr>
            <w:r>
              <w:rPr>
                <w:spacing w:val="-5"/>
                <w:highlight w:val="none"/>
              </w:rPr>
              <w:t>≥</w:t>
            </w:r>
            <w:r>
              <w:rPr>
                <w:rFonts w:hint="eastAsia"/>
                <w:spacing w:val="-5"/>
                <w:highlight w:val="none"/>
                <w:lang w:val="en-US" w:eastAsia="zh-CN"/>
              </w:rPr>
              <w:t>1TB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*机械硬</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盘转速</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w:t>
            </w:r>
            <w:r>
              <w:rPr>
                <w:rFonts w:hint="eastAsia"/>
                <w:spacing w:val="-4"/>
                <w:highlight w:val="none"/>
                <w:lang w:val="en-US" w:eastAsia="zh-CN"/>
              </w:rPr>
              <w:t>72</w:t>
            </w:r>
            <w:r>
              <w:rPr>
                <w:spacing w:val="-4"/>
                <w:highlight w:val="none"/>
              </w:rPr>
              <w:t>00rpm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*机械硬</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盘形态</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3.5</w:t>
            </w:r>
            <w:r>
              <w:rPr>
                <w:spacing w:val="-32"/>
                <w:highlight w:val="none"/>
              </w:rPr>
              <w:t xml:space="preserve"> </w:t>
            </w:r>
            <w:r>
              <w:rPr>
                <w:spacing w:val="-4"/>
                <w:highlight w:val="none"/>
              </w:rPr>
              <w:t>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*固态存</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储形态</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M.2标准</w:t>
            </w:r>
            <w:r>
              <w:rPr>
                <w:spacing w:val="-2"/>
                <w:highlight w:val="none"/>
              </w:rPr>
              <w:t>插卡形态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17</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*存储设</w:t>
            </w:r>
            <w:r>
              <w:rPr>
                <w:highlight w:val="none"/>
              </w:rPr>
              <w:t xml:space="preserve">  </w:t>
            </w:r>
            <w:r>
              <w:rPr>
                <w:spacing w:val="-2"/>
                <w:highlight w:val="none"/>
              </w:rPr>
              <w:t>备其他参</w:t>
            </w:r>
            <w:r>
              <w:rPr>
                <w:highlight w:val="none"/>
              </w:rPr>
              <w:t xml:space="preserve"> </w:t>
            </w:r>
            <w:r>
              <w:rPr>
                <w:spacing w:val="-3"/>
                <w:highlight w:val="none"/>
              </w:rPr>
              <w:t>数要求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highlight w:val="none"/>
              </w:rPr>
            </w:pPr>
            <w:r>
              <w:rPr>
                <w:spacing w:val="-2"/>
                <w:highlight w:val="none"/>
              </w:rPr>
              <w:t>a)固态盘符合</w:t>
            </w:r>
            <w:r>
              <w:rPr>
                <w:spacing w:val="-24"/>
                <w:highlight w:val="none"/>
              </w:rPr>
              <w:t xml:space="preserve"> </w:t>
            </w:r>
            <w:r>
              <w:rPr>
                <w:spacing w:val="-2"/>
                <w:highlight w:val="none"/>
              </w:rPr>
              <w:t>SJ/T11654</w:t>
            </w:r>
            <w:r>
              <w:rPr>
                <w:spacing w:val="-34"/>
                <w:highlight w:val="none"/>
              </w:rPr>
              <w:t xml:space="preserve"> </w:t>
            </w:r>
            <w:r>
              <w:rPr>
                <w:spacing w:val="-2"/>
                <w:highlight w:val="none"/>
              </w:rPr>
              <w:t>相关规</w:t>
            </w:r>
            <w:r>
              <w:rPr>
                <w:spacing w:val="-3"/>
                <w:highlight w:val="none"/>
              </w:rPr>
              <w:t>定；</w:t>
            </w:r>
          </w:p>
          <w:p>
            <w:pPr>
              <w:pStyle w:val="69"/>
              <w:widowControl w:val="0"/>
              <w:spacing w:line="240" w:lineRule="auto"/>
              <w:ind w:left="0" w:right="0" w:firstLine="0"/>
              <w:jc w:val="center"/>
              <w:rPr>
                <w:spacing w:val="-3"/>
                <w:highlight w:val="none"/>
              </w:rPr>
            </w:pPr>
            <w:r>
              <w:rPr>
                <w:spacing w:val="-4"/>
                <w:highlight w:val="none"/>
              </w:rPr>
              <w:t>b)机械硬盘准备时间不大于</w:t>
            </w:r>
            <w:r>
              <w:rPr>
                <w:spacing w:val="-30"/>
                <w:highlight w:val="none"/>
              </w:rPr>
              <w:t xml:space="preserve"> </w:t>
            </w:r>
            <w:r>
              <w:rPr>
                <w:spacing w:val="-4"/>
                <w:highlight w:val="none"/>
              </w:rPr>
              <w:t>30s；侧</w:t>
            </w:r>
            <w:r>
              <w:rPr>
                <w:spacing w:val="-3"/>
                <w:highlight w:val="none"/>
              </w:rPr>
              <w:t>面固定螺丝孔数量可为</w:t>
            </w:r>
            <w:r>
              <w:rPr>
                <w:spacing w:val="-33"/>
                <w:highlight w:val="none"/>
              </w:rPr>
              <w:t xml:space="preserve"> </w:t>
            </w:r>
            <w:r>
              <w:rPr>
                <w:spacing w:val="-3"/>
                <w:highlight w:val="none"/>
              </w:rPr>
              <w:t>4</w:t>
            </w:r>
            <w:r>
              <w:rPr>
                <w:spacing w:val="-37"/>
                <w:highlight w:val="none"/>
              </w:rPr>
              <w:t xml:space="preserve"> </w:t>
            </w:r>
            <w:r>
              <w:rPr>
                <w:spacing w:val="-3"/>
                <w:highlight w:val="none"/>
              </w:rPr>
              <w:t>孔或</w:t>
            </w:r>
            <w:r>
              <w:rPr>
                <w:spacing w:val="-38"/>
                <w:highlight w:val="none"/>
              </w:rPr>
              <w:t xml:space="preserve"> </w:t>
            </w:r>
            <w:r>
              <w:rPr>
                <w:spacing w:val="-3"/>
                <w:highlight w:val="none"/>
              </w:rPr>
              <w:t>6</w:t>
            </w:r>
            <w:r>
              <w:rPr>
                <w:spacing w:val="-37"/>
                <w:highlight w:val="none"/>
              </w:rPr>
              <w:t xml:space="preserve"> </w:t>
            </w:r>
            <w:r>
              <w:rPr>
                <w:spacing w:val="-3"/>
                <w:highlight w:val="none"/>
              </w:rPr>
              <w:t>孔；</w:t>
            </w:r>
          </w:p>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rFonts w:hint="eastAsia"/>
                <w:spacing w:val="-4"/>
                <w:highlight w:val="none"/>
                <w:lang w:val="en-US" w:eastAsia="zh-CN"/>
              </w:rPr>
              <w:t>c</w:t>
            </w:r>
            <w:r>
              <w:rPr>
                <w:spacing w:val="-4"/>
                <w:highlight w:val="none"/>
              </w:rPr>
              <w:t>)</w:t>
            </w:r>
            <w:r>
              <w:rPr>
                <w:spacing w:val="-5"/>
                <w:highlight w:val="none"/>
              </w:rPr>
              <w:t>工作状态环境温度满足</w:t>
            </w:r>
            <w:r>
              <w:rPr>
                <w:spacing w:val="-29"/>
                <w:highlight w:val="none"/>
              </w:rPr>
              <w:t xml:space="preserve"> </w:t>
            </w:r>
            <w:r>
              <w:rPr>
                <w:spacing w:val="-5"/>
                <w:highlight w:val="none"/>
              </w:rPr>
              <w:t>5℃~55℃</w:t>
            </w:r>
            <w:r>
              <w:rPr>
                <w:spacing w:val="-58"/>
                <w:highlight w:val="none"/>
              </w:rPr>
              <w:t xml:space="preserve"> </w:t>
            </w:r>
            <w:r>
              <w:rPr>
                <w:spacing w:val="-5"/>
                <w:highlight w:val="none"/>
              </w:rPr>
              <w:t>;</w:t>
            </w:r>
            <w:r>
              <w:rPr>
                <w:spacing w:val="-2"/>
                <w:highlight w:val="none"/>
              </w:rPr>
              <w:t>其它参数应符合</w:t>
            </w:r>
            <w:r>
              <w:rPr>
                <w:spacing w:val="-25"/>
                <w:highlight w:val="none"/>
              </w:rPr>
              <w:t xml:space="preserve"> </w:t>
            </w:r>
            <w:r>
              <w:rPr>
                <w:spacing w:val="-2"/>
                <w:highlight w:val="none"/>
              </w:rPr>
              <w:t>GB/T12628</w:t>
            </w:r>
            <w:r>
              <w:rPr>
                <w:spacing w:val="-40"/>
                <w:highlight w:val="none"/>
              </w:rPr>
              <w:t xml:space="preserve"> </w:t>
            </w:r>
            <w:r>
              <w:rPr>
                <w:spacing w:val="-2"/>
                <w:highlight w:val="none"/>
              </w:rPr>
              <w:t>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*显卡</w:t>
            </w:r>
            <w:r>
              <w:rPr>
                <w:spacing w:val="-3"/>
                <w:highlight w:val="none"/>
              </w:rPr>
              <w:t>规格</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*显卡类</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型</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集成显卡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default"/>
                <w:spacing w:val="-3"/>
                <w:position w:val="4"/>
                <w:lang w:val="en-US" w:eastAsia="zh-CN"/>
              </w:rPr>
            </w:pPr>
            <w:r>
              <w:rPr>
                <w:rFonts w:hint="default"/>
                <w:spacing w:val="-3"/>
                <w:position w:val="4"/>
                <w:lang w:val="en-US" w:eastAsia="zh-CN"/>
              </w:rPr>
              <w:t>19</w:t>
            </w:r>
          </w:p>
        </w:tc>
        <w:tc>
          <w:tcPr>
            <w:tcW w:w="733" w:type="dxa"/>
            <w:shd w:val="clear" w:color="auto" w:fill="auto"/>
            <w:vAlign w:val="top"/>
          </w:tcPr>
          <w:p>
            <w:pPr>
              <w:pStyle w:val="69"/>
              <w:widowControl w:val="0"/>
              <w:spacing w:before="281" w:line="240" w:lineRule="exact"/>
              <w:ind w:left="108"/>
            </w:pPr>
            <w:r>
              <w:rPr>
                <w:spacing w:val="-3"/>
                <w:position w:val="4"/>
              </w:rPr>
              <w:t>产品</w:t>
            </w:r>
          </w:p>
          <w:p>
            <w:pPr>
              <w:pStyle w:val="69"/>
              <w:widowControl w:val="0"/>
              <w:spacing w:line="223" w:lineRule="auto"/>
              <w:ind w:left="108" w:leftChars="0"/>
              <w:rPr>
                <w:rFonts w:ascii="黑体" w:hAnsi="黑体" w:eastAsia="黑体" w:cs="黑体"/>
                <w:snapToGrid w:val="0"/>
                <w:color w:val="000000"/>
                <w:kern w:val="0"/>
                <w:sz w:val="18"/>
                <w:szCs w:val="18"/>
                <w:lang w:val="en-US" w:eastAsia="en-US" w:bidi="ar-SA"/>
              </w:rPr>
            </w:pPr>
            <w:r>
              <w:rPr>
                <w:spacing w:val="-3"/>
              </w:rPr>
              <w:t>规格</w:t>
            </w:r>
          </w:p>
        </w:tc>
        <w:tc>
          <w:tcPr>
            <w:tcW w:w="931" w:type="dxa"/>
            <w:vMerge w:val="continue"/>
            <w:shd w:val="clear" w:color="auto" w:fill="auto"/>
            <w:vAlign w:val="top"/>
          </w:tcPr>
          <w:p>
            <w:pPr>
              <w:widowControl w:val="0"/>
              <w:rPr>
                <w:rFonts w:ascii="Arial" w:hAnsi="Arial" w:eastAsia="Arial" w:cs="Arial"/>
                <w:snapToGrid w:val="0"/>
                <w:color w:val="000000"/>
                <w:kern w:val="0"/>
                <w:sz w:val="21"/>
                <w:szCs w:val="21"/>
                <w:lang w:val="en-US" w:eastAsia="en-US" w:bidi="ar-SA"/>
              </w:rPr>
            </w:pPr>
          </w:p>
        </w:tc>
        <w:tc>
          <w:tcPr>
            <w:tcW w:w="1073" w:type="dxa"/>
            <w:shd w:val="clear" w:color="auto" w:fill="auto"/>
            <w:vAlign w:val="top"/>
          </w:tcPr>
          <w:p>
            <w:pPr>
              <w:pStyle w:val="69"/>
              <w:widowControl w:val="0"/>
              <w:spacing w:before="160"/>
              <w:ind w:left="109" w:leftChars="0" w:right="167" w:rightChars="0" w:hanging="4" w:firstLineChars="0"/>
              <w:jc w:val="both"/>
              <w:rPr>
                <w:rFonts w:ascii="黑体" w:hAnsi="黑体" w:eastAsia="黑体" w:cs="黑体"/>
                <w:snapToGrid w:val="0"/>
                <w:color w:val="000000"/>
                <w:kern w:val="0"/>
                <w:sz w:val="18"/>
                <w:szCs w:val="18"/>
                <w:lang w:val="en-US" w:eastAsia="en-US" w:bidi="ar-SA"/>
              </w:rPr>
            </w:pPr>
            <w:r>
              <w:rPr>
                <w:spacing w:val="-1"/>
              </w:rPr>
              <w:t>*独立显</w:t>
            </w:r>
            <w:r>
              <w:rPr>
                <w:spacing w:val="-3"/>
              </w:rPr>
              <w:t>卡显存类</w:t>
            </w:r>
            <w:r>
              <w:rPr>
                <w:spacing w:val="2"/>
              </w:rPr>
              <w:t xml:space="preserve"> </w:t>
            </w:r>
            <w:r>
              <w:t>型</w:t>
            </w:r>
          </w:p>
        </w:tc>
        <w:tc>
          <w:tcPr>
            <w:tcW w:w="932" w:type="dxa"/>
            <w:shd w:val="clear" w:color="auto" w:fill="auto"/>
            <w:vAlign w:val="center"/>
          </w:tcPr>
          <w:p>
            <w:pPr>
              <w:pStyle w:val="69"/>
              <w:widowControl w:val="0"/>
              <w:spacing w:before="58" w:line="223" w:lineRule="auto"/>
              <w:jc w:val="center"/>
              <w:rPr>
                <w:rFonts w:ascii="黑体" w:hAnsi="黑体" w:eastAsia="黑体" w:cs="黑体"/>
                <w:snapToGrid w:val="0"/>
                <w:color w:val="000000"/>
                <w:kern w:val="0"/>
                <w:sz w:val="18"/>
                <w:szCs w:val="18"/>
                <w:lang w:val="en-US" w:eastAsia="en-US" w:bidi="ar-SA"/>
              </w:rPr>
            </w:pPr>
            <w:r>
              <w:t>否</w:t>
            </w:r>
          </w:p>
        </w:tc>
        <w:tc>
          <w:tcPr>
            <w:tcW w:w="4186" w:type="dxa"/>
            <w:shd w:val="clear" w:color="auto" w:fill="auto"/>
            <w:vAlign w:val="center"/>
          </w:tcPr>
          <w:p>
            <w:pPr>
              <w:pStyle w:val="69"/>
              <w:widowControl w:val="0"/>
              <w:spacing w:before="282" w:line="241" w:lineRule="auto"/>
              <w:ind w:right="549" w:rightChars="0" w:firstLine="1246" w:firstLineChars="700"/>
              <w:jc w:val="both"/>
              <w:rPr>
                <w:rFonts w:hint="eastAsia" w:ascii="黑体" w:hAnsi="黑体" w:eastAsia="黑体" w:cs="黑体"/>
                <w:snapToGrid w:val="0"/>
                <w:color w:val="000000"/>
                <w:kern w:val="0"/>
                <w:sz w:val="18"/>
                <w:szCs w:val="18"/>
                <w:lang w:val="en-US" w:eastAsia="zh-CN" w:bidi="ar-SA"/>
              </w:rPr>
            </w:pPr>
            <w:r>
              <w:rPr>
                <w:rFonts w:hint="eastAsia"/>
                <w:spacing w:val="-1"/>
                <w:lang w:val="en-US" w:eastAsia="zh-CN"/>
              </w:rPr>
              <w:t>无</w:t>
            </w:r>
            <w:r>
              <w:rPr>
                <w:spacing w:val="-1"/>
              </w:rPr>
              <w:t>配置独立显卡</w:t>
            </w:r>
            <w:r>
              <w:rPr>
                <w:rFonts w:hint="eastAsia"/>
                <w:spacing w:val="-1"/>
                <w:lang w:val="en-US" w:eastAsia="zh-CN"/>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default"/>
                <w:spacing w:val="-3"/>
                <w:position w:val="4"/>
                <w:lang w:val="en-US" w:eastAsia="zh-CN"/>
              </w:rPr>
            </w:pPr>
            <w:r>
              <w:rPr>
                <w:rFonts w:hint="default"/>
                <w:spacing w:val="-3"/>
                <w:position w:val="4"/>
                <w:lang w:val="en-US" w:eastAsia="zh-CN"/>
              </w:rPr>
              <w:t>20</w:t>
            </w:r>
          </w:p>
        </w:tc>
        <w:tc>
          <w:tcPr>
            <w:tcW w:w="733" w:type="dxa"/>
            <w:shd w:val="clear" w:color="auto" w:fill="auto"/>
            <w:vAlign w:val="top"/>
          </w:tcPr>
          <w:p>
            <w:pPr>
              <w:pStyle w:val="69"/>
              <w:widowControl w:val="0"/>
              <w:spacing w:before="162" w:line="240" w:lineRule="exact"/>
              <w:ind w:left="108"/>
            </w:pPr>
            <w:r>
              <w:rPr>
                <w:spacing w:val="-3"/>
                <w:position w:val="4"/>
              </w:rPr>
              <w:t>产品</w:t>
            </w:r>
          </w:p>
          <w:p>
            <w:pPr>
              <w:pStyle w:val="69"/>
              <w:widowControl w:val="0"/>
              <w:spacing w:line="223" w:lineRule="auto"/>
              <w:ind w:left="108" w:leftChars="0"/>
              <w:rPr>
                <w:rFonts w:ascii="黑体" w:hAnsi="黑体" w:eastAsia="黑体" w:cs="黑体"/>
                <w:snapToGrid w:val="0"/>
                <w:color w:val="000000"/>
                <w:kern w:val="0"/>
                <w:sz w:val="18"/>
                <w:szCs w:val="18"/>
                <w:lang w:val="en-US" w:eastAsia="en-US" w:bidi="ar-SA"/>
              </w:rPr>
            </w:pPr>
            <w:r>
              <w:rPr>
                <w:spacing w:val="-3"/>
              </w:rPr>
              <w:t>规格</w:t>
            </w:r>
          </w:p>
        </w:tc>
        <w:tc>
          <w:tcPr>
            <w:tcW w:w="931" w:type="dxa"/>
            <w:vMerge w:val="continue"/>
            <w:shd w:val="clear" w:color="auto" w:fill="auto"/>
            <w:vAlign w:val="center"/>
          </w:tcPr>
          <w:p>
            <w:pPr>
              <w:pStyle w:val="69"/>
              <w:widowControl w:val="0"/>
              <w:spacing w:line="240" w:lineRule="auto"/>
              <w:ind w:left="0" w:leftChars="0" w:right="0" w:rightChars="0" w:firstLine="0" w:firstLineChars="0"/>
              <w:jc w:val="both"/>
              <w:rPr>
                <w:spacing w:val="-2"/>
                <w:highlight w:val="none"/>
              </w:rPr>
            </w:pPr>
          </w:p>
        </w:tc>
        <w:tc>
          <w:tcPr>
            <w:tcW w:w="1073" w:type="dxa"/>
            <w:shd w:val="clear" w:color="auto" w:fill="auto"/>
            <w:vAlign w:val="top"/>
          </w:tcPr>
          <w:p>
            <w:pPr>
              <w:pStyle w:val="69"/>
              <w:widowControl w:val="0"/>
              <w:spacing w:before="42" w:line="230" w:lineRule="auto"/>
              <w:ind w:left="109" w:leftChars="0" w:right="167" w:rightChars="0" w:hanging="4" w:firstLineChars="0"/>
              <w:jc w:val="both"/>
              <w:rPr>
                <w:rFonts w:ascii="黑体" w:hAnsi="黑体" w:eastAsia="黑体" w:cs="黑体"/>
                <w:snapToGrid w:val="0"/>
                <w:color w:val="000000"/>
                <w:kern w:val="0"/>
                <w:sz w:val="18"/>
                <w:szCs w:val="18"/>
                <w:lang w:val="en-US" w:eastAsia="en-US" w:bidi="ar-SA"/>
              </w:rPr>
            </w:pPr>
            <w:r>
              <w:rPr>
                <w:spacing w:val="-1"/>
              </w:rPr>
              <w:t>*独立显</w:t>
            </w:r>
            <w:r>
              <w:rPr>
                <w:spacing w:val="-3"/>
              </w:rPr>
              <w:t>卡显存位</w:t>
            </w:r>
            <w:r>
              <w:rPr>
                <w:spacing w:val="2"/>
              </w:rPr>
              <w:t xml:space="preserve"> </w:t>
            </w:r>
            <w:r>
              <w:t>宽</w:t>
            </w:r>
          </w:p>
        </w:tc>
        <w:tc>
          <w:tcPr>
            <w:tcW w:w="932" w:type="dxa"/>
            <w:shd w:val="clear" w:color="auto" w:fill="auto"/>
            <w:vAlign w:val="center"/>
          </w:tcPr>
          <w:p>
            <w:pPr>
              <w:pStyle w:val="69"/>
              <w:widowControl w:val="0"/>
              <w:spacing w:before="282" w:line="222" w:lineRule="auto"/>
              <w:jc w:val="center"/>
              <w:rPr>
                <w:rFonts w:ascii="黑体" w:hAnsi="黑体" w:eastAsia="黑体" w:cs="黑体"/>
                <w:snapToGrid w:val="0"/>
                <w:color w:val="000000"/>
                <w:kern w:val="0"/>
                <w:sz w:val="18"/>
                <w:szCs w:val="18"/>
                <w:lang w:val="en-US" w:eastAsia="en-US" w:bidi="ar-SA"/>
              </w:rPr>
            </w:pPr>
            <w:r>
              <w:t>是</w:t>
            </w:r>
          </w:p>
        </w:tc>
        <w:tc>
          <w:tcPr>
            <w:tcW w:w="4186" w:type="dxa"/>
            <w:shd w:val="clear" w:color="auto" w:fill="auto"/>
            <w:vAlign w:val="center"/>
          </w:tcPr>
          <w:p>
            <w:pPr>
              <w:pStyle w:val="69"/>
              <w:widowControl w:val="0"/>
              <w:spacing w:before="282" w:line="213" w:lineRule="auto"/>
              <w:jc w:val="center"/>
              <w:rPr>
                <w:rFonts w:ascii="黑体" w:hAnsi="黑体" w:eastAsia="黑体" w:cs="黑体"/>
                <w:snapToGrid w:val="0"/>
                <w:color w:val="000000"/>
                <w:kern w:val="0"/>
                <w:sz w:val="18"/>
                <w:szCs w:val="18"/>
                <w:lang w:val="en-US" w:eastAsia="en-US" w:bidi="ar-SA"/>
              </w:rPr>
            </w:pPr>
            <w:r>
              <w:rPr>
                <w:rFonts w:hint="eastAsia"/>
                <w:spacing w:val="-1"/>
                <w:lang w:val="en-US" w:eastAsia="zh-CN"/>
              </w:rPr>
              <w:t>无</w:t>
            </w:r>
            <w:r>
              <w:rPr>
                <w:spacing w:val="-1"/>
              </w:rPr>
              <w:t>配置独立显卡</w:t>
            </w:r>
            <w:r>
              <w:rPr>
                <w:rFonts w:hint="eastAsia"/>
                <w:spacing w:val="-1"/>
                <w:lang w:val="en-US" w:eastAsia="zh-CN"/>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default"/>
                <w:spacing w:val="-3"/>
                <w:position w:val="4"/>
                <w:lang w:val="en-US" w:eastAsia="zh-CN"/>
              </w:rPr>
            </w:pPr>
            <w:r>
              <w:rPr>
                <w:rFonts w:hint="default"/>
                <w:spacing w:val="-3"/>
                <w:position w:val="4"/>
                <w:lang w:val="en-US" w:eastAsia="zh-CN"/>
              </w:rPr>
              <w:t>21</w:t>
            </w:r>
          </w:p>
        </w:tc>
        <w:tc>
          <w:tcPr>
            <w:tcW w:w="733" w:type="dxa"/>
            <w:shd w:val="clear" w:color="auto" w:fill="auto"/>
            <w:vAlign w:val="top"/>
          </w:tcPr>
          <w:p>
            <w:pPr>
              <w:pStyle w:val="69"/>
              <w:widowControl w:val="0"/>
              <w:spacing w:before="162" w:line="240" w:lineRule="exact"/>
              <w:ind w:left="108"/>
            </w:pPr>
            <w:r>
              <w:rPr>
                <w:spacing w:val="-3"/>
                <w:position w:val="4"/>
              </w:rPr>
              <w:t>产品</w:t>
            </w:r>
          </w:p>
          <w:p>
            <w:pPr>
              <w:pStyle w:val="69"/>
              <w:widowControl w:val="0"/>
              <w:spacing w:line="223" w:lineRule="auto"/>
              <w:ind w:left="108" w:leftChars="0"/>
              <w:rPr>
                <w:rFonts w:ascii="黑体" w:hAnsi="黑体" w:eastAsia="黑体" w:cs="黑体"/>
                <w:snapToGrid w:val="0"/>
                <w:color w:val="000000"/>
                <w:kern w:val="0"/>
                <w:sz w:val="18"/>
                <w:szCs w:val="18"/>
                <w:lang w:val="en-US" w:eastAsia="en-US" w:bidi="ar-SA"/>
              </w:rPr>
            </w:pPr>
            <w:r>
              <w:rPr>
                <w:spacing w:val="-3"/>
              </w:rPr>
              <w:t>规格</w:t>
            </w:r>
          </w:p>
        </w:tc>
        <w:tc>
          <w:tcPr>
            <w:tcW w:w="931" w:type="dxa"/>
            <w:vMerge w:val="continue"/>
            <w:shd w:val="clear" w:color="auto" w:fill="auto"/>
            <w:vAlign w:val="center"/>
          </w:tcPr>
          <w:p>
            <w:pPr>
              <w:pStyle w:val="69"/>
              <w:widowControl w:val="0"/>
              <w:spacing w:line="240" w:lineRule="auto"/>
              <w:ind w:left="0" w:leftChars="0" w:right="0" w:rightChars="0" w:firstLine="0" w:firstLineChars="0"/>
              <w:jc w:val="both"/>
              <w:rPr>
                <w:spacing w:val="-2"/>
                <w:highlight w:val="none"/>
              </w:rPr>
            </w:pPr>
          </w:p>
        </w:tc>
        <w:tc>
          <w:tcPr>
            <w:tcW w:w="1073" w:type="dxa"/>
            <w:shd w:val="clear" w:color="auto" w:fill="auto"/>
            <w:vAlign w:val="top"/>
          </w:tcPr>
          <w:p>
            <w:pPr>
              <w:pStyle w:val="69"/>
              <w:widowControl w:val="0"/>
              <w:spacing w:before="42" w:line="230" w:lineRule="auto"/>
              <w:ind w:left="109" w:leftChars="0" w:right="167" w:rightChars="0" w:hanging="4" w:firstLineChars="0"/>
              <w:jc w:val="both"/>
              <w:rPr>
                <w:rFonts w:ascii="黑体" w:hAnsi="黑体" w:eastAsia="黑体" w:cs="黑体"/>
                <w:snapToGrid w:val="0"/>
                <w:color w:val="000000"/>
                <w:kern w:val="0"/>
                <w:sz w:val="18"/>
                <w:szCs w:val="18"/>
                <w:lang w:val="en-US" w:eastAsia="en-US" w:bidi="ar-SA"/>
              </w:rPr>
            </w:pPr>
            <w:r>
              <w:rPr>
                <w:spacing w:val="-1"/>
              </w:rPr>
              <w:t>*独立显</w:t>
            </w:r>
            <w:r>
              <w:rPr>
                <w:spacing w:val="-3"/>
              </w:rPr>
              <w:t>卡显存容</w:t>
            </w:r>
            <w:r>
              <w:rPr>
                <w:spacing w:val="2"/>
              </w:rPr>
              <w:t xml:space="preserve"> </w:t>
            </w:r>
            <w:r>
              <w:t>量</w:t>
            </w:r>
          </w:p>
        </w:tc>
        <w:tc>
          <w:tcPr>
            <w:tcW w:w="932" w:type="dxa"/>
            <w:shd w:val="clear" w:color="auto" w:fill="auto"/>
            <w:vAlign w:val="center"/>
          </w:tcPr>
          <w:p>
            <w:pPr>
              <w:pStyle w:val="69"/>
              <w:widowControl w:val="0"/>
              <w:spacing w:before="282" w:line="222" w:lineRule="auto"/>
              <w:jc w:val="center"/>
              <w:rPr>
                <w:rFonts w:ascii="黑体" w:hAnsi="黑体" w:eastAsia="黑体" w:cs="黑体"/>
                <w:snapToGrid w:val="0"/>
                <w:color w:val="000000"/>
                <w:kern w:val="0"/>
                <w:sz w:val="18"/>
                <w:szCs w:val="18"/>
                <w:lang w:val="en-US" w:eastAsia="en-US" w:bidi="ar-SA"/>
              </w:rPr>
            </w:pPr>
            <w:r>
              <w:t>是</w:t>
            </w:r>
          </w:p>
        </w:tc>
        <w:tc>
          <w:tcPr>
            <w:tcW w:w="4186" w:type="dxa"/>
            <w:shd w:val="clear" w:color="auto" w:fill="auto"/>
            <w:vAlign w:val="center"/>
          </w:tcPr>
          <w:p>
            <w:pPr>
              <w:pStyle w:val="69"/>
              <w:widowControl w:val="0"/>
              <w:spacing w:before="282" w:line="213" w:lineRule="auto"/>
              <w:jc w:val="center"/>
              <w:rPr>
                <w:rFonts w:ascii="黑体" w:hAnsi="黑体" w:eastAsia="黑体" w:cs="黑体"/>
                <w:snapToGrid w:val="0"/>
                <w:color w:val="000000"/>
                <w:kern w:val="0"/>
                <w:sz w:val="18"/>
                <w:szCs w:val="18"/>
                <w:lang w:val="en-US" w:eastAsia="en-US" w:bidi="ar-SA"/>
              </w:rPr>
            </w:pPr>
            <w:r>
              <w:rPr>
                <w:rFonts w:hint="eastAsia"/>
                <w:spacing w:val="-1"/>
                <w:lang w:val="en-US" w:eastAsia="zh-CN"/>
              </w:rPr>
              <w:t>无</w:t>
            </w:r>
            <w:r>
              <w:rPr>
                <w:spacing w:val="-1"/>
              </w:rPr>
              <w:t>配置独立显卡</w:t>
            </w:r>
            <w:r>
              <w:rPr>
                <w:rFonts w:hint="eastAsia"/>
                <w:spacing w:val="-1"/>
                <w:lang w:val="en-US" w:eastAsia="zh-CN"/>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widowControl w:val="0"/>
              <w:tabs>
                <w:tab w:val="left" w:pos="298"/>
              </w:tabs>
              <w:spacing w:line="240" w:lineRule="auto"/>
              <w:ind w:left="0" w:right="0" w:firstLine="0"/>
              <w:jc w:val="left"/>
              <w:rPr>
                <w:rFonts w:hint="eastAsia" w:eastAsia="宋体"/>
                <w:highlight w:val="none"/>
                <w:vertAlign w:val="baseline"/>
                <w:lang w:val="en-US" w:eastAsia="zh-CN"/>
              </w:rPr>
            </w:pPr>
            <w:r>
              <w:rPr>
                <w:rFonts w:ascii="黑体" w:hAnsi="黑体" w:eastAsia="黑体" w:cs="黑体"/>
                <w:snapToGrid w:val="0"/>
                <w:color w:val="000000"/>
                <w:spacing w:val="-3"/>
                <w:kern w:val="0"/>
                <w:sz w:val="18"/>
                <w:szCs w:val="18"/>
                <w:highlight w:val="none"/>
                <w:lang w:val="en-US" w:eastAsia="en-US" w:bidi="ar-SA"/>
              </w:rPr>
              <w:t>*</w:t>
            </w:r>
            <w:r>
              <w:rPr>
                <w:rFonts w:hint="eastAsia" w:ascii="黑体" w:hAnsi="黑体" w:eastAsia="黑体" w:cs="黑体"/>
                <w:snapToGrid w:val="0"/>
                <w:color w:val="000000"/>
                <w:spacing w:val="-3"/>
                <w:kern w:val="0"/>
                <w:sz w:val="18"/>
                <w:szCs w:val="18"/>
                <w:highlight w:val="none"/>
                <w:lang w:val="en-US" w:eastAsia="zh-CN" w:bidi="ar-SA"/>
              </w:rPr>
              <w:t>外设规格</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7"/>
                <w:highlight w:val="none"/>
              </w:rPr>
              <w:t>*鼠标数</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≥1</w:t>
            </w:r>
            <w:r>
              <w:rPr>
                <w:spacing w:val="-38"/>
                <w:highlight w:val="none"/>
              </w:rPr>
              <w:t xml:space="preserve"> </w:t>
            </w:r>
            <w:r>
              <w:rPr>
                <w:spacing w:val="-9"/>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7"/>
                <w:highlight w:val="none"/>
              </w:rPr>
              <w:t>*键盘数</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≥1</w:t>
            </w:r>
            <w:r>
              <w:rPr>
                <w:spacing w:val="-38"/>
                <w:highlight w:val="none"/>
              </w:rPr>
              <w:t xml:space="preserve"> </w:t>
            </w:r>
            <w:r>
              <w:rPr>
                <w:spacing w:val="-9"/>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*键盘按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键数目</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104</w:t>
            </w:r>
            <w:r>
              <w:rPr>
                <w:spacing w:val="-38"/>
                <w:highlight w:val="none"/>
              </w:rPr>
              <w:t xml:space="preserve"> </w:t>
            </w:r>
            <w:r>
              <w:rPr>
                <w:spacing w:val="-3"/>
                <w:highlight w:val="none"/>
              </w:rPr>
              <w:t>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*键盘连</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接方式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eastAsia" w:ascii="黑体" w:hAnsi="黑体" w:eastAsia="黑体" w:cs="黑体"/>
                <w:snapToGrid w:val="0"/>
                <w:color w:val="000000"/>
                <w:kern w:val="0"/>
                <w:sz w:val="18"/>
                <w:szCs w:val="18"/>
                <w:highlight w:val="none"/>
                <w:lang w:val="en-US" w:eastAsia="zh-CN" w:bidi="ar-SA"/>
              </w:rPr>
            </w:pPr>
            <w:r>
              <w:rPr>
                <w:spacing w:val="-2"/>
                <w:highlight w:val="none"/>
              </w:rPr>
              <w:t>有线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34</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highlight w:val="none"/>
              </w:rPr>
              <w:t>*键盘键</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程</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2.3mm</w:t>
            </w:r>
            <w:r>
              <w:rPr>
                <w:spacing w:val="16"/>
                <w:highlight w:val="none"/>
              </w:rPr>
              <w:t xml:space="preserve"> </w:t>
            </w:r>
            <w:r>
              <w:rPr>
                <w:spacing w:val="-2"/>
                <w:highlight w:val="none"/>
              </w:rPr>
              <w:t>~ 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*键盘按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键压力</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按键压力在</w:t>
            </w:r>
            <w:r>
              <w:rPr>
                <w:spacing w:val="-35"/>
                <w:highlight w:val="none"/>
              </w:rPr>
              <w:t xml:space="preserve"> </w:t>
            </w:r>
            <w:r>
              <w:rPr>
                <w:spacing w:val="-1"/>
                <w:highlight w:val="none"/>
              </w:rPr>
              <w:t>0.54 N±0.14N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*有线键</w:t>
            </w:r>
            <w:r>
              <w:rPr>
                <w:highlight w:val="none"/>
              </w:rPr>
              <w:t xml:space="preserve">  </w:t>
            </w:r>
            <w:r>
              <w:rPr>
                <w:spacing w:val="-2"/>
                <w:highlight w:val="none"/>
              </w:rPr>
              <w:t>盘连接线</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≥1.5</w:t>
            </w:r>
            <w:r>
              <w:rPr>
                <w:spacing w:val="-33"/>
                <w:highlight w:val="none"/>
              </w:rPr>
              <w:t xml:space="preserve"> </w:t>
            </w:r>
            <w:r>
              <w:rPr>
                <w:spacing w:val="-6"/>
                <w:highlight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*键盘颜</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色</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eastAsia" w:ascii="黑体" w:hAnsi="黑体" w:eastAsia="黑体" w:cs="黑体"/>
                <w:snapToGrid w:val="0"/>
                <w:color w:val="000000"/>
                <w:kern w:val="0"/>
                <w:sz w:val="18"/>
                <w:szCs w:val="18"/>
                <w:highlight w:val="none"/>
                <w:lang w:val="en-US" w:eastAsia="zh-CN" w:bidi="ar-SA"/>
              </w:rPr>
            </w:pPr>
            <w:r>
              <w:rPr>
                <w:spacing w:val="-1"/>
                <w:highlight w:val="none"/>
              </w:rPr>
              <w:t>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*鼠标连</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接方式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eastAsia" w:ascii="黑体" w:hAnsi="黑体" w:eastAsia="黑体" w:cs="黑体"/>
                <w:snapToGrid w:val="0"/>
                <w:color w:val="000000"/>
                <w:kern w:val="0"/>
                <w:sz w:val="18"/>
                <w:szCs w:val="18"/>
                <w:highlight w:val="none"/>
                <w:lang w:val="en-US" w:eastAsia="zh-CN" w:bidi="ar-SA"/>
              </w:rPr>
            </w:pPr>
            <w:r>
              <w:rPr>
                <w:spacing w:val="-2"/>
                <w:highlight w:val="none"/>
              </w:rPr>
              <w:t>有线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*有线鼠</w:t>
            </w:r>
            <w:r>
              <w:rPr>
                <w:highlight w:val="none"/>
              </w:rPr>
              <w:t xml:space="preserve">  </w:t>
            </w:r>
            <w:r>
              <w:rPr>
                <w:spacing w:val="-1"/>
                <w:highlight w:val="none"/>
              </w:rPr>
              <w:t>标连接线</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≥1.5</w:t>
            </w:r>
            <w:r>
              <w:rPr>
                <w:spacing w:val="-33"/>
                <w:highlight w:val="none"/>
              </w:rPr>
              <w:t xml:space="preserve"> </w:t>
            </w:r>
            <w:r>
              <w:rPr>
                <w:spacing w:val="-6"/>
                <w:highlight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*鼠标</w:t>
            </w:r>
            <w:r>
              <w:rPr>
                <w:spacing w:val="-39"/>
                <w:highlight w:val="none"/>
              </w:rPr>
              <w:t xml:space="preserve"> </w:t>
            </w:r>
            <w:r>
              <w:rPr>
                <w:spacing w:val="-2"/>
                <w:highlight w:val="none"/>
              </w:rPr>
              <w:t>DPI</w:t>
            </w:r>
            <w:r>
              <w:rPr>
                <w:highlight w:val="none"/>
              </w:rPr>
              <w:t xml:space="preserve"> </w:t>
            </w:r>
            <w:r>
              <w:rPr>
                <w:spacing w:val="-4"/>
                <w:highlight w:val="none"/>
              </w:rPr>
              <w:t>分辨率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800</w:t>
            </w:r>
            <w:r>
              <w:rPr>
                <w:rFonts w:hint="eastAsia"/>
                <w:spacing w:val="-4"/>
                <w:highlight w:val="none"/>
                <w:lang w:eastAsia="zh-CN"/>
              </w:rPr>
              <w:t>～</w:t>
            </w:r>
            <w:r>
              <w:rPr>
                <w:spacing w:val="-4"/>
                <w:highlight w:val="none"/>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*鼠标颜</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色</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eastAsia" w:ascii="黑体" w:hAnsi="黑体" w:eastAsia="黑体" w:cs="黑体"/>
                <w:snapToGrid w:val="0"/>
                <w:color w:val="000000"/>
                <w:kern w:val="0"/>
                <w:sz w:val="18"/>
                <w:szCs w:val="18"/>
                <w:highlight w:val="none"/>
                <w:lang w:val="en-US" w:eastAsia="zh-CN" w:bidi="ar-SA"/>
              </w:rPr>
            </w:pPr>
            <w:r>
              <w:rPr>
                <w:spacing w:val="-1"/>
                <w:highlight w:val="none"/>
              </w:rPr>
              <w:t>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*鼠标其</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他要求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其它参数符合</w:t>
            </w:r>
            <w:r>
              <w:rPr>
                <w:spacing w:val="-38"/>
                <w:highlight w:val="none"/>
              </w:rPr>
              <w:t xml:space="preserve"> </w:t>
            </w:r>
            <w:r>
              <w:rPr>
                <w:spacing w:val="-2"/>
                <w:highlight w:val="none"/>
              </w:rPr>
              <w:t>GB/T26245</w:t>
            </w:r>
            <w:r>
              <w:rPr>
                <w:spacing w:val="-27"/>
                <w:highlight w:val="none"/>
              </w:rPr>
              <w:t xml:space="preserve"> </w:t>
            </w:r>
            <w:r>
              <w:rPr>
                <w:spacing w:val="-2"/>
                <w:highlight w:val="none"/>
              </w:rPr>
              <w:t>的相关规</w:t>
            </w:r>
            <w:r>
              <w:rPr>
                <w:highlight w:val="none"/>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*网络</w:t>
            </w:r>
            <w:r>
              <w:rPr>
                <w:spacing w:val="-3"/>
                <w:highlight w:val="none"/>
              </w:rPr>
              <w:t>设备规格</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*有线网</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卡数量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3"/>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*外部</w:t>
            </w:r>
            <w:r>
              <w:rPr>
                <w:spacing w:val="-3"/>
                <w:highlight w:val="none"/>
              </w:rPr>
              <w:t>接口规格</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*USB</w:t>
            </w:r>
            <w:r>
              <w:rPr>
                <w:spacing w:val="-37"/>
                <w:highlight w:val="none"/>
              </w:rPr>
              <w:t xml:space="preserve"> </w:t>
            </w:r>
            <w:r>
              <w:rPr>
                <w:spacing w:val="-2"/>
                <w:highlight w:val="none"/>
              </w:rPr>
              <w:t>接口</w:t>
            </w:r>
            <w:r>
              <w:rPr>
                <w:highlight w:val="none"/>
              </w:rPr>
              <w:t xml:space="preserve"> </w:t>
            </w:r>
            <w:r>
              <w:rPr>
                <w:spacing w:val="-4"/>
                <w:highlight w:val="none"/>
              </w:rPr>
              <w:t>数量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前面板共7个USB接口，其中：</w:t>
            </w: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rFonts w:hint="eastAsia"/>
                <w:spacing w:val="-3"/>
                <w:highlight w:val="none"/>
              </w:rPr>
              <w:t>USB3.0 7个（其中一个为TypeC）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*视频接</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0"/>
                <w:highlight w:val="none"/>
              </w:rPr>
              <w:t>口数量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eastAsia" w:ascii="黑体" w:hAnsi="黑体" w:eastAsia="黑体" w:cs="黑体"/>
                <w:snapToGrid w:val="0"/>
                <w:color w:val="000000"/>
                <w:kern w:val="0"/>
                <w:sz w:val="18"/>
                <w:szCs w:val="18"/>
                <w:highlight w:val="none"/>
                <w:lang w:val="en-US" w:eastAsia="zh-CN" w:bidi="ar-SA"/>
              </w:rPr>
            </w:pPr>
            <w:r>
              <w:rPr>
                <w:spacing w:val="-13"/>
                <w:highlight w:val="none"/>
              </w:rPr>
              <w:t>≥</w:t>
            </w:r>
            <w:r>
              <w:rPr>
                <w:rFonts w:hint="eastAsia"/>
                <w:spacing w:val="-13"/>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*音频接</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0"/>
                <w:highlight w:val="none"/>
              </w:rPr>
              <w:t>口数量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eastAsia" w:ascii="黑体" w:hAnsi="黑体" w:eastAsia="黑体" w:cs="黑体"/>
                <w:snapToGrid w:val="0"/>
                <w:color w:val="000000"/>
                <w:kern w:val="0"/>
                <w:sz w:val="18"/>
                <w:szCs w:val="18"/>
                <w:highlight w:val="none"/>
                <w:lang w:val="en-US" w:eastAsia="zh-CN" w:bidi="ar-SA"/>
              </w:rPr>
            </w:pPr>
            <w:r>
              <w:rPr>
                <w:spacing w:val="-13"/>
                <w:highlight w:val="none"/>
              </w:rPr>
              <w:t>≥</w:t>
            </w:r>
            <w:r>
              <w:rPr>
                <w:rFonts w:hint="eastAsia"/>
                <w:spacing w:val="-13"/>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47</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*整机</w:t>
            </w:r>
            <w:r>
              <w:rPr>
                <w:highlight w:val="none"/>
              </w:rPr>
              <w:t xml:space="preserve"> </w:t>
            </w:r>
            <w:r>
              <w:rPr>
                <w:spacing w:val="-3"/>
                <w:highlight w:val="none"/>
              </w:rPr>
              <w:t>基础</w:t>
            </w:r>
            <w:r>
              <w:rPr>
                <w:highlight w:val="none"/>
              </w:rPr>
              <w:t xml:space="preserve"> </w:t>
            </w:r>
            <w:r>
              <w:rPr>
                <w:spacing w:val="-3"/>
                <w:highlight w:val="none"/>
              </w:rPr>
              <w:t>规格</w:t>
            </w: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position w:val="4"/>
                <w:highlight w:val="none"/>
              </w:rPr>
              <w:t>*整机外</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观</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highlight w:val="none"/>
              </w:rPr>
            </w:pPr>
            <w:r>
              <w:rPr>
                <w:spacing w:val="-7"/>
                <w:highlight w:val="none"/>
              </w:rPr>
              <w:t>a) 产品表面</w:t>
            </w:r>
            <w:r>
              <w:rPr>
                <w:rFonts w:hint="eastAsia"/>
                <w:spacing w:val="-7"/>
                <w:highlight w:val="none"/>
                <w:lang w:val="en-US" w:eastAsia="zh-CN"/>
              </w:rPr>
              <w:t>没</w:t>
            </w:r>
            <w:r>
              <w:rPr>
                <w:spacing w:val="-7"/>
                <w:highlight w:val="none"/>
              </w:rPr>
              <w:t>有凹痕、划伤、裂缝、</w:t>
            </w:r>
            <w:r>
              <w:rPr>
                <w:highlight w:val="none"/>
              </w:rPr>
              <w:t xml:space="preserve"> </w:t>
            </w:r>
            <w:r>
              <w:rPr>
                <w:spacing w:val="-2"/>
                <w:highlight w:val="none"/>
              </w:rPr>
              <w:t>变形和污染等。表面涂层均匀，</w:t>
            </w:r>
            <w:r>
              <w:rPr>
                <w:rFonts w:hint="eastAsia"/>
                <w:spacing w:val="-2"/>
                <w:highlight w:val="none"/>
                <w:lang w:val="en-US" w:eastAsia="zh-CN"/>
              </w:rPr>
              <w:t>没有</w:t>
            </w:r>
            <w:r>
              <w:rPr>
                <w:spacing w:val="-2"/>
                <w:highlight w:val="none"/>
              </w:rPr>
              <w:t>起泡</w:t>
            </w:r>
            <w:r>
              <w:rPr>
                <w:rFonts w:hint="eastAsia"/>
                <w:spacing w:val="-2"/>
                <w:highlight w:val="none"/>
                <w:lang w:eastAsia="zh-CN"/>
              </w:rPr>
              <w:t>、</w:t>
            </w:r>
            <w:r>
              <w:rPr>
                <w:spacing w:val="-2"/>
                <w:highlight w:val="none"/>
              </w:rPr>
              <w:t>龟裂、脱落和磨损，金属零部</w:t>
            </w:r>
            <w:r>
              <w:rPr>
                <w:spacing w:val="-1"/>
                <w:highlight w:val="none"/>
              </w:rPr>
              <w:t>件无锈蚀及其它机械损伤；</w:t>
            </w: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3"/>
                <w:highlight w:val="none"/>
              </w:rPr>
              <w:t>b) 产品表面说明功能的文字</w:t>
            </w:r>
            <w:r>
              <w:rPr>
                <w:rFonts w:hint="eastAsia"/>
                <w:spacing w:val="-3"/>
                <w:highlight w:val="none"/>
                <w:lang w:eastAsia="zh-CN"/>
              </w:rPr>
              <w:t>、</w:t>
            </w:r>
            <w:r>
              <w:rPr>
                <w:spacing w:val="-3"/>
                <w:highlight w:val="none"/>
              </w:rPr>
              <w:t>符号</w:t>
            </w:r>
            <w:r>
              <w:rPr>
                <w:rFonts w:hint="eastAsia"/>
                <w:spacing w:val="-3"/>
                <w:highlight w:val="none"/>
                <w:lang w:eastAsia="zh-CN"/>
              </w:rPr>
              <w:t>、</w:t>
            </w:r>
            <w:r>
              <w:rPr>
                <w:spacing w:val="-1"/>
                <w:highlight w:val="none"/>
              </w:rPr>
              <w:t>标志，清晰、端正、牢固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*状态指</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8"/>
                <w:highlight w:val="none"/>
              </w:rPr>
              <w:t>示灯</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rFonts w:hint="eastAsia"/>
                <w:spacing w:val="-1"/>
                <w:highlight w:val="none"/>
              </w:rPr>
              <w:t>有电源指示灯，位于电源按键上，可以指示开机运行状态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49</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position w:val="4"/>
                <w:highlight w:val="none"/>
              </w:rPr>
              <w:t>*整机结</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构</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a) 机箱应符合 GB/T 4208、GB/T 26246</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的相关规定；</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b) 产品内部结构应符合通用部件的</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安装需求；</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c) 所有输入输出接口应符合相关国</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家或行业标准；</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d) 产品零部件应紧固无松动，可插拔</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部件应可靠连接，开关、按钮和其它</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控制部件应灵活可靠，布局应方便使</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用；</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e) 所有 I/O 连接器及需插接线缆的部</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位应预留采购人操作空间，方便插拔</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解锁与插拔线缆；</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f) 可插拔板卡插槽部位应预留安装、</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拆卸或更换板卡空间；</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g) 拆装可能接触到的金属剪口或金</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属尖角部位应做防划伤处理，以保证</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安全；</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h) 整机内部走线应规整，固线结构和</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位置要合理可靠并做防割线处理，需</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便于理线和插拔操作，走线应不影响</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系统各主要部件组装和拆卸；</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i) 如需通过孔走线，过线孔应做防割</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线处理；</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j) 各插头位置和插拔方向应合理，应</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做到插拔无障碍设计，具备防呆设计，</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有效避免误操作；</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k) 各主要部件拆装无障碍，使用常规</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工具拆装，无特殊拆装工具需求；</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l) 各主要部件拆装步骤要少，各自拆</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装需避免相互干扰；</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m) 对于整机或零部件外表面为高亮</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面的，应粘贴保护膜，保护膜需粘贴</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牢固，运输、组装等过程不易脱落，</w:t>
            </w: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rFonts w:hint="eastAsia"/>
                <w:spacing w:val="-3"/>
                <w:highlight w:val="none"/>
              </w:rPr>
              <w:t>撕下无残留；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*机箱防</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护要求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5"/>
                <w:highlight w:val="none"/>
              </w:rPr>
              <w:t>机箱应符合</w:t>
            </w:r>
            <w:r>
              <w:rPr>
                <w:spacing w:val="-27"/>
                <w:highlight w:val="none"/>
              </w:rPr>
              <w:t xml:space="preserve"> </w:t>
            </w:r>
            <w:r>
              <w:rPr>
                <w:spacing w:val="-5"/>
                <w:highlight w:val="none"/>
              </w:rPr>
              <w:t>GB/T4208</w:t>
            </w:r>
            <w:r>
              <w:rPr>
                <w:spacing w:val="-22"/>
                <w:highlight w:val="none"/>
              </w:rPr>
              <w:t xml:space="preserve"> </w:t>
            </w:r>
            <w:r>
              <w:rPr>
                <w:spacing w:val="-5"/>
                <w:highlight w:val="none"/>
              </w:rPr>
              <w:t>中IP20</w:t>
            </w:r>
            <w:r>
              <w:rPr>
                <w:spacing w:val="-29"/>
                <w:highlight w:val="none"/>
              </w:rPr>
              <w:t xml:space="preserve"> </w:t>
            </w:r>
            <w:r>
              <w:rPr>
                <w:spacing w:val="-5"/>
                <w:highlight w:val="none"/>
              </w:rPr>
              <w:t>防护要</w:t>
            </w:r>
            <w:r>
              <w:rPr>
                <w:highlight w:val="none"/>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*整机噪</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音</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产品工作在空闲状态下，产品的声功率级应不超过</w:t>
            </w:r>
            <w:r>
              <w:rPr>
                <w:spacing w:val="-43"/>
                <w:highlight w:val="none"/>
              </w:rPr>
              <w:t xml:space="preserve"> </w:t>
            </w:r>
            <w:r>
              <w:rPr>
                <w:spacing w:val="-1"/>
                <w:highlight w:val="none"/>
              </w:rPr>
              <w:t>4.5 Bel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52</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highlight w:val="none"/>
              </w:rPr>
              <w:t>*整机散</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热</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在环境温度 25℃及处理器满载情况</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下，产品表面温度应符合如下要求：</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a) 出风口在机箱后面板情况下，出风</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口温度不高于 55℃ ;</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b) 可触及面温度不高于 45℃ ;</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c) 显示器表面温度：显示屏不高于</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38℃ , 显示屏上下灯带位置温度（如</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涉及）不高于 40℃ , 出风口温度不高</w:t>
            </w:r>
          </w:p>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rFonts w:hint="eastAsia"/>
                <w:spacing w:val="-1"/>
                <w:highlight w:val="none"/>
              </w:rPr>
              <w:t>于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*整机能</w:t>
            </w:r>
            <w:r>
              <w:rPr>
                <w:highlight w:val="none"/>
              </w:rPr>
              <w:t xml:space="preserve">  </w:t>
            </w:r>
            <w:r>
              <w:rPr>
                <w:spacing w:val="-2"/>
                <w:highlight w:val="none"/>
              </w:rPr>
              <w:t>效限定值</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hint="eastAsia" w:ascii="黑体" w:hAnsi="黑体" w:eastAsia="黑体" w:cs="黑体"/>
                <w:snapToGrid w:val="0"/>
                <w:color w:val="000000"/>
                <w:kern w:val="0"/>
                <w:sz w:val="18"/>
                <w:szCs w:val="18"/>
                <w:highlight w:val="none"/>
                <w:lang w:val="en-US" w:eastAsia="zh-CN" w:bidi="ar-SA"/>
              </w:rPr>
            </w:pPr>
            <w:r>
              <w:rPr>
                <w:spacing w:val="-1"/>
                <w:highlight w:val="none"/>
              </w:rPr>
              <w:t>产品能效限定值应达到</w:t>
            </w:r>
            <w:r>
              <w:rPr>
                <w:spacing w:val="-40"/>
                <w:highlight w:val="none"/>
              </w:rPr>
              <w:t xml:space="preserve"> </w:t>
            </w:r>
            <w:r>
              <w:rPr>
                <w:spacing w:val="-1"/>
                <w:highlight w:val="none"/>
              </w:rPr>
              <w:t>GB</w:t>
            </w:r>
            <w:r>
              <w:rPr>
                <w:spacing w:val="-40"/>
                <w:highlight w:val="none"/>
              </w:rPr>
              <w:t xml:space="preserve"> </w:t>
            </w:r>
            <w:r>
              <w:rPr>
                <w:spacing w:val="-1"/>
                <w:highlight w:val="none"/>
              </w:rPr>
              <w:t>28380-2012</w:t>
            </w:r>
            <w:r>
              <w:rPr>
                <w:highlight w:val="none"/>
              </w:rPr>
              <w:t xml:space="preserve"> </w:t>
            </w:r>
            <w:r>
              <w:rPr>
                <w:spacing w:val="-2"/>
                <w:highlight w:val="none"/>
              </w:rPr>
              <w:t>标准中能效等级</w:t>
            </w:r>
            <w:r>
              <w:rPr>
                <w:spacing w:val="-34"/>
                <w:highlight w:val="none"/>
              </w:rPr>
              <w:t xml:space="preserve"> </w:t>
            </w:r>
            <w:r>
              <w:rPr>
                <w:spacing w:val="-2"/>
                <w:highlight w:val="none"/>
              </w:rPr>
              <w:t>2</w:t>
            </w:r>
            <w:r>
              <w:rPr>
                <w:spacing w:val="-37"/>
                <w:highlight w:val="none"/>
              </w:rPr>
              <w:t xml:space="preserve"> </w:t>
            </w:r>
            <w:r>
              <w:rPr>
                <w:spacing w:val="-2"/>
                <w:highlight w:val="none"/>
              </w:rPr>
              <w:t>级及以上</w:t>
            </w:r>
            <w:r>
              <w:rPr>
                <w:rFonts w:hint="eastAsia"/>
                <w:spacing w:val="-2"/>
                <w:highlight w:val="none"/>
                <w:lang w:eastAsia="zh-CN"/>
              </w:rPr>
              <w:t>（能效1级）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*机身材</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质</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*机身颜</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色</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rFonts w:hint="eastAsia"/>
                <w:spacing w:val="-1"/>
                <w:highlight w:val="none"/>
              </w:rPr>
              <w:t>灰色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*机箱尺</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寸容量</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机箱体积</w:t>
            </w:r>
            <w:r>
              <w:rPr>
                <w:rFonts w:hint="eastAsia"/>
                <w:spacing w:val="-2"/>
                <w:highlight w:val="none"/>
                <w:lang w:val="en-US" w:eastAsia="zh-CN"/>
              </w:rPr>
              <w:t>15L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2"/>
                <w:highlight w:val="none"/>
              </w:rPr>
              <w:t>*CPU</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性能</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*CPU</w:t>
            </w:r>
            <w:r>
              <w:rPr>
                <w:spacing w:val="-37"/>
                <w:highlight w:val="none"/>
              </w:rPr>
              <w:t xml:space="preserve"> </w:t>
            </w:r>
            <w:r>
              <w:rPr>
                <w:spacing w:val="-2"/>
                <w:highlight w:val="none"/>
              </w:rPr>
              <w:t>物理</w:t>
            </w:r>
            <w:r>
              <w:rPr>
                <w:highlight w:val="none"/>
              </w:rPr>
              <w:t xml:space="preserve"> </w:t>
            </w:r>
            <w:r>
              <w:rPr>
                <w:spacing w:val="-3"/>
                <w:highlight w:val="none"/>
              </w:rPr>
              <w:t>核数</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default" w:ascii="黑体" w:hAnsi="黑体" w:eastAsia="黑体" w:cs="黑体"/>
                <w:snapToGrid w:val="0"/>
                <w:color w:val="000000"/>
                <w:kern w:val="0"/>
                <w:sz w:val="18"/>
                <w:szCs w:val="18"/>
                <w:highlight w:val="none"/>
                <w:lang w:val="en-US" w:eastAsia="zh-CN" w:bidi="ar-SA"/>
              </w:rPr>
            </w:pPr>
            <w:r>
              <w:rPr>
                <w:spacing w:val="-13"/>
                <w:highlight w:val="none"/>
              </w:rPr>
              <w:t>≥</w:t>
            </w:r>
            <w:r>
              <w:rPr>
                <w:rFonts w:hint="eastAsia"/>
                <w:spacing w:val="-13"/>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*CPU</w:t>
            </w:r>
            <w:r>
              <w:rPr>
                <w:spacing w:val="-31"/>
                <w:highlight w:val="none"/>
              </w:rPr>
              <w:t xml:space="preserve"> </w:t>
            </w:r>
            <w:r>
              <w:rPr>
                <w:spacing w:val="-3"/>
                <w:highlight w:val="none"/>
              </w:rPr>
              <w:t>主频</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w:t>
            </w:r>
            <w:r>
              <w:rPr>
                <w:rFonts w:hint="eastAsia"/>
                <w:spacing w:val="-4"/>
                <w:highlight w:val="none"/>
                <w:lang w:val="en-US" w:eastAsia="zh-CN"/>
              </w:rPr>
              <w:t>2.1</w:t>
            </w:r>
            <w:r>
              <w:rPr>
                <w:spacing w:val="-4"/>
                <w:highlight w:val="none"/>
              </w:rPr>
              <w:t>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59</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3"/>
                <w:highlight w:val="none"/>
              </w:rPr>
              <w:t>*CPU</w:t>
            </w:r>
            <w:r>
              <w:rPr>
                <w:spacing w:val="11"/>
                <w:highlight w:val="none"/>
              </w:rPr>
              <w:t xml:space="preserve"> </w:t>
            </w:r>
            <w:r>
              <w:rPr>
                <w:spacing w:val="-3"/>
                <w:highlight w:val="none"/>
              </w:rPr>
              <w:t>末</w:t>
            </w:r>
            <w:r>
              <w:rPr>
                <w:highlight w:val="none"/>
              </w:rPr>
              <w:t xml:space="preserve">  </w:t>
            </w:r>
            <w:r>
              <w:rPr>
                <w:spacing w:val="-3"/>
                <w:highlight w:val="none"/>
              </w:rPr>
              <w:t>级缓存容</w:t>
            </w:r>
            <w:r>
              <w:rPr>
                <w:spacing w:val="2"/>
                <w:highlight w:val="none"/>
              </w:rPr>
              <w:t xml:space="preserve"> </w:t>
            </w:r>
            <w:r>
              <w:rPr>
                <w:highlight w:val="none"/>
              </w:rPr>
              <w:t>量</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7"/>
                <w:highlight w:val="none"/>
              </w:rPr>
              <w:t>≥</w:t>
            </w:r>
            <w:r>
              <w:rPr>
                <w:rFonts w:hint="eastAsia"/>
                <w:spacing w:val="-7"/>
                <w:highlight w:val="none"/>
                <w:lang w:val="en-US" w:eastAsia="zh-CN"/>
              </w:rPr>
              <w:t>25</w:t>
            </w:r>
            <w:r>
              <w:rPr>
                <w:spacing w:val="-7"/>
                <w:highlight w:val="none"/>
              </w:rPr>
              <w:t>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3"/>
                <w:highlight w:val="none"/>
              </w:rPr>
              <w:t>*CPU</w:t>
            </w:r>
            <w:r>
              <w:rPr>
                <w:spacing w:val="-31"/>
                <w:highlight w:val="none"/>
              </w:rPr>
              <w:t xml:space="preserve"> </w:t>
            </w:r>
            <w:r>
              <w:rPr>
                <w:spacing w:val="-3"/>
                <w:highlight w:val="none"/>
              </w:rPr>
              <w:t>支持</w:t>
            </w:r>
            <w:r>
              <w:rPr>
                <w:highlight w:val="none"/>
              </w:rPr>
              <w:t xml:space="preserve"> </w:t>
            </w:r>
            <w:r>
              <w:rPr>
                <w:spacing w:val="-3"/>
                <w:highlight w:val="none"/>
              </w:rPr>
              <w:t>的内存最</w:t>
            </w:r>
            <w:r>
              <w:rPr>
                <w:highlight w:val="none"/>
              </w:rPr>
              <w:t xml:space="preserve"> </w:t>
            </w:r>
            <w:r>
              <w:rPr>
                <w:spacing w:val="-4"/>
                <w:highlight w:val="none"/>
              </w:rPr>
              <w:t>高速率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w:t>
            </w:r>
            <w:r>
              <w:rPr>
                <w:rFonts w:hint="eastAsia"/>
                <w:spacing w:val="-3"/>
                <w:highlight w:val="none"/>
                <w:lang w:val="en-US" w:eastAsia="zh-CN"/>
              </w:rPr>
              <w:t>3200</w:t>
            </w:r>
            <w:r>
              <w:rPr>
                <w:spacing w:val="-3"/>
                <w:highlight w:val="none"/>
              </w:rPr>
              <w:t>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*内存</w:t>
            </w:r>
            <w:r>
              <w:rPr>
                <w:spacing w:val="-4"/>
                <w:highlight w:val="none"/>
              </w:rPr>
              <w:t>性能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*内存读</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写速率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w:t>
            </w:r>
            <w:r>
              <w:rPr>
                <w:rFonts w:hint="eastAsia"/>
                <w:spacing w:val="-3"/>
                <w:highlight w:val="none"/>
                <w:lang w:val="en-US" w:eastAsia="zh-CN"/>
              </w:rPr>
              <w:t>3200</w:t>
            </w:r>
            <w:r>
              <w:rPr>
                <w:spacing w:val="-3"/>
                <w:highlight w:val="none"/>
              </w:rPr>
              <w:t>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*显卡</w:t>
            </w:r>
            <w:r>
              <w:rPr>
                <w:spacing w:val="-4"/>
                <w:highlight w:val="none"/>
              </w:rPr>
              <w:t>性能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*显示分</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辨率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≥1920x1080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*显卡显</w:t>
            </w:r>
            <w:r>
              <w:rPr>
                <w:highlight w:val="none"/>
              </w:rPr>
              <w:t xml:space="preserve">  </w:t>
            </w:r>
            <w:r>
              <w:rPr>
                <w:spacing w:val="-3"/>
                <w:highlight w:val="none"/>
              </w:rPr>
              <w:t>示芯片核</w:t>
            </w:r>
            <w:r>
              <w:rPr>
                <w:spacing w:val="1"/>
                <w:highlight w:val="none"/>
              </w:rPr>
              <w:t xml:space="preserve"> </w:t>
            </w:r>
            <w:r>
              <w:rPr>
                <w:spacing w:val="-4"/>
                <w:highlight w:val="none"/>
              </w:rPr>
              <w:t>心频率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≥300MHz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*显存等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效频率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≥1000MT/s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*显卡可</w:t>
            </w:r>
            <w:r>
              <w:rPr>
                <w:highlight w:val="none"/>
              </w:rPr>
              <w:t xml:space="preserve">  </w:t>
            </w:r>
            <w:r>
              <w:rPr>
                <w:spacing w:val="-2"/>
                <w:highlight w:val="none"/>
              </w:rPr>
              <w:t>支持多屏</w:t>
            </w:r>
            <w:r>
              <w:rPr>
                <w:highlight w:val="none"/>
              </w:rPr>
              <w:t xml:space="preserve"> </w:t>
            </w:r>
            <w:r>
              <w:rPr>
                <w:spacing w:val="-2"/>
                <w:highlight w:val="none"/>
              </w:rPr>
              <w:t>同时显示</w:t>
            </w:r>
            <w:r>
              <w:rPr>
                <w:highlight w:val="none"/>
              </w:rPr>
              <w:t xml:space="preserve"> </w:t>
            </w:r>
            <w:r>
              <w:rPr>
                <w:spacing w:val="-4"/>
                <w:highlight w:val="none"/>
              </w:rPr>
              <w:t>数量</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显卡支持</w:t>
            </w:r>
            <w:r>
              <w:rPr>
                <w:spacing w:val="-31"/>
                <w:highlight w:val="none"/>
              </w:rPr>
              <w:t xml:space="preserve"> </w:t>
            </w:r>
            <w:r>
              <w:rPr>
                <w:spacing w:val="-2"/>
                <w:highlight w:val="none"/>
              </w:rPr>
              <w:t>2</w:t>
            </w:r>
            <w:r>
              <w:rPr>
                <w:spacing w:val="-40"/>
                <w:highlight w:val="none"/>
              </w:rPr>
              <w:t xml:space="preserve"> </w:t>
            </w:r>
            <w:r>
              <w:rPr>
                <w:spacing w:val="-2"/>
                <w:highlight w:val="none"/>
              </w:rPr>
              <w:t>块屏幕同时显示，分辨率不低于</w:t>
            </w:r>
            <w:r>
              <w:rPr>
                <w:spacing w:val="-28"/>
                <w:highlight w:val="none"/>
              </w:rPr>
              <w:t xml:space="preserve"> </w:t>
            </w:r>
            <w:r>
              <w:rPr>
                <w:spacing w:val="-2"/>
                <w:highlight w:val="none"/>
              </w:rPr>
              <w:t>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*显示</w:t>
            </w:r>
            <w:r>
              <w:rPr>
                <w:spacing w:val="-4"/>
                <w:highlight w:val="none"/>
              </w:rPr>
              <w:t>设备性能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刷新率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≥75Hz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位深</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≥8</w:t>
            </w:r>
            <w:r>
              <w:rPr>
                <w:spacing w:val="-39"/>
                <w:highlight w:val="none"/>
              </w:rPr>
              <w:t xml:space="preserve"> </w:t>
            </w:r>
            <w:r>
              <w:rPr>
                <w:spacing w:val="-9"/>
                <w:highlight w:val="none"/>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色域</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≥99%</w:t>
            </w:r>
            <w:r>
              <w:rPr>
                <w:spacing w:val="13"/>
                <w:highlight w:val="none"/>
              </w:rPr>
              <w:t xml:space="preserve"> </w:t>
            </w:r>
            <w:r>
              <w:rPr>
                <w:spacing w:val="-5"/>
                <w:highlight w:val="none"/>
              </w:rPr>
              <w:t>sRGB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色准</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△E</w:t>
            </w:r>
            <w:r>
              <w:rPr>
                <w:spacing w:val="22"/>
                <w:highlight w:val="none"/>
              </w:rPr>
              <w:t xml:space="preserve"> </w:t>
            </w:r>
            <w:r>
              <w:rPr>
                <w:spacing w:val="-9"/>
                <w:highlight w:val="none"/>
              </w:rPr>
              <w:t>≤</w:t>
            </w:r>
            <w:r>
              <w:rPr>
                <w:spacing w:val="1"/>
                <w:highlight w:val="none"/>
              </w:rPr>
              <w:t xml:space="preserve"> </w:t>
            </w:r>
            <w:r>
              <w:rPr>
                <w:spacing w:val="-9"/>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*显示屏</w:t>
            </w:r>
            <w:r>
              <w:rPr>
                <w:highlight w:val="none"/>
              </w:rPr>
              <w:t xml:space="preserve">  </w:t>
            </w:r>
            <w:r>
              <w:rPr>
                <w:spacing w:val="-4"/>
                <w:highlight w:val="none"/>
              </w:rPr>
              <w:t>响应时间</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w:t>
            </w:r>
            <w:r>
              <w:rPr>
                <w:rFonts w:hint="default"/>
                <w:spacing w:val="-6"/>
                <w:highlight w:val="none"/>
                <w:lang w:val="en-US"/>
              </w:rPr>
              <w:t>8</w:t>
            </w:r>
            <w:r>
              <w:rPr>
                <w:spacing w:val="-6"/>
                <w:highlight w:val="none"/>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亮度</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≥250</w:t>
            </w:r>
            <w:r>
              <w:rPr>
                <w:spacing w:val="-36"/>
                <w:highlight w:val="none"/>
              </w:rPr>
              <w:t xml:space="preserve"> </w:t>
            </w:r>
            <w:r>
              <w:rPr>
                <w:spacing w:val="-6"/>
                <w:highlight w:val="none"/>
              </w:rPr>
              <w:t>尼特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*显示屏</w:t>
            </w:r>
            <w:r>
              <w:rPr>
                <w:highlight w:val="none"/>
              </w:rPr>
              <w:t xml:space="preserve">  </w:t>
            </w:r>
            <w:r>
              <w:rPr>
                <w:spacing w:val="-2"/>
                <w:highlight w:val="none"/>
              </w:rPr>
              <w:t>亮度一致</w:t>
            </w:r>
            <w:r>
              <w:rPr>
                <w:highlight w:val="none"/>
              </w:rPr>
              <w:t xml:space="preserve"> 性</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7"/>
                <w:highlight w:val="none"/>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对比度</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w:t>
            </w:r>
            <w:r>
              <w:rPr>
                <w:rFonts w:hint="eastAsia"/>
                <w:spacing w:val="-2"/>
                <w:highlight w:val="none"/>
                <w:lang w:val="en-US" w:eastAsia="zh-CN"/>
              </w:rPr>
              <w:t>7</w:t>
            </w:r>
            <w:r>
              <w:rPr>
                <w:spacing w:val="-2"/>
                <w:highlight w:val="none"/>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*显示屏</w:t>
            </w:r>
            <w:r>
              <w:rPr>
                <w:highlight w:val="none"/>
              </w:rPr>
              <w:t xml:space="preserve">  </w:t>
            </w:r>
            <w:r>
              <w:rPr>
                <w:spacing w:val="-3"/>
                <w:highlight w:val="none"/>
              </w:rPr>
              <w:t>其他参数</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其它参数符合</w:t>
            </w:r>
            <w:r>
              <w:rPr>
                <w:spacing w:val="-38"/>
                <w:highlight w:val="none"/>
              </w:rPr>
              <w:t xml:space="preserve"> </w:t>
            </w:r>
            <w:r>
              <w:rPr>
                <w:spacing w:val="-2"/>
                <w:highlight w:val="none"/>
              </w:rPr>
              <w:t>SJ/T11292</w:t>
            </w:r>
            <w:r>
              <w:rPr>
                <w:spacing w:val="-27"/>
                <w:highlight w:val="none"/>
              </w:rPr>
              <w:t xml:space="preserve"> </w:t>
            </w:r>
            <w:r>
              <w:rPr>
                <w:spacing w:val="-2"/>
                <w:highlight w:val="none"/>
              </w:rPr>
              <w:t>的相关规</w:t>
            </w:r>
            <w:r>
              <w:rPr>
                <w:highlight w:val="none"/>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*网络</w:t>
            </w:r>
            <w:r>
              <w:rPr>
                <w:spacing w:val="-4"/>
                <w:highlight w:val="none"/>
              </w:rPr>
              <w:t>设备性能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*有线网</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卡速率</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最高速率不低于</w:t>
            </w:r>
            <w:r>
              <w:rPr>
                <w:spacing w:val="-18"/>
                <w:highlight w:val="none"/>
              </w:rPr>
              <w:t xml:space="preserve"> </w:t>
            </w:r>
            <w:r>
              <w:rPr>
                <w:spacing w:val="-2"/>
                <w:highlight w:val="none"/>
              </w:rPr>
              <w:t>1000Mbps，支持</w:t>
            </w:r>
            <w:r>
              <w:rPr>
                <w:spacing w:val="-3"/>
                <w:highlight w:val="none"/>
              </w:rPr>
              <w:t>10Mbps、100Mbps、1000Mbps</w:t>
            </w:r>
            <w:r>
              <w:rPr>
                <w:spacing w:val="-25"/>
                <w:highlight w:val="none"/>
              </w:rPr>
              <w:t xml:space="preserve"> </w:t>
            </w:r>
            <w:r>
              <w:rPr>
                <w:spacing w:val="-3"/>
                <w:highlight w:val="none"/>
              </w:rPr>
              <w:t>速率自适</w:t>
            </w:r>
            <w:r>
              <w:rPr>
                <w:highlight w:val="none"/>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76</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*主板</w:t>
            </w:r>
            <w:r>
              <w:rPr>
                <w:spacing w:val="-5"/>
                <w:highlight w:val="none"/>
              </w:rPr>
              <w:t>功能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*内存扩</w:t>
            </w:r>
          </w:p>
          <w:p>
            <w:pPr>
              <w:pStyle w:val="69"/>
              <w:widowControl w:val="0"/>
              <w:spacing w:line="240" w:lineRule="auto"/>
              <w:ind w:left="0" w:right="0" w:firstLine="0"/>
              <w:jc w:val="center"/>
              <w:rPr>
                <w:highlight w:val="none"/>
              </w:rPr>
            </w:pPr>
            <w:r>
              <w:rPr>
                <w:spacing w:val="-4"/>
                <w:highlight w:val="none"/>
              </w:rPr>
              <w:t>展接口</w:t>
            </w:r>
          </w:p>
          <w:p>
            <w:pPr>
              <w:pStyle w:val="69"/>
              <w:widowControl w:val="0"/>
              <w:spacing w:line="240" w:lineRule="auto"/>
              <w:ind w:left="0" w:right="0" w:firstLine="0"/>
              <w:jc w:val="center"/>
              <w:rPr>
                <w:highlight w:val="none"/>
              </w:rPr>
            </w:pPr>
            <w:r>
              <w:rPr>
                <w:spacing w:val="-10"/>
                <w:highlight w:val="none"/>
              </w:rPr>
              <w:t>(板载内</w:t>
            </w:r>
          </w:p>
          <w:p>
            <w:pPr>
              <w:pStyle w:val="69"/>
              <w:widowControl w:val="0"/>
              <w:spacing w:line="240" w:lineRule="auto"/>
              <w:ind w:left="0" w:right="0" w:firstLine="0"/>
              <w:jc w:val="center"/>
              <w:rPr>
                <w:highlight w:val="none"/>
              </w:rPr>
            </w:pPr>
            <w:r>
              <w:rPr>
                <w:spacing w:val="-3"/>
                <w:highlight w:val="none"/>
              </w:rPr>
              <w:t>存不涉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及)</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≥2</w:t>
            </w:r>
            <w:r>
              <w:rPr>
                <w:spacing w:val="-38"/>
                <w:highlight w:val="none"/>
              </w:rPr>
              <w:t xml:space="preserve"> </w:t>
            </w:r>
            <w:r>
              <w:rPr>
                <w:spacing w:val="-9"/>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*主板</w:t>
            </w:r>
            <w:r>
              <w:rPr>
                <w:spacing w:val="-39"/>
                <w:highlight w:val="none"/>
              </w:rPr>
              <w:t xml:space="preserve"> </w:t>
            </w:r>
            <w:r>
              <w:rPr>
                <w:spacing w:val="-2"/>
                <w:highlight w:val="none"/>
              </w:rPr>
              <w:t>USB</w:t>
            </w:r>
            <w:r>
              <w:rPr>
                <w:highlight w:val="none"/>
              </w:rPr>
              <w:t xml:space="preserve"> </w:t>
            </w:r>
            <w:r>
              <w:rPr>
                <w:spacing w:val="-2"/>
                <w:highlight w:val="none"/>
              </w:rPr>
              <w:t>瞬间过流</w:t>
            </w:r>
            <w:r>
              <w:rPr>
                <w:spacing w:val="1"/>
                <w:highlight w:val="none"/>
              </w:rPr>
              <w:t xml:space="preserve"> </w:t>
            </w:r>
            <w:r>
              <w:rPr>
                <w:spacing w:val="-3"/>
                <w:highlight w:val="none"/>
              </w:rPr>
              <w:t>保护</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支持有瞬间过流保护功能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*主板防</w:t>
            </w:r>
            <w:r>
              <w:rPr>
                <w:highlight w:val="none"/>
              </w:rPr>
              <w:t xml:space="preserve">  </w:t>
            </w:r>
            <w:r>
              <w:rPr>
                <w:spacing w:val="-2"/>
                <w:highlight w:val="none"/>
              </w:rPr>
              <w:t>静电保护</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支持防静电保护功能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79</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*I/O</w:t>
            </w:r>
            <w:r>
              <w:rPr>
                <w:spacing w:val="-37"/>
                <w:highlight w:val="none"/>
              </w:rPr>
              <w:t xml:space="preserve"> </w:t>
            </w:r>
            <w:r>
              <w:rPr>
                <w:spacing w:val="-2"/>
                <w:highlight w:val="none"/>
              </w:rPr>
              <w:t>接口</w:t>
            </w:r>
            <w:r>
              <w:rPr>
                <w:highlight w:val="none"/>
              </w:rPr>
              <w:t xml:space="preserve"> </w:t>
            </w:r>
            <w:r>
              <w:rPr>
                <w:spacing w:val="-5"/>
                <w:highlight w:val="none"/>
              </w:rPr>
              <w:t>功能</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提供基于标准</w:t>
            </w:r>
            <w:r>
              <w:rPr>
                <w:spacing w:val="-38"/>
                <w:highlight w:val="none"/>
              </w:rPr>
              <w:t xml:space="preserve"> </w:t>
            </w:r>
            <w:r>
              <w:rPr>
                <w:spacing w:val="-3"/>
                <w:highlight w:val="none"/>
              </w:rPr>
              <w:t>USB</w:t>
            </w:r>
            <w:r>
              <w:rPr>
                <w:spacing w:val="-40"/>
                <w:highlight w:val="none"/>
              </w:rPr>
              <w:t xml:space="preserve"> </w:t>
            </w:r>
            <w:r>
              <w:rPr>
                <w:spacing w:val="-3"/>
                <w:highlight w:val="none"/>
              </w:rPr>
              <w:t>接口外设连接功能、</w:t>
            </w:r>
            <w:r>
              <w:rPr>
                <w:highlight w:val="none"/>
              </w:rPr>
              <w:t xml:space="preserve"> </w:t>
            </w:r>
            <w:r>
              <w:rPr>
                <w:spacing w:val="-2"/>
                <w:highlight w:val="none"/>
              </w:rPr>
              <w:t>基于音频输入输出接口的音频扩展功能、基于</w:t>
            </w:r>
            <w:r>
              <w:rPr>
                <w:spacing w:val="-37"/>
                <w:highlight w:val="none"/>
              </w:rPr>
              <w:t xml:space="preserve"> </w:t>
            </w:r>
            <w:r>
              <w:rPr>
                <w:spacing w:val="-2"/>
                <w:highlight w:val="none"/>
              </w:rPr>
              <w:t>PCIe</w:t>
            </w:r>
            <w:r>
              <w:rPr>
                <w:spacing w:val="-37"/>
                <w:highlight w:val="none"/>
              </w:rPr>
              <w:t xml:space="preserve"> </w:t>
            </w:r>
            <w:r>
              <w:rPr>
                <w:spacing w:val="-2"/>
                <w:highlight w:val="none"/>
              </w:rPr>
              <w:t>接口板卡扩展功能、基</w:t>
            </w:r>
            <w:r>
              <w:rPr>
                <w:spacing w:val="-4"/>
                <w:highlight w:val="none"/>
              </w:rPr>
              <w:t>于</w:t>
            </w:r>
            <w:r>
              <w:rPr>
                <w:spacing w:val="-35"/>
                <w:highlight w:val="none"/>
              </w:rPr>
              <w:t xml:space="preserve"> </w:t>
            </w:r>
            <w:r>
              <w:rPr>
                <w:spacing w:val="-4"/>
                <w:highlight w:val="none"/>
              </w:rPr>
              <w:t>HDMI</w:t>
            </w:r>
            <w:r>
              <w:rPr>
                <w:spacing w:val="-35"/>
                <w:highlight w:val="none"/>
              </w:rPr>
              <w:t xml:space="preserve"> </w:t>
            </w:r>
            <w:r>
              <w:rPr>
                <w:spacing w:val="-4"/>
                <w:highlight w:val="none"/>
              </w:rPr>
              <w:t>或</w:t>
            </w:r>
            <w:r>
              <w:rPr>
                <w:spacing w:val="-43"/>
                <w:highlight w:val="none"/>
              </w:rPr>
              <w:t xml:space="preserve"> </w:t>
            </w:r>
            <w:r>
              <w:rPr>
                <w:spacing w:val="-4"/>
                <w:highlight w:val="none"/>
              </w:rPr>
              <w:t>VGA</w:t>
            </w:r>
            <w:r>
              <w:rPr>
                <w:spacing w:val="-33"/>
                <w:highlight w:val="none"/>
              </w:rPr>
              <w:t xml:space="preserve"> </w:t>
            </w:r>
            <w:r>
              <w:rPr>
                <w:spacing w:val="-4"/>
                <w:highlight w:val="none"/>
              </w:rPr>
              <w:t>或</w:t>
            </w:r>
            <w:r>
              <w:rPr>
                <w:spacing w:val="-36"/>
                <w:highlight w:val="none"/>
              </w:rPr>
              <w:t xml:space="preserve"> </w:t>
            </w:r>
            <w:r>
              <w:rPr>
                <w:spacing w:val="-4"/>
                <w:highlight w:val="none"/>
              </w:rPr>
              <w:t>Type-C</w:t>
            </w:r>
            <w:r>
              <w:rPr>
                <w:spacing w:val="-33"/>
                <w:highlight w:val="none"/>
              </w:rPr>
              <w:t xml:space="preserve"> </w:t>
            </w:r>
            <w:r>
              <w:rPr>
                <w:spacing w:val="-4"/>
                <w:highlight w:val="none"/>
              </w:rPr>
              <w:t>或</w:t>
            </w:r>
            <w:r>
              <w:rPr>
                <w:spacing w:val="-36"/>
                <w:highlight w:val="none"/>
              </w:rPr>
              <w:t xml:space="preserve"> </w:t>
            </w:r>
            <w:r>
              <w:rPr>
                <w:spacing w:val="-4"/>
                <w:highlight w:val="none"/>
              </w:rPr>
              <w:t>DVI</w:t>
            </w:r>
            <w:r>
              <w:rPr>
                <w:spacing w:val="-33"/>
                <w:highlight w:val="none"/>
              </w:rPr>
              <w:t xml:space="preserve"> </w:t>
            </w:r>
            <w:r>
              <w:rPr>
                <w:spacing w:val="-4"/>
                <w:highlight w:val="none"/>
              </w:rPr>
              <w:t>或</w:t>
            </w:r>
            <w:r>
              <w:rPr>
                <w:spacing w:val="-37"/>
                <w:highlight w:val="none"/>
              </w:rPr>
              <w:t xml:space="preserve"> </w:t>
            </w:r>
            <w:r>
              <w:rPr>
                <w:spacing w:val="-4"/>
                <w:highlight w:val="none"/>
              </w:rPr>
              <w:t>DP</w:t>
            </w:r>
            <w:r>
              <w:rPr>
                <w:spacing w:val="-2"/>
                <w:highlight w:val="none"/>
              </w:rPr>
              <w:t>等接口外接显示器扩展功能、基于存</w:t>
            </w:r>
            <w:r>
              <w:rPr>
                <w:spacing w:val="-1"/>
                <w:highlight w:val="none"/>
              </w:rPr>
              <w:t>储接口对产品进行增容功能等。产品</w:t>
            </w:r>
            <w:r>
              <w:rPr>
                <w:spacing w:val="-5"/>
                <w:highlight w:val="none"/>
              </w:rPr>
              <w:t>I/O</w:t>
            </w:r>
            <w:r>
              <w:rPr>
                <w:spacing w:val="-35"/>
                <w:highlight w:val="none"/>
              </w:rPr>
              <w:t xml:space="preserve"> </w:t>
            </w:r>
            <w:r>
              <w:rPr>
                <w:spacing w:val="-5"/>
                <w:highlight w:val="none"/>
              </w:rPr>
              <w:t>接口，具备外接标准</w:t>
            </w:r>
            <w:r>
              <w:rPr>
                <w:spacing w:val="-37"/>
                <w:highlight w:val="none"/>
              </w:rPr>
              <w:t xml:space="preserve"> </w:t>
            </w:r>
            <w:r>
              <w:rPr>
                <w:spacing w:val="-5"/>
                <w:highlight w:val="none"/>
              </w:rPr>
              <w:t>USB</w:t>
            </w:r>
            <w:r>
              <w:rPr>
                <w:spacing w:val="-36"/>
                <w:highlight w:val="none"/>
              </w:rPr>
              <w:t xml:space="preserve"> </w:t>
            </w:r>
            <w:r>
              <w:rPr>
                <w:spacing w:val="-5"/>
                <w:highlight w:val="none"/>
              </w:rPr>
              <w:t>设备、</w:t>
            </w:r>
            <w:r>
              <w:rPr>
                <w:spacing w:val="-1"/>
                <w:highlight w:val="none"/>
              </w:rPr>
              <w:t>显示器、音频设备等内外部设备能力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*显卡</w:t>
            </w:r>
            <w:r>
              <w:rPr>
                <w:spacing w:val="-5"/>
                <w:highlight w:val="none"/>
              </w:rPr>
              <w:t>功能</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*显卡外</w:t>
            </w:r>
            <w:r>
              <w:rPr>
                <w:highlight w:val="none"/>
              </w:rPr>
              <w:t xml:space="preserve">  </w:t>
            </w:r>
            <w:r>
              <w:rPr>
                <w:spacing w:val="-2"/>
                <w:highlight w:val="none"/>
              </w:rPr>
              <w:t>接显示接</w:t>
            </w:r>
            <w:r>
              <w:rPr>
                <w:highlight w:val="none"/>
              </w:rPr>
              <w:t xml:space="preserve"> 口</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rFonts w:hint="eastAsia"/>
                <w:spacing w:val="-1"/>
                <w:highlight w:val="none"/>
              </w:rPr>
              <w:t>集成显卡：HDMI×1；VGA×1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*显示</w:t>
            </w:r>
            <w:r>
              <w:rPr>
                <w:spacing w:val="-4"/>
                <w:highlight w:val="none"/>
              </w:rPr>
              <w:t>设备功能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接口</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显示器与显卡外接显示接口匹配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7"/>
                <w:highlight w:val="none"/>
              </w:rPr>
              <w:t>支架</w:t>
            </w:r>
          </w:p>
        </w:tc>
        <w:tc>
          <w:tcPr>
            <w:tcW w:w="932" w:type="dxa"/>
            <w:shd w:val="clear" w:color="auto" w:fill="auto"/>
            <w:vAlign w:val="center"/>
          </w:tcPr>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rFonts w:hint="eastAsia"/>
                <w:spacing w:val="-1"/>
                <w:highlight w:val="none"/>
              </w:rPr>
              <w:t>不</w:t>
            </w:r>
            <w:r>
              <w:rPr>
                <w:rFonts w:hint="eastAsia"/>
                <w:spacing w:val="-1"/>
                <w:highlight w:val="none"/>
                <w:lang w:val="en-US" w:eastAsia="zh-CN"/>
              </w:rPr>
              <w:t>需要</w:t>
            </w:r>
            <w:r>
              <w:rPr>
                <w:rFonts w:hint="eastAsia"/>
                <w:spacing w:val="-1"/>
                <w:highlight w:val="none"/>
              </w:rPr>
              <w:t>支持升降旋转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*显示器</w:t>
            </w:r>
            <w:r>
              <w:rPr>
                <w:highlight w:val="none"/>
              </w:rPr>
              <w:t xml:space="preserve">  </w:t>
            </w:r>
            <w:r>
              <w:rPr>
                <w:spacing w:val="-2"/>
                <w:highlight w:val="none"/>
              </w:rPr>
              <w:t>参数调节</w:t>
            </w:r>
          </w:p>
        </w:tc>
        <w:tc>
          <w:tcPr>
            <w:tcW w:w="932" w:type="dxa"/>
            <w:shd w:val="clear" w:color="auto" w:fill="auto"/>
            <w:vAlign w:val="center"/>
          </w:tcPr>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highlight w:val="none"/>
              </w:rPr>
            </w:pPr>
            <w:r>
              <w:rPr>
                <w:spacing w:val="-4"/>
                <w:highlight w:val="none"/>
              </w:rPr>
              <w:t>a)提供</w:t>
            </w:r>
            <w:r>
              <w:rPr>
                <w:spacing w:val="-24"/>
                <w:highlight w:val="none"/>
              </w:rPr>
              <w:t xml:space="preserve"> </w:t>
            </w:r>
            <w:r>
              <w:rPr>
                <w:spacing w:val="-4"/>
                <w:highlight w:val="none"/>
              </w:rPr>
              <w:t>OSD</w:t>
            </w:r>
            <w:r>
              <w:rPr>
                <w:spacing w:val="-33"/>
                <w:highlight w:val="none"/>
              </w:rPr>
              <w:t xml:space="preserve"> </w:t>
            </w:r>
            <w:r>
              <w:rPr>
                <w:spacing w:val="-4"/>
                <w:highlight w:val="none"/>
              </w:rPr>
              <w:t>选单按钮用于调节色彩、</w:t>
            </w:r>
            <w:r>
              <w:rPr>
                <w:highlight w:val="none"/>
              </w:rPr>
              <w:t xml:space="preserve"> </w:t>
            </w:r>
            <w:r>
              <w:rPr>
                <w:spacing w:val="-2"/>
                <w:highlight w:val="none"/>
              </w:rPr>
              <w:t>模式等；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b)支持色温、亮度、对比度调节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*存储</w:t>
            </w:r>
            <w:r>
              <w:rPr>
                <w:spacing w:val="-5"/>
                <w:highlight w:val="none"/>
              </w:rPr>
              <w:t>功能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*存储功</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能</w:t>
            </w:r>
          </w:p>
        </w:tc>
        <w:tc>
          <w:tcPr>
            <w:tcW w:w="932" w:type="dxa"/>
            <w:shd w:val="clear" w:color="auto" w:fill="auto"/>
            <w:vAlign w:val="center"/>
          </w:tcPr>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4"/>
                <w:highlight w:val="none"/>
              </w:rPr>
              <w:t>通过</w:t>
            </w:r>
            <w:r>
              <w:rPr>
                <w:spacing w:val="-29"/>
                <w:highlight w:val="none"/>
              </w:rPr>
              <w:t xml:space="preserve"> </w:t>
            </w:r>
            <w:r>
              <w:rPr>
                <w:spacing w:val="-4"/>
                <w:highlight w:val="none"/>
              </w:rPr>
              <w:t>PCIe</w:t>
            </w:r>
            <w:r>
              <w:rPr>
                <w:spacing w:val="-24"/>
                <w:highlight w:val="none"/>
              </w:rPr>
              <w:t xml:space="preserve"> </w:t>
            </w:r>
            <w:r>
              <w:rPr>
                <w:spacing w:val="-4"/>
                <w:highlight w:val="none"/>
              </w:rPr>
              <w:t>固态存储</w:t>
            </w:r>
            <w:r>
              <w:rPr>
                <w:spacing w:val="-1"/>
                <w:highlight w:val="none"/>
              </w:rPr>
              <w:t>提供存储功能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widowControl w:val="0"/>
              <w:spacing w:line="240" w:lineRule="auto"/>
              <w:ind w:left="0" w:right="0" w:firstLine="0"/>
              <w:jc w:val="both"/>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*网络</w:t>
            </w:r>
            <w:r>
              <w:rPr>
                <w:spacing w:val="-4"/>
                <w:highlight w:val="none"/>
              </w:rPr>
              <w:t>设备功能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*网络功</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numPr>
                <w:ilvl w:val="0"/>
                <w:numId w:val="10"/>
              </w:numPr>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支持网络连接、网络开启/关闭功能；</w:t>
            </w:r>
          </w:p>
          <w:p>
            <w:pPr>
              <w:pStyle w:val="69"/>
              <w:widowControl w:val="0"/>
              <w:numPr>
                <w:ilvl w:val="0"/>
                <w:numId w:val="10"/>
              </w:numPr>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支持访问网络和数据交换功能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*数据传</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输</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支持数据传输能力，</w:t>
            </w:r>
            <w:r>
              <w:rPr>
                <w:rFonts w:hint="eastAsia"/>
                <w:spacing w:val="-1"/>
                <w:highlight w:val="none"/>
                <w:lang w:val="en-US" w:eastAsia="zh-CN"/>
              </w:rPr>
              <w:t>软件可提供</w:t>
            </w:r>
            <w:r>
              <w:rPr>
                <w:rFonts w:hint="eastAsia"/>
                <w:spacing w:val="-1"/>
                <w:highlight w:val="none"/>
              </w:rPr>
              <w:t>异常日志记录功能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*有线网</w:t>
            </w:r>
            <w:r>
              <w:rPr>
                <w:highlight w:val="none"/>
              </w:rPr>
              <w:t xml:space="preserve">  </w:t>
            </w:r>
            <w:r>
              <w:rPr>
                <w:spacing w:val="-3"/>
                <w:highlight w:val="none"/>
              </w:rPr>
              <w:t>卡接口类</w:t>
            </w:r>
            <w:r>
              <w:rPr>
                <w:spacing w:val="2"/>
                <w:highlight w:val="none"/>
              </w:rPr>
              <w:t xml:space="preserve"> </w:t>
            </w:r>
            <w:r>
              <w:rPr>
                <w:highlight w:val="none"/>
              </w:rPr>
              <w:t>型</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支持</w:t>
            </w:r>
            <w:r>
              <w:rPr>
                <w:spacing w:val="-34"/>
                <w:highlight w:val="none"/>
              </w:rPr>
              <w:t xml:space="preserve"> </w:t>
            </w:r>
            <w:r>
              <w:rPr>
                <w:spacing w:val="-4"/>
                <w:highlight w:val="none"/>
              </w:rPr>
              <w:t>RJ45</w:t>
            </w:r>
            <w:r>
              <w:rPr>
                <w:spacing w:val="-39"/>
                <w:highlight w:val="none"/>
              </w:rPr>
              <w:t xml:space="preserve"> </w:t>
            </w:r>
            <w:r>
              <w:rPr>
                <w:spacing w:val="-4"/>
                <w:highlight w:val="none"/>
              </w:rPr>
              <w:t>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*网络设</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备拆装</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网络设备支持物理拆装，包括无线网</w:t>
            </w:r>
            <w:r>
              <w:rPr>
                <w:spacing w:val="-2"/>
                <w:highlight w:val="none"/>
              </w:rPr>
              <w:t>卡和蓝牙模块等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*外部</w:t>
            </w:r>
            <w:r>
              <w:rPr>
                <w:spacing w:val="-4"/>
                <w:highlight w:val="none"/>
              </w:rPr>
              <w:t>接口功能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*音频接</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0"/>
                <w:highlight w:val="none"/>
              </w:rPr>
              <w:t>口类型</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rFonts w:hint="eastAsia"/>
                <w:spacing w:val="-3"/>
                <w:highlight w:val="none"/>
              </w:rPr>
              <w:t>3.5mm。其中一个支持4段式，其余为3段式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*视频接</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0"/>
                <w:highlight w:val="none"/>
              </w:rPr>
              <w:t>口类型</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6"/>
                <w:highlight w:val="none"/>
              </w:rPr>
              <w:t>支持</w:t>
            </w:r>
            <w:r>
              <w:rPr>
                <w:spacing w:val="-43"/>
                <w:highlight w:val="none"/>
              </w:rPr>
              <w:t xml:space="preserve"> </w:t>
            </w:r>
            <w:r>
              <w:rPr>
                <w:spacing w:val="-6"/>
                <w:highlight w:val="none"/>
              </w:rPr>
              <w:t>VGA、HDMI</w:t>
            </w:r>
            <w:r>
              <w:rPr>
                <w:spacing w:val="-7"/>
                <w:highlight w:val="none"/>
              </w:rPr>
              <w:t>显示接口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91</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2"/>
                <w:highlight w:val="none"/>
              </w:rPr>
              <w:t>*HDMI、</w:t>
            </w:r>
          </w:p>
          <w:p>
            <w:pPr>
              <w:pStyle w:val="69"/>
              <w:widowControl w:val="0"/>
              <w:spacing w:line="240" w:lineRule="auto"/>
              <w:ind w:left="0" w:right="0" w:firstLine="0"/>
              <w:jc w:val="center"/>
              <w:rPr>
                <w:highlight w:val="none"/>
              </w:rPr>
            </w:pPr>
            <w:r>
              <w:rPr>
                <w:spacing w:val="-3"/>
                <w:highlight w:val="none"/>
              </w:rPr>
              <w:t>DP、</w:t>
            </w:r>
          </w:p>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Type-C</w:t>
            </w:r>
            <w:r>
              <w:rPr>
                <w:spacing w:val="-32"/>
                <w:highlight w:val="none"/>
              </w:rPr>
              <w:t xml:space="preserve"> </w:t>
            </w:r>
            <w:r>
              <w:rPr>
                <w:spacing w:val="-3"/>
                <w:highlight w:val="none"/>
              </w:rPr>
              <w:t>显</w:t>
            </w:r>
            <w:r>
              <w:rPr>
                <w:spacing w:val="-4"/>
                <w:highlight w:val="none"/>
              </w:rPr>
              <w:t>示接口要</w:t>
            </w:r>
            <w:r>
              <w:rPr>
                <w:highlight w:val="none"/>
              </w:rPr>
              <w:t>求</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提供</w:t>
            </w:r>
            <w:r>
              <w:rPr>
                <w:spacing w:val="-36"/>
                <w:highlight w:val="none"/>
              </w:rPr>
              <w:t xml:space="preserve"> </w:t>
            </w:r>
            <w:r>
              <w:rPr>
                <w:spacing w:val="-3"/>
                <w:highlight w:val="none"/>
              </w:rPr>
              <w:t>HDMI</w:t>
            </w:r>
            <w:r>
              <w:rPr>
                <w:spacing w:val="-35"/>
                <w:highlight w:val="none"/>
              </w:rPr>
              <w:t xml:space="preserve"> </w:t>
            </w:r>
            <w:r>
              <w:rPr>
                <w:spacing w:val="-40"/>
                <w:highlight w:val="none"/>
              </w:rPr>
              <w:t xml:space="preserve"> </w:t>
            </w:r>
            <w:r>
              <w:rPr>
                <w:spacing w:val="-3"/>
                <w:highlight w:val="none"/>
              </w:rPr>
              <w:t>作为显示</w:t>
            </w:r>
            <w:r>
              <w:rPr>
                <w:spacing w:val="-1"/>
                <w:highlight w:val="none"/>
              </w:rPr>
              <w:t>接口</w:t>
            </w:r>
            <w:r>
              <w:rPr>
                <w:rFonts w:hint="eastAsia"/>
                <w:spacing w:val="-1"/>
                <w:highlight w:val="none"/>
                <w:lang w:eastAsia="zh-CN"/>
              </w:rPr>
              <w:t>，</w:t>
            </w:r>
            <w:r>
              <w:rPr>
                <w:spacing w:val="-1"/>
                <w:highlight w:val="none"/>
              </w:rPr>
              <w:t>支持音频和视频同步输出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*电源</w:t>
            </w:r>
            <w:r>
              <w:rPr>
                <w:spacing w:val="-5"/>
                <w:highlight w:val="none"/>
              </w:rPr>
              <w:t>功能</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*电源线</w:t>
            </w:r>
            <w:r>
              <w:rPr>
                <w:highlight w:val="none"/>
              </w:rPr>
              <w:t xml:space="preserve">  </w:t>
            </w:r>
            <w:r>
              <w:rPr>
                <w:spacing w:val="-3"/>
                <w:highlight w:val="none"/>
              </w:rPr>
              <w:t>适配能力</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电源适配器电线组件符合</w:t>
            </w:r>
            <w:r>
              <w:rPr>
                <w:spacing w:val="-33"/>
                <w:highlight w:val="none"/>
              </w:rPr>
              <w:t xml:space="preserve"> </w:t>
            </w:r>
            <w:r>
              <w:rPr>
                <w:spacing w:val="-2"/>
                <w:highlight w:val="none"/>
              </w:rPr>
              <w:t>GB/T</w:t>
            </w:r>
            <w:r>
              <w:rPr>
                <w:spacing w:val="-5"/>
                <w:highlight w:val="none"/>
              </w:rPr>
              <w:t>15934</w:t>
            </w:r>
            <w:r>
              <w:rPr>
                <w:spacing w:val="-19"/>
                <w:highlight w:val="none"/>
              </w:rPr>
              <w:t xml:space="preserve"> </w:t>
            </w:r>
            <w:r>
              <w:rPr>
                <w:spacing w:val="-5"/>
                <w:highlight w:val="none"/>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right="0" w:firstLine="0"/>
              <w:jc w:val="both"/>
              <w:rPr>
                <w:rFonts w:ascii="黑体" w:hAnsi="黑体" w:eastAsia="黑体" w:cs="黑体"/>
                <w:snapToGrid w:val="0"/>
                <w:color w:val="000000"/>
                <w:kern w:val="0"/>
                <w:sz w:val="18"/>
                <w:szCs w:val="18"/>
                <w:highlight w:val="none"/>
                <w:lang w:val="en-US" w:eastAsia="en-US" w:bidi="ar-SA"/>
              </w:rPr>
            </w:pPr>
            <w:r>
              <w:rPr>
                <w:spacing w:val="-2"/>
                <w:highlight w:val="none"/>
              </w:rPr>
              <w:t>*操作</w:t>
            </w:r>
            <w:r>
              <w:rPr>
                <w:spacing w:val="-6"/>
                <w:highlight w:val="none"/>
              </w:rPr>
              <w:t>系统</w:t>
            </w:r>
            <w:r>
              <w:rPr>
                <w:spacing w:val="-4"/>
                <w:highlight w:val="none"/>
              </w:rPr>
              <w:t>及软</w:t>
            </w:r>
            <w:r>
              <w:rPr>
                <w:spacing w:val="-3"/>
                <w:highlight w:val="none"/>
              </w:rPr>
              <w:t>件功</w:t>
            </w:r>
            <w:r>
              <w:rPr>
                <w:highlight w:val="none"/>
              </w:rPr>
              <w:t>能</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*中文信</w:t>
            </w:r>
            <w:r>
              <w:rPr>
                <w:highlight w:val="none"/>
              </w:rPr>
              <w:t xml:space="preserve">  </w:t>
            </w:r>
            <w:r>
              <w:rPr>
                <w:spacing w:val="-3"/>
                <w:highlight w:val="none"/>
              </w:rPr>
              <w:t>息处理要</w:t>
            </w:r>
            <w:r>
              <w:rPr>
                <w:spacing w:val="2"/>
                <w:highlight w:val="none"/>
              </w:rPr>
              <w:t xml:space="preserve"> </w:t>
            </w:r>
            <w:r>
              <w:rPr>
                <w:highlight w:val="none"/>
              </w:rPr>
              <w:t>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符合</w:t>
            </w:r>
            <w:r>
              <w:rPr>
                <w:spacing w:val="-33"/>
                <w:highlight w:val="none"/>
              </w:rPr>
              <w:t xml:space="preserve"> </w:t>
            </w:r>
            <w:r>
              <w:rPr>
                <w:spacing w:val="-4"/>
                <w:highlight w:val="none"/>
              </w:rPr>
              <w:t>GB18030</w:t>
            </w:r>
            <w:r>
              <w:rPr>
                <w:spacing w:val="-26"/>
                <w:highlight w:val="none"/>
              </w:rPr>
              <w:t xml:space="preserve"> </w:t>
            </w:r>
            <w:r>
              <w:rPr>
                <w:spacing w:val="-4"/>
                <w:highlight w:val="none"/>
              </w:rPr>
              <w:t>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*操作系</w:t>
            </w:r>
            <w:r>
              <w:rPr>
                <w:highlight w:val="none"/>
              </w:rPr>
              <w:t xml:space="preserve">  </w:t>
            </w:r>
            <w:r>
              <w:rPr>
                <w:spacing w:val="-2"/>
                <w:highlight w:val="none"/>
              </w:rPr>
              <w:t>统备份及</w:t>
            </w:r>
            <w:r>
              <w:rPr>
                <w:spacing w:val="1"/>
                <w:highlight w:val="none"/>
              </w:rPr>
              <w:t xml:space="preserve"> </w:t>
            </w:r>
            <w:r>
              <w:rPr>
                <w:spacing w:val="-2"/>
                <w:highlight w:val="none"/>
              </w:rPr>
              <w:t>还原功能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支持操作系统备份及还原功能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*固件备</w:t>
            </w:r>
            <w:r>
              <w:rPr>
                <w:highlight w:val="none"/>
              </w:rPr>
              <w:t xml:space="preserve">  </w:t>
            </w:r>
            <w:r>
              <w:rPr>
                <w:spacing w:val="-2"/>
                <w:highlight w:val="none"/>
              </w:rPr>
              <w:t>份还原能</w:t>
            </w:r>
            <w:r>
              <w:rPr>
                <w:highlight w:val="none"/>
              </w:rPr>
              <w:t xml:space="preserve"> 力</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rFonts w:hint="eastAsia"/>
                <w:spacing w:val="-2"/>
                <w:highlight w:val="none"/>
                <w:lang w:val="en-US" w:eastAsia="zh-CN"/>
              </w:rPr>
              <w:t>软件</w:t>
            </w:r>
            <w:r>
              <w:rPr>
                <w:spacing w:val="-2"/>
                <w:highlight w:val="none"/>
              </w:rPr>
              <w:t>支持备份及还原固件的功能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*操作系</w:t>
            </w:r>
            <w:r>
              <w:rPr>
                <w:highlight w:val="none"/>
              </w:rPr>
              <w:t xml:space="preserve">  </w:t>
            </w:r>
            <w:r>
              <w:rPr>
                <w:spacing w:val="-2"/>
                <w:highlight w:val="none"/>
              </w:rPr>
              <w:t>统及驱动</w:t>
            </w:r>
            <w:r>
              <w:rPr>
                <w:spacing w:val="1"/>
                <w:highlight w:val="none"/>
              </w:rPr>
              <w:t xml:space="preserve"> </w:t>
            </w:r>
            <w:r>
              <w:rPr>
                <w:spacing w:val="-3"/>
                <w:highlight w:val="none"/>
              </w:rPr>
              <w:t>升级</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支持通过网络、闪存盘等方式对操作</w:t>
            </w:r>
            <w:r>
              <w:rPr>
                <w:spacing w:val="-2"/>
                <w:highlight w:val="none"/>
              </w:rPr>
              <w:t>系统、驱动进行升级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*固件升</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级</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支持通过网络、闪存盘等方式对固件</w:t>
            </w:r>
            <w:r>
              <w:rPr>
                <w:spacing w:val="-2"/>
                <w:highlight w:val="none"/>
              </w:rPr>
              <w:t>进行升级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4"/>
                <w:highlight w:val="none"/>
              </w:rPr>
              <w:t>*BIOS</w:t>
            </w:r>
            <w:r>
              <w:rPr>
                <w:spacing w:val="-27"/>
                <w:highlight w:val="none"/>
              </w:rPr>
              <w:t xml:space="preserve"> </w:t>
            </w:r>
            <w:r>
              <w:rPr>
                <w:spacing w:val="-4"/>
                <w:highlight w:val="none"/>
              </w:rPr>
              <w:t>支</w:t>
            </w:r>
            <w:r>
              <w:rPr>
                <w:highlight w:val="none"/>
              </w:rPr>
              <w:t xml:space="preserve"> </w:t>
            </w:r>
            <w:r>
              <w:rPr>
                <w:spacing w:val="-2"/>
                <w:highlight w:val="none"/>
              </w:rPr>
              <w:t>持关闭通</w:t>
            </w:r>
            <w:r>
              <w:rPr>
                <w:highlight w:val="none"/>
              </w:rPr>
              <w:t xml:space="preserve"> </w:t>
            </w:r>
            <w:r>
              <w:rPr>
                <w:spacing w:val="-3"/>
                <w:highlight w:val="none"/>
              </w:rPr>
              <w:t>讯接口</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支持</w:t>
            </w:r>
            <w:r>
              <w:rPr>
                <w:spacing w:val="-22"/>
                <w:highlight w:val="none"/>
              </w:rPr>
              <w:t xml:space="preserve"> </w:t>
            </w:r>
            <w:r>
              <w:rPr>
                <w:spacing w:val="-4"/>
                <w:highlight w:val="none"/>
              </w:rPr>
              <w:t>BIOS</w:t>
            </w:r>
            <w:r>
              <w:rPr>
                <w:spacing w:val="-32"/>
                <w:highlight w:val="none"/>
              </w:rPr>
              <w:t xml:space="preserve"> </w:t>
            </w:r>
            <w:r>
              <w:rPr>
                <w:spacing w:val="-4"/>
                <w:highlight w:val="none"/>
              </w:rPr>
              <w:t>关闭以太网及</w:t>
            </w:r>
            <w:r>
              <w:rPr>
                <w:spacing w:val="-36"/>
                <w:highlight w:val="none"/>
              </w:rPr>
              <w:t xml:space="preserve"> </w:t>
            </w:r>
            <w:r>
              <w:rPr>
                <w:spacing w:val="-4"/>
                <w:highlight w:val="none"/>
              </w:rPr>
              <w:t>USB</w:t>
            </w:r>
            <w:r>
              <w:rPr>
                <w:spacing w:val="-37"/>
                <w:highlight w:val="none"/>
              </w:rPr>
              <w:t xml:space="preserve"> </w:t>
            </w:r>
            <w:r>
              <w:rPr>
                <w:spacing w:val="-4"/>
                <w:highlight w:val="none"/>
              </w:rPr>
              <w:t>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*固件查</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看信息</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支持查看固件版本、内存信息、主板信息、处理器信息和系统时间信息等</w:t>
            </w:r>
            <w:r>
              <w:rPr>
                <w:spacing w:val="-4"/>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*固件设</w:t>
            </w:r>
            <w:r>
              <w:rPr>
                <w:highlight w:val="none"/>
              </w:rPr>
              <w:t xml:space="preserve">  </w:t>
            </w:r>
            <w:r>
              <w:rPr>
                <w:spacing w:val="-2"/>
                <w:highlight w:val="none"/>
              </w:rPr>
              <w:t>置启动顺</w:t>
            </w:r>
            <w:r>
              <w:rPr>
                <w:highlight w:val="none"/>
              </w:rPr>
              <w:t xml:space="preserve"> 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支持设置启动顺序功能，并按照设置</w:t>
            </w:r>
            <w:r>
              <w:rPr>
                <w:spacing w:val="-3"/>
                <w:highlight w:val="none"/>
              </w:rPr>
              <w:t>的启动顺序启动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*固件设</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置口令</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支持设置口令、修改口令、验证口令</w:t>
            </w:r>
            <w:r>
              <w:rPr>
                <w:spacing w:val="-5"/>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*固件设</w:t>
            </w:r>
            <w:r>
              <w:rPr>
                <w:highlight w:val="none"/>
              </w:rPr>
              <w:t xml:space="preserve">  </w:t>
            </w:r>
            <w:r>
              <w:rPr>
                <w:spacing w:val="-3"/>
                <w:highlight w:val="none"/>
              </w:rPr>
              <w:t>置网络引</w:t>
            </w:r>
            <w:r>
              <w:rPr>
                <w:spacing w:val="1"/>
                <w:highlight w:val="none"/>
              </w:rPr>
              <w:t xml:space="preserve"> </w:t>
            </w:r>
            <w:r>
              <w:rPr>
                <w:highlight w:val="none"/>
              </w:rPr>
              <w:t>导</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支持网络引导启动和关闭功能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restart"/>
            <w:shd w:val="clear" w:color="auto" w:fill="auto"/>
            <w:vAlign w:val="center"/>
          </w:tcPr>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*存储</w:t>
            </w:r>
            <w:r>
              <w:rPr>
                <w:spacing w:val="-4"/>
                <w:highlight w:val="none"/>
              </w:rPr>
              <w:t>设备</w:t>
            </w:r>
            <w:r>
              <w:rPr>
                <w:spacing w:val="-5"/>
                <w:highlight w:val="none"/>
              </w:rPr>
              <w:t>可靠</w:t>
            </w:r>
            <w:r>
              <w:rPr>
                <w:highlight w:val="none"/>
              </w:rPr>
              <w:t>性</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*固态存</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储寿命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right="0" w:rightChars="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TBW</w:t>
            </w:r>
            <w:r>
              <w:rPr>
                <w:spacing w:val="28"/>
                <w:highlight w:val="none"/>
              </w:rPr>
              <w:t xml:space="preserve"> </w:t>
            </w:r>
            <w:r>
              <w:rPr>
                <w:spacing w:val="-4"/>
                <w:highlight w:val="none"/>
              </w:rPr>
              <w:t>≥ 80TB（条件：240GB</w:t>
            </w:r>
            <w:r>
              <w:rPr>
                <w:spacing w:val="-38"/>
                <w:highlight w:val="none"/>
              </w:rPr>
              <w:t xml:space="preserve"> </w:t>
            </w:r>
            <w:r>
              <w:rPr>
                <w:spacing w:val="-4"/>
                <w:highlight w:val="none"/>
              </w:rPr>
              <w:t>硬盘容</w:t>
            </w:r>
            <w:r>
              <w:rPr>
                <w:spacing w:val="-5"/>
                <w:highlight w:val="none"/>
              </w:rPr>
              <w:t>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*机械硬</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盘寿命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通电时间≥5</w:t>
            </w:r>
            <w:r>
              <w:rPr>
                <w:spacing w:val="-35"/>
                <w:highlight w:val="none"/>
              </w:rPr>
              <w:t xml:space="preserve"> </w:t>
            </w:r>
            <w:r>
              <w:rPr>
                <w:spacing w:val="-2"/>
                <w:highlight w:val="none"/>
              </w:rPr>
              <w:t>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shd w:val="clear" w:color="auto" w:fill="auto"/>
            <w:vAlign w:val="center"/>
          </w:tcPr>
          <w:p>
            <w:pPr>
              <w:pStyle w:val="69"/>
              <w:widowControl w:val="0"/>
              <w:spacing w:line="240" w:lineRule="auto"/>
              <w:ind w:left="0" w:right="0" w:firstLine="0"/>
              <w:jc w:val="center"/>
              <w:rPr>
                <w:highlight w:val="none"/>
              </w:rPr>
            </w:pPr>
            <w:r>
              <w:rPr>
                <w:spacing w:val="-2"/>
                <w:highlight w:val="none"/>
              </w:rPr>
              <w:t>*显示</w:t>
            </w:r>
            <w:r>
              <w:rPr>
                <w:spacing w:val="-4"/>
                <w:highlight w:val="none"/>
              </w:rPr>
              <w:t>设备</w:t>
            </w:r>
            <w:r>
              <w:rPr>
                <w:spacing w:val="-5"/>
                <w:highlight w:val="none"/>
              </w:rPr>
              <w:t>可靠</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性</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*显示屏</w:t>
            </w:r>
            <w:r>
              <w:rPr>
                <w:highlight w:val="none"/>
              </w:rPr>
              <w:t xml:space="preserve">  </w:t>
            </w:r>
            <w:r>
              <w:rPr>
                <w:spacing w:val="-2"/>
                <w:highlight w:val="none"/>
              </w:rPr>
              <w:t>屏幕失效</w:t>
            </w:r>
            <w:r>
              <w:rPr>
                <w:highlight w:val="none"/>
              </w:rPr>
              <w:t xml:space="preserve"> 点</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符合</w:t>
            </w:r>
            <w:r>
              <w:rPr>
                <w:spacing w:val="-39"/>
                <w:highlight w:val="none"/>
              </w:rPr>
              <w:t xml:space="preserve"> </w:t>
            </w:r>
            <w:r>
              <w:rPr>
                <w:spacing w:val="-2"/>
                <w:highlight w:val="none"/>
              </w:rPr>
              <w:t>GB/T9813.2</w:t>
            </w:r>
            <w:r>
              <w:rPr>
                <w:spacing w:val="-27"/>
                <w:highlight w:val="none"/>
              </w:rPr>
              <w:t xml:space="preserve"> </w:t>
            </w:r>
            <w:r>
              <w:rPr>
                <w:spacing w:val="-2"/>
                <w:highlight w:val="none"/>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restart"/>
            <w:shd w:val="clear" w:color="auto" w:fill="auto"/>
            <w:vAlign w:val="center"/>
          </w:tcPr>
          <w:p>
            <w:pPr>
              <w:pStyle w:val="69"/>
              <w:widowControl w:val="0"/>
              <w:spacing w:line="240" w:lineRule="auto"/>
              <w:ind w:left="0" w:right="0" w:firstLine="0"/>
              <w:jc w:val="both"/>
              <w:rPr>
                <w:rFonts w:ascii="黑体" w:hAnsi="黑体" w:eastAsia="黑体" w:cs="黑体"/>
                <w:snapToGrid w:val="0"/>
                <w:color w:val="000000"/>
                <w:kern w:val="0"/>
                <w:sz w:val="18"/>
                <w:szCs w:val="18"/>
                <w:highlight w:val="none"/>
                <w:lang w:val="en-US" w:eastAsia="en-US" w:bidi="ar-SA"/>
              </w:rPr>
            </w:pPr>
            <w:r>
              <w:rPr>
                <w:spacing w:val="-2"/>
                <w:highlight w:val="none"/>
              </w:rPr>
              <w:t>*外设</w:t>
            </w:r>
            <w:r>
              <w:rPr>
                <w:spacing w:val="-5"/>
                <w:highlight w:val="none"/>
              </w:rPr>
              <w:t>可靠</w:t>
            </w:r>
            <w:r>
              <w:rPr>
                <w:highlight w:val="none"/>
              </w:rPr>
              <w:t>性</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*键盘按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键寿命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≥1000</w:t>
            </w:r>
            <w:r>
              <w:rPr>
                <w:spacing w:val="-29"/>
                <w:highlight w:val="none"/>
              </w:rPr>
              <w:t xml:space="preserve"> </w:t>
            </w:r>
            <w:r>
              <w:rPr>
                <w:spacing w:val="-6"/>
                <w:highlight w:val="none"/>
              </w:rPr>
              <w:t>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*鼠标按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键寿命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7"/>
                <w:highlight w:val="none"/>
              </w:rPr>
              <w:t>≥500</w:t>
            </w:r>
            <w:r>
              <w:rPr>
                <w:spacing w:val="-30"/>
                <w:highlight w:val="none"/>
              </w:rPr>
              <w:t xml:space="preserve"> </w:t>
            </w:r>
            <w:r>
              <w:rPr>
                <w:spacing w:val="-7"/>
                <w:highlight w:val="none"/>
              </w:rPr>
              <w:t>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*键盘鼠</w:t>
            </w:r>
            <w:r>
              <w:rPr>
                <w:highlight w:val="none"/>
              </w:rPr>
              <w:t xml:space="preserve">  </w:t>
            </w:r>
            <w:r>
              <w:rPr>
                <w:spacing w:val="-1"/>
                <w:highlight w:val="none"/>
              </w:rPr>
              <w:t>标线材寿</w:t>
            </w:r>
            <w:r>
              <w:rPr>
                <w:highlight w:val="none"/>
              </w:rPr>
              <w:t xml:space="preserve"> 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键盘鼠标所用线材经±60</w:t>
            </w:r>
            <w:r>
              <w:rPr>
                <w:spacing w:val="-62"/>
                <w:highlight w:val="none"/>
              </w:rPr>
              <w:t xml:space="preserve"> </w:t>
            </w:r>
            <w:r>
              <w:rPr>
                <w:spacing w:val="-2"/>
                <w:highlight w:val="none"/>
              </w:rPr>
              <w:t>°弯折不低</w:t>
            </w:r>
            <w:r>
              <w:rPr>
                <w:highlight w:val="none"/>
              </w:rPr>
              <w:t xml:space="preserve"> </w:t>
            </w:r>
            <w:r>
              <w:rPr>
                <w:spacing w:val="-2"/>
                <w:highlight w:val="none"/>
              </w:rPr>
              <w:t>于</w:t>
            </w:r>
            <w:r>
              <w:rPr>
                <w:spacing w:val="-34"/>
                <w:highlight w:val="none"/>
              </w:rPr>
              <w:t xml:space="preserve"> </w:t>
            </w:r>
            <w:r>
              <w:rPr>
                <w:spacing w:val="-2"/>
                <w:highlight w:val="none"/>
              </w:rPr>
              <w:t>3000</w:t>
            </w:r>
            <w:r>
              <w:rPr>
                <w:spacing w:val="-38"/>
                <w:highlight w:val="none"/>
              </w:rPr>
              <w:t xml:space="preserve"> </w:t>
            </w:r>
            <w:r>
              <w:rPr>
                <w:spacing w:val="-2"/>
                <w:highlight w:val="none"/>
              </w:rPr>
              <w:t>次，功能、外观完好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*风扇寿</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8"/>
                <w:highlight w:val="none"/>
              </w:rPr>
              <w:t>≥4</w:t>
            </w:r>
            <w:r>
              <w:rPr>
                <w:spacing w:val="-32"/>
                <w:highlight w:val="none"/>
              </w:rPr>
              <w:t xml:space="preserve"> </w:t>
            </w:r>
            <w:r>
              <w:rPr>
                <w:spacing w:val="-8"/>
                <w:highlight w:val="none"/>
              </w:rPr>
              <w:t>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restart"/>
            <w:shd w:val="clear" w:color="auto" w:fill="auto"/>
            <w:vAlign w:val="center"/>
          </w:tcPr>
          <w:p>
            <w:pPr>
              <w:pStyle w:val="69"/>
              <w:widowControl w:val="0"/>
              <w:spacing w:line="240" w:lineRule="auto"/>
              <w:ind w:left="0" w:right="0" w:firstLine="0"/>
              <w:jc w:val="both"/>
              <w:rPr>
                <w:rFonts w:ascii="黑体" w:hAnsi="黑体" w:eastAsia="黑体" w:cs="黑体"/>
                <w:snapToGrid w:val="0"/>
                <w:color w:val="000000"/>
                <w:kern w:val="0"/>
                <w:sz w:val="18"/>
                <w:szCs w:val="18"/>
                <w:highlight w:val="none"/>
                <w:lang w:val="en-US" w:eastAsia="en-US" w:bidi="ar-SA"/>
              </w:rPr>
            </w:pPr>
            <w:r>
              <w:rPr>
                <w:spacing w:val="-2"/>
                <w:highlight w:val="none"/>
              </w:rPr>
              <w:t>*整机</w:t>
            </w:r>
            <w:r>
              <w:rPr>
                <w:spacing w:val="-5"/>
                <w:highlight w:val="none"/>
              </w:rPr>
              <w:t>可靠</w:t>
            </w:r>
            <w:r>
              <w:rPr>
                <w:spacing w:val="-4"/>
                <w:highlight w:val="none"/>
              </w:rPr>
              <w:t>性要</w:t>
            </w:r>
            <w:r>
              <w:rPr>
                <w:highlight w:val="none"/>
              </w:rPr>
              <w:t>求</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*电磁兼</w:t>
            </w:r>
            <w:r>
              <w:rPr>
                <w:highlight w:val="none"/>
              </w:rPr>
              <w:t xml:space="preserve">  </w:t>
            </w:r>
            <w:r>
              <w:rPr>
                <w:spacing w:val="-2"/>
                <w:highlight w:val="none"/>
              </w:rPr>
              <w:t>容性要求</w:t>
            </w:r>
            <w:r>
              <w:rPr>
                <w:highlight w:val="none"/>
              </w:rPr>
              <w:t xml:space="preserve"> </w:t>
            </w:r>
            <w:r>
              <w:rPr>
                <w:spacing w:val="-2"/>
                <w:highlight w:val="none"/>
              </w:rPr>
              <w:t>的抗扰度</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符合</w:t>
            </w:r>
            <w:r>
              <w:rPr>
                <w:spacing w:val="-39"/>
                <w:highlight w:val="none"/>
              </w:rPr>
              <w:t xml:space="preserve"> </w:t>
            </w:r>
            <w:r>
              <w:rPr>
                <w:spacing w:val="-2"/>
                <w:highlight w:val="none"/>
              </w:rPr>
              <w:t>GB/T9254.2</w:t>
            </w:r>
            <w:r>
              <w:rPr>
                <w:spacing w:val="-27"/>
                <w:highlight w:val="none"/>
              </w:rPr>
              <w:t xml:space="preserve"> </w:t>
            </w:r>
            <w:r>
              <w:rPr>
                <w:spacing w:val="-2"/>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*环境条</w:t>
            </w:r>
            <w:r>
              <w:rPr>
                <w:highlight w:val="none"/>
              </w:rPr>
              <w:t xml:space="preserve">  </w:t>
            </w:r>
            <w:r>
              <w:rPr>
                <w:spacing w:val="-2"/>
                <w:highlight w:val="none"/>
              </w:rPr>
              <w:t>件要求的</w:t>
            </w:r>
            <w:r>
              <w:rPr>
                <w:spacing w:val="1"/>
                <w:highlight w:val="none"/>
              </w:rPr>
              <w:t xml:space="preserve"> </w:t>
            </w:r>
            <w:r>
              <w:rPr>
                <w:spacing w:val="-2"/>
                <w:highlight w:val="none"/>
              </w:rPr>
              <w:t>气候环境</w:t>
            </w:r>
            <w:r>
              <w:rPr>
                <w:spacing w:val="1"/>
                <w:highlight w:val="none"/>
              </w:rPr>
              <w:t xml:space="preserve"> </w:t>
            </w:r>
            <w:r>
              <w:rPr>
                <w:spacing w:val="-2"/>
                <w:highlight w:val="none"/>
              </w:rPr>
              <w:t>适应性</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符合</w:t>
            </w:r>
            <w:r>
              <w:rPr>
                <w:spacing w:val="-28"/>
                <w:highlight w:val="none"/>
              </w:rPr>
              <w:t xml:space="preserve"> </w:t>
            </w:r>
            <w:r>
              <w:rPr>
                <w:spacing w:val="-3"/>
                <w:highlight w:val="none"/>
              </w:rPr>
              <w:t>GB/T9813.1</w:t>
            </w:r>
            <w:r>
              <w:rPr>
                <w:spacing w:val="-22"/>
                <w:highlight w:val="none"/>
              </w:rPr>
              <w:t xml:space="preserve"> </w:t>
            </w:r>
            <w:r>
              <w:rPr>
                <w:spacing w:val="-3"/>
                <w:highlight w:val="none"/>
              </w:rPr>
              <w:t>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*环境条</w:t>
            </w:r>
            <w:r>
              <w:rPr>
                <w:spacing w:val="-2"/>
                <w:highlight w:val="none"/>
              </w:rPr>
              <w:t>件要的振动适应</w:t>
            </w:r>
            <w:r>
              <w:rPr>
                <w:spacing w:val="1"/>
                <w:highlight w:val="none"/>
              </w:rPr>
              <w:t xml:space="preserve"> </w:t>
            </w:r>
            <w:r>
              <w:rPr>
                <w:highlight w:val="none"/>
              </w:rPr>
              <w:t>性</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符合</w:t>
            </w:r>
            <w:r>
              <w:rPr>
                <w:spacing w:val="-28"/>
                <w:highlight w:val="none"/>
              </w:rPr>
              <w:t xml:space="preserve"> </w:t>
            </w:r>
            <w:r>
              <w:rPr>
                <w:spacing w:val="-3"/>
                <w:highlight w:val="none"/>
              </w:rPr>
              <w:t>GB/T9813.1</w:t>
            </w:r>
            <w:r>
              <w:rPr>
                <w:spacing w:val="-22"/>
                <w:highlight w:val="none"/>
              </w:rPr>
              <w:t xml:space="preserve"> </w:t>
            </w:r>
            <w:r>
              <w:rPr>
                <w:spacing w:val="-3"/>
                <w:highlight w:val="none"/>
              </w:rPr>
              <w:t>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*环境条</w:t>
            </w:r>
            <w:r>
              <w:rPr>
                <w:highlight w:val="none"/>
              </w:rPr>
              <w:t xml:space="preserve">  </w:t>
            </w:r>
            <w:r>
              <w:rPr>
                <w:spacing w:val="-2"/>
                <w:highlight w:val="none"/>
              </w:rPr>
              <w:t>件要求的</w:t>
            </w:r>
            <w:r>
              <w:rPr>
                <w:spacing w:val="1"/>
                <w:highlight w:val="none"/>
              </w:rPr>
              <w:t xml:space="preserve"> </w:t>
            </w:r>
            <w:r>
              <w:rPr>
                <w:spacing w:val="-2"/>
                <w:highlight w:val="none"/>
              </w:rPr>
              <w:t>冲击适应</w:t>
            </w:r>
            <w:r>
              <w:rPr>
                <w:spacing w:val="1"/>
                <w:highlight w:val="none"/>
              </w:rPr>
              <w:t xml:space="preserve"> </w:t>
            </w:r>
            <w:r>
              <w:rPr>
                <w:highlight w:val="none"/>
              </w:rPr>
              <w:t>性</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符合</w:t>
            </w:r>
            <w:r>
              <w:rPr>
                <w:spacing w:val="-28"/>
                <w:highlight w:val="none"/>
              </w:rPr>
              <w:t xml:space="preserve"> </w:t>
            </w:r>
            <w:r>
              <w:rPr>
                <w:spacing w:val="-3"/>
                <w:highlight w:val="none"/>
              </w:rPr>
              <w:t>GB/T9813.1</w:t>
            </w:r>
            <w:r>
              <w:rPr>
                <w:spacing w:val="-22"/>
                <w:highlight w:val="none"/>
              </w:rPr>
              <w:t xml:space="preserve"> </w:t>
            </w:r>
            <w:r>
              <w:rPr>
                <w:spacing w:val="-3"/>
                <w:highlight w:val="none"/>
              </w:rPr>
              <w:t>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*环境条</w:t>
            </w:r>
            <w:r>
              <w:rPr>
                <w:highlight w:val="none"/>
              </w:rPr>
              <w:t xml:space="preserve">  </w:t>
            </w:r>
            <w:r>
              <w:rPr>
                <w:spacing w:val="-2"/>
                <w:highlight w:val="none"/>
              </w:rPr>
              <w:t>件要求的</w:t>
            </w:r>
            <w:r>
              <w:rPr>
                <w:spacing w:val="1"/>
                <w:highlight w:val="none"/>
              </w:rPr>
              <w:t xml:space="preserve"> </w:t>
            </w:r>
            <w:r>
              <w:rPr>
                <w:spacing w:val="-2"/>
                <w:highlight w:val="none"/>
              </w:rPr>
              <w:t>碰撞适应</w:t>
            </w:r>
            <w:r>
              <w:rPr>
                <w:spacing w:val="1"/>
                <w:highlight w:val="none"/>
              </w:rPr>
              <w:t xml:space="preserve"> </w:t>
            </w:r>
            <w:r>
              <w:rPr>
                <w:highlight w:val="none"/>
              </w:rPr>
              <w:t>性</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符合</w:t>
            </w:r>
            <w:r>
              <w:rPr>
                <w:spacing w:val="-28"/>
                <w:highlight w:val="none"/>
              </w:rPr>
              <w:t xml:space="preserve"> </w:t>
            </w:r>
            <w:r>
              <w:rPr>
                <w:spacing w:val="-3"/>
                <w:highlight w:val="none"/>
              </w:rPr>
              <w:t>GB/T9813.1</w:t>
            </w:r>
            <w:r>
              <w:rPr>
                <w:spacing w:val="-22"/>
                <w:highlight w:val="none"/>
              </w:rPr>
              <w:t xml:space="preserve"> </w:t>
            </w:r>
            <w:r>
              <w:rPr>
                <w:spacing w:val="-3"/>
                <w:highlight w:val="none"/>
              </w:rPr>
              <w:t>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*环境条</w:t>
            </w:r>
            <w:r>
              <w:rPr>
                <w:highlight w:val="none"/>
              </w:rPr>
              <w:t xml:space="preserve">  </w:t>
            </w:r>
            <w:r>
              <w:rPr>
                <w:spacing w:val="-2"/>
                <w:highlight w:val="none"/>
              </w:rPr>
              <w:t>件要求的</w:t>
            </w:r>
            <w:r>
              <w:rPr>
                <w:spacing w:val="1"/>
                <w:highlight w:val="none"/>
              </w:rPr>
              <w:t xml:space="preserve"> </w:t>
            </w:r>
            <w:r>
              <w:rPr>
                <w:spacing w:val="-2"/>
                <w:highlight w:val="none"/>
              </w:rPr>
              <w:t>运输包装</w:t>
            </w:r>
            <w:r>
              <w:rPr>
                <w:spacing w:val="1"/>
                <w:highlight w:val="none"/>
              </w:rPr>
              <w:t xml:space="preserve"> </w:t>
            </w:r>
            <w:r>
              <w:rPr>
                <w:spacing w:val="-2"/>
                <w:highlight w:val="none"/>
              </w:rPr>
              <w:t>件跌落适</w:t>
            </w:r>
            <w:r>
              <w:rPr>
                <w:spacing w:val="1"/>
                <w:highlight w:val="none"/>
              </w:rPr>
              <w:t xml:space="preserve"> </w:t>
            </w:r>
            <w:r>
              <w:rPr>
                <w:spacing w:val="-3"/>
                <w:highlight w:val="none"/>
              </w:rPr>
              <w:t>应性</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符合</w:t>
            </w:r>
            <w:r>
              <w:rPr>
                <w:spacing w:val="-28"/>
                <w:highlight w:val="none"/>
              </w:rPr>
              <w:t xml:space="preserve"> </w:t>
            </w:r>
            <w:r>
              <w:rPr>
                <w:spacing w:val="-3"/>
                <w:highlight w:val="none"/>
              </w:rPr>
              <w:t>GB/T9813.1</w:t>
            </w:r>
            <w:r>
              <w:rPr>
                <w:spacing w:val="-22"/>
                <w:highlight w:val="none"/>
              </w:rPr>
              <w:t xml:space="preserve"> </w:t>
            </w:r>
            <w:r>
              <w:rPr>
                <w:spacing w:val="-3"/>
                <w:highlight w:val="none"/>
              </w:rPr>
              <w:t>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2"/>
                <w:position w:val="4"/>
                <w:highlight w:val="none"/>
              </w:rPr>
              <w:t>*MTBF</w:t>
            </w:r>
            <w:r>
              <w:rPr>
                <w:spacing w:val="-33"/>
                <w:position w:val="4"/>
                <w:highlight w:val="none"/>
              </w:rPr>
              <w:t xml:space="preserve"> </w:t>
            </w:r>
            <w:r>
              <w:rPr>
                <w:spacing w:val="-2"/>
                <w:position w:val="4"/>
                <w:highlight w:val="none"/>
              </w:rPr>
              <w:t>测</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试</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MTBF(m1)≥3</w:t>
            </w:r>
            <w:r>
              <w:rPr>
                <w:spacing w:val="-27"/>
                <w:highlight w:val="none"/>
              </w:rPr>
              <w:t xml:space="preserve"> </w:t>
            </w:r>
            <w:r>
              <w:rPr>
                <w:spacing w:val="-2"/>
                <w:highlight w:val="none"/>
              </w:rPr>
              <w:t>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兼容</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*兼容</w:t>
            </w:r>
            <w:r>
              <w:rPr>
                <w:spacing w:val="-3"/>
                <w:highlight w:val="none"/>
              </w:rPr>
              <w:t>要求</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*常用软</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件兼容</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3"/>
                <w:highlight w:val="none"/>
              </w:rPr>
              <w:t>支持流式软件、版式软件、浏览器、邮件采购人端、解压软件、多媒体、</w:t>
            </w:r>
            <w:r>
              <w:rPr>
                <w:spacing w:val="-2"/>
                <w:highlight w:val="none"/>
              </w:rPr>
              <w:t>图形图像处理等常用软件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兼容</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*数据库</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兼容</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兼容</w:t>
            </w:r>
            <w:r>
              <w:rPr>
                <w:spacing w:val="-32"/>
                <w:highlight w:val="none"/>
              </w:rPr>
              <w:t xml:space="preserve"> </w:t>
            </w:r>
            <w:r>
              <w:rPr>
                <w:spacing w:val="-2"/>
                <w:highlight w:val="none"/>
              </w:rPr>
              <w:t>3</w:t>
            </w:r>
            <w:r>
              <w:rPr>
                <w:spacing w:val="-39"/>
                <w:highlight w:val="none"/>
              </w:rPr>
              <w:t xml:space="preserve"> </w:t>
            </w:r>
            <w:r>
              <w:rPr>
                <w:spacing w:val="-2"/>
                <w:highlight w:val="none"/>
              </w:rPr>
              <w:t>个及以上厂商的数据库产品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兼容</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3"/>
                <w:highlight w:val="none"/>
              </w:rPr>
              <w:t>*中间件</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兼容</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兼容</w:t>
            </w:r>
            <w:r>
              <w:rPr>
                <w:spacing w:val="-34"/>
                <w:highlight w:val="none"/>
              </w:rPr>
              <w:t xml:space="preserve"> </w:t>
            </w:r>
            <w:r>
              <w:rPr>
                <w:spacing w:val="-2"/>
                <w:highlight w:val="none"/>
              </w:rPr>
              <w:t>3</w:t>
            </w:r>
            <w:r>
              <w:rPr>
                <w:spacing w:val="-39"/>
                <w:highlight w:val="none"/>
              </w:rPr>
              <w:t xml:space="preserve"> </w:t>
            </w:r>
            <w:r>
              <w:rPr>
                <w:spacing w:val="-2"/>
                <w:highlight w:val="none"/>
              </w:rPr>
              <w:t>个及以上厂商中间件产品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兼容</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*平台软</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件兼容</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兼容</w:t>
            </w:r>
            <w:r>
              <w:rPr>
                <w:spacing w:val="-30"/>
                <w:highlight w:val="none"/>
              </w:rPr>
              <w:t xml:space="preserve"> </w:t>
            </w:r>
            <w:r>
              <w:rPr>
                <w:spacing w:val="-2"/>
                <w:highlight w:val="none"/>
              </w:rPr>
              <w:t>3</w:t>
            </w:r>
            <w:r>
              <w:rPr>
                <w:spacing w:val="-39"/>
                <w:highlight w:val="none"/>
              </w:rPr>
              <w:t xml:space="preserve"> </w:t>
            </w:r>
            <w:r>
              <w:rPr>
                <w:spacing w:val="-2"/>
                <w:highlight w:val="none"/>
              </w:rPr>
              <w:t>个及以上厂商云计算及大数据</w:t>
            </w:r>
            <w:r>
              <w:rPr>
                <w:spacing w:val="-6"/>
                <w:highlight w:val="none"/>
              </w:rPr>
              <w:t>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3"/>
                <w:highlight w:val="none"/>
              </w:rPr>
              <w:t>包装</w:t>
            </w:r>
          </w:p>
          <w:p>
            <w:pPr>
              <w:pStyle w:val="69"/>
              <w:widowControl w:val="0"/>
              <w:spacing w:line="240" w:lineRule="auto"/>
              <w:ind w:left="0" w:right="0" w:firstLine="0"/>
              <w:jc w:val="center"/>
              <w:rPr>
                <w:highlight w:val="none"/>
              </w:rPr>
            </w:pPr>
            <w:r>
              <w:rPr>
                <w:spacing w:val="-4"/>
                <w:highlight w:val="none"/>
              </w:rPr>
              <w:t>及运</w:t>
            </w:r>
          </w:p>
          <w:p>
            <w:pPr>
              <w:pStyle w:val="69"/>
              <w:widowControl w:val="0"/>
              <w:spacing w:line="240" w:lineRule="auto"/>
              <w:ind w:left="0" w:right="0" w:firstLine="0"/>
              <w:jc w:val="center"/>
              <w:rPr>
                <w:highlight w:val="none"/>
              </w:rPr>
            </w:pPr>
            <w:r>
              <w:rPr>
                <w:spacing w:val="-4"/>
                <w:highlight w:val="none"/>
              </w:rPr>
              <w:t>输要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shd w:val="clear" w:color="auto" w:fill="auto"/>
            <w:vAlign w:val="center"/>
          </w:tcPr>
          <w:p>
            <w:pPr>
              <w:pStyle w:val="69"/>
              <w:widowControl w:val="0"/>
              <w:spacing w:line="240" w:lineRule="auto"/>
              <w:ind w:left="0" w:right="0" w:firstLine="0"/>
              <w:jc w:val="center"/>
              <w:rPr>
                <w:highlight w:val="none"/>
              </w:rPr>
            </w:pPr>
            <w:r>
              <w:rPr>
                <w:spacing w:val="-2"/>
                <w:highlight w:val="none"/>
              </w:rPr>
              <w:t>*包装</w:t>
            </w:r>
            <w:r>
              <w:rPr>
                <w:spacing w:val="-4"/>
                <w:highlight w:val="none"/>
              </w:rPr>
              <w:t>及运输要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7"/>
                <w:highlight w:val="none"/>
              </w:rPr>
              <w:t>*标志、包</w:t>
            </w:r>
            <w:r>
              <w:rPr>
                <w:highlight w:val="none"/>
              </w:rPr>
              <w:t xml:space="preserve"> </w:t>
            </w:r>
            <w:r>
              <w:rPr>
                <w:spacing w:val="-2"/>
                <w:highlight w:val="none"/>
              </w:rPr>
              <w:t>装、运输</w:t>
            </w:r>
            <w:r>
              <w:rPr>
                <w:highlight w:val="none"/>
              </w:rPr>
              <w:t xml:space="preserve"> </w:t>
            </w:r>
            <w:r>
              <w:rPr>
                <w:spacing w:val="-3"/>
                <w:highlight w:val="none"/>
              </w:rPr>
              <w:t>和贮存</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符合</w:t>
            </w:r>
            <w:r>
              <w:rPr>
                <w:spacing w:val="-20"/>
                <w:highlight w:val="none"/>
              </w:rPr>
              <w:t xml:space="preserve"> </w:t>
            </w:r>
            <w:r>
              <w:rPr>
                <w:spacing w:val="-2"/>
                <w:highlight w:val="none"/>
              </w:rPr>
              <w:t>GB/T 9813.1</w:t>
            </w:r>
            <w:r>
              <w:rPr>
                <w:spacing w:val="-36"/>
                <w:highlight w:val="none"/>
              </w:rPr>
              <w:t xml:space="preserve"> </w:t>
            </w:r>
            <w:r>
              <w:rPr>
                <w:spacing w:val="-2"/>
                <w:highlight w:val="none"/>
              </w:rPr>
              <w:t>和商品包装政府采</w:t>
            </w:r>
            <w:r>
              <w:rPr>
                <w:spacing w:val="-1"/>
                <w:highlight w:val="none"/>
              </w:rPr>
              <w:t>购需求标准的相关规定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2"/>
                <w:highlight w:val="none"/>
              </w:rPr>
              <w:t>*</w:t>
            </w:r>
            <w:r>
              <w:rPr>
                <w:rFonts w:hint="eastAsia"/>
                <w:spacing w:val="-2"/>
                <w:highlight w:val="none"/>
                <w:lang w:val="en-US" w:eastAsia="zh-CN"/>
              </w:rPr>
              <w:t>服务</w:t>
            </w:r>
            <w:r>
              <w:rPr>
                <w:spacing w:val="-4"/>
                <w:highlight w:val="none"/>
              </w:rPr>
              <w:t>要</w:t>
            </w:r>
          </w:p>
          <w:p>
            <w:pPr>
              <w:widowControl w:val="0"/>
              <w:spacing w:line="240" w:lineRule="auto"/>
              <w:ind w:left="0" w:right="0" w:firstLine="0"/>
              <w:jc w:val="center"/>
              <w:rPr>
                <w:rFonts w:ascii="Arial"/>
                <w:sz w:val="21"/>
                <w:highlight w:val="none"/>
              </w:rPr>
            </w:pPr>
            <w:r>
              <w:rPr>
                <w:highlight w:val="none"/>
              </w:rPr>
              <w:t>求</w:t>
            </w: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*服务</w:t>
            </w:r>
            <w:r>
              <w:rPr>
                <w:spacing w:val="-3"/>
                <w:highlight w:val="none"/>
              </w:rPr>
              <w:t>要求</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*配置检</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查工具</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供应商提供自检测试工具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123</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position w:val="4"/>
                <w:highlight w:val="none"/>
              </w:rPr>
              <w:t>*服务响</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应</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highlight w:val="none"/>
              </w:rPr>
            </w:pPr>
            <w:r>
              <w:rPr>
                <w:spacing w:val="-1"/>
                <w:highlight w:val="none"/>
              </w:rPr>
              <w:t>a)供应商提供电话、电子邮件、远程</w:t>
            </w:r>
            <w:r>
              <w:rPr>
                <w:spacing w:val="8"/>
                <w:highlight w:val="none"/>
              </w:rPr>
              <w:t xml:space="preserve"> </w:t>
            </w:r>
            <w:r>
              <w:rPr>
                <w:spacing w:val="-1"/>
                <w:highlight w:val="none"/>
              </w:rPr>
              <w:t>连接等多种形式服务；</w:t>
            </w:r>
          </w:p>
          <w:p>
            <w:pPr>
              <w:pStyle w:val="69"/>
              <w:widowControl w:val="0"/>
              <w:spacing w:line="240" w:lineRule="auto"/>
              <w:ind w:left="0" w:right="0" w:firstLine="0"/>
              <w:jc w:val="center"/>
              <w:rPr>
                <w:highlight w:val="none"/>
              </w:rPr>
            </w:pPr>
            <w:r>
              <w:rPr>
                <w:spacing w:val="-2"/>
                <w:highlight w:val="none"/>
              </w:rPr>
              <w:t>b)供应商提供同城</w:t>
            </w:r>
            <w:r>
              <w:rPr>
                <w:spacing w:val="-42"/>
                <w:highlight w:val="none"/>
              </w:rPr>
              <w:t xml:space="preserve"> </w:t>
            </w:r>
            <w:r>
              <w:rPr>
                <w:spacing w:val="-2"/>
                <w:highlight w:val="none"/>
              </w:rPr>
              <w:t>4h、异地</w:t>
            </w:r>
            <w:r>
              <w:rPr>
                <w:spacing w:val="-31"/>
                <w:highlight w:val="none"/>
              </w:rPr>
              <w:t xml:space="preserve"> </w:t>
            </w:r>
            <w:r>
              <w:rPr>
                <w:spacing w:val="-2"/>
                <w:highlight w:val="none"/>
              </w:rPr>
              <w:t>12h</w:t>
            </w:r>
            <w:r>
              <w:rPr>
                <w:spacing w:val="-33"/>
                <w:highlight w:val="none"/>
              </w:rPr>
              <w:t xml:space="preserve"> </w:t>
            </w:r>
            <w:r>
              <w:rPr>
                <w:spacing w:val="-2"/>
                <w:highlight w:val="none"/>
              </w:rPr>
              <w:t>技术</w:t>
            </w:r>
            <w:r>
              <w:rPr>
                <w:highlight w:val="none"/>
              </w:rPr>
              <w:t xml:space="preserve"> </w:t>
            </w:r>
            <w:r>
              <w:rPr>
                <w:spacing w:val="-4"/>
                <w:highlight w:val="none"/>
              </w:rPr>
              <w:t>响应服务，2</w:t>
            </w:r>
            <w:r>
              <w:rPr>
                <w:spacing w:val="-36"/>
                <w:highlight w:val="none"/>
              </w:rPr>
              <w:t xml:space="preserve"> </w:t>
            </w:r>
            <w:r>
              <w:rPr>
                <w:spacing w:val="-4"/>
                <w:highlight w:val="none"/>
              </w:rPr>
              <w:t>个工作日解决问题，对于</w:t>
            </w:r>
            <w:r>
              <w:rPr>
                <w:spacing w:val="-1"/>
                <w:highlight w:val="none"/>
              </w:rPr>
              <w:t>未能解决的问题和故障应提供可行的升级方案，并提供周转设备或更换设</w:t>
            </w:r>
            <w:r>
              <w:rPr>
                <w:spacing w:val="-4"/>
                <w:highlight w:val="none"/>
              </w:rPr>
              <w:t>备；</w:t>
            </w:r>
          </w:p>
          <w:p>
            <w:pPr>
              <w:pStyle w:val="69"/>
              <w:widowControl w:val="0"/>
              <w:spacing w:line="240" w:lineRule="auto"/>
              <w:ind w:left="0" w:right="0" w:firstLine="0"/>
              <w:jc w:val="center"/>
              <w:rPr>
                <w:highlight w:val="none"/>
              </w:rPr>
            </w:pPr>
            <w:r>
              <w:rPr>
                <w:spacing w:val="-1"/>
                <w:highlight w:val="none"/>
              </w:rPr>
              <w:t>c)建立全国技术服务体系和服务团体，符合专业服务体系标准要求，提供原厂中文服务；</w:t>
            </w: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d)服务周期内提供产品的维修、换件</w:t>
            </w:r>
            <w:r>
              <w:rPr>
                <w:spacing w:val="9"/>
                <w:highlight w:val="none"/>
              </w:rPr>
              <w:t xml:space="preserve"> </w:t>
            </w:r>
            <w:r>
              <w:rPr>
                <w:spacing w:val="-2"/>
                <w:highlight w:val="none"/>
              </w:rPr>
              <w:t>和升级服务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124</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position w:val="4"/>
                <w:highlight w:val="none"/>
              </w:rPr>
              <w:t>*服务周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期</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highlight w:val="none"/>
              </w:rPr>
            </w:pPr>
            <w:r>
              <w:rPr>
                <w:spacing w:val="-1"/>
                <w:highlight w:val="none"/>
              </w:rPr>
              <w:t>a) 设备停产后应继续提供质量保障服务（含备品备件</w:t>
            </w:r>
            <w:r>
              <w:rPr>
                <w:spacing w:val="3"/>
                <w:highlight w:val="none"/>
              </w:rPr>
              <w:t>），</w:t>
            </w:r>
            <w:r>
              <w:rPr>
                <w:spacing w:val="-1"/>
                <w:highlight w:val="none"/>
              </w:rPr>
              <w:t>服务终止时间</w:t>
            </w:r>
            <w:r>
              <w:rPr>
                <w:highlight w:val="none"/>
              </w:rPr>
              <w:t xml:space="preserve"> </w:t>
            </w:r>
            <w:r>
              <w:rPr>
                <w:spacing w:val="-1"/>
                <w:highlight w:val="none"/>
              </w:rPr>
              <w:t>与最后一批设备交付时间间隔不低于</w:t>
            </w:r>
            <w:r>
              <w:rPr>
                <w:spacing w:val="-5"/>
                <w:highlight w:val="none"/>
              </w:rPr>
              <w:t>6</w:t>
            </w:r>
            <w:r>
              <w:rPr>
                <w:spacing w:val="-38"/>
                <w:highlight w:val="none"/>
              </w:rPr>
              <w:t xml:space="preserve"> </w:t>
            </w:r>
            <w:r>
              <w:rPr>
                <w:spacing w:val="-5"/>
                <w:highlight w:val="none"/>
              </w:rPr>
              <w:t>年；</w:t>
            </w:r>
          </w:p>
          <w:p>
            <w:pPr>
              <w:pStyle w:val="69"/>
              <w:widowControl w:val="0"/>
              <w:spacing w:line="240" w:lineRule="auto"/>
              <w:ind w:left="0" w:right="0" w:firstLine="0"/>
              <w:jc w:val="center"/>
              <w:rPr>
                <w:highlight w:val="none"/>
              </w:rPr>
            </w:pPr>
            <w:r>
              <w:rPr>
                <w:spacing w:val="-2"/>
                <w:highlight w:val="none"/>
              </w:rPr>
              <w:t>b) 产品停止服务时间提前</w:t>
            </w:r>
            <w:r>
              <w:rPr>
                <w:spacing w:val="-29"/>
                <w:highlight w:val="none"/>
              </w:rPr>
              <w:t xml:space="preserve"> </w:t>
            </w:r>
            <w:r>
              <w:rPr>
                <w:spacing w:val="-2"/>
                <w:highlight w:val="none"/>
              </w:rPr>
              <w:t>1</w:t>
            </w:r>
            <w:r>
              <w:rPr>
                <w:spacing w:val="-38"/>
                <w:highlight w:val="none"/>
              </w:rPr>
              <w:t xml:space="preserve"> </w:t>
            </w:r>
            <w:r>
              <w:rPr>
                <w:spacing w:val="-2"/>
                <w:highlight w:val="none"/>
              </w:rPr>
              <w:t>年告</w:t>
            </w:r>
            <w:r>
              <w:rPr>
                <w:spacing w:val="-6"/>
                <w:highlight w:val="none"/>
              </w:rPr>
              <w:t>知；</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c) 明确产品发布日期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125</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position w:val="4"/>
                <w:highlight w:val="none"/>
              </w:rPr>
              <w:t>*预装操</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作系统</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预装符合桌面操作系统政府采购需求标准的正版操作系统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*培训服</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务</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供应商提供培训材料、产品手册、培训视频等培训相关内容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*典型问</w:t>
            </w:r>
            <w:r>
              <w:rPr>
                <w:highlight w:val="none"/>
              </w:rPr>
              <w:t xml:space="preserve">  </w:t>
            </w:r>
            <w:r>
              <w:rPr>
                <w:spacing w:val="-2"/>
                <w:highlight w:val="none"/>
              </w:rPr>
              <w:t>题解决手</w:t>
            </w:r>
            <w:r>
              <w:rPr>
                <w:spacing w:val="1"/>
                <w:highlight w:val="none"/>
              </w:rPr>
              <w:t xml:space="preserve"> </w:t>
            </w:r>
            <w:r>
              <w:rPr>
                <w:highlight w:val="none"/>
              </w:rPr>
              <w:t>册</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供应商提供典型问题解决说明文档或</w:t>
            </w:r>
            <w:r>
              <w:rPr>
                <w:spacing w:val="-3"/>
                <w:highlight w:val="none"/>
              </w:rPr>
              <w:t>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*厂家升</w:t>
            </w:r>
            <w:r>
              <w:rPr>
                <w:highlight w:val="none"/>
              </w:rPr>
              <w:t xml:space="preserve">  </w:t>
            </w:r>
            <w:r>
              <w:rPr>
                <w:spacing w:val="-2"/>
                <w:highlight w:val="none"/>
              </w:rPr>
              <w:t>级软件与</w:t>
            </w:r>
            <w:r>
              <w:rPr>
                <w:highlight w:val="none"/>
              </w:rPr>
              <w:t xml:space="preserve"> </w:t>
            </w:r>
            <w:r>
              <w:rPr>
                <w:spacing w:val="-2"/>
                <w:highlight w:val="none"/>
              </w:rPr>
              <w:t>扩容服务</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供应商提供上门升级部件/软件与扩</w:t>
            </w:r>
            <w:r>
              <w:rPr>
                <w:spacing w:val="-2"/>
                <w:highlight w:val="none"/>
              </w:rPr>
              <w:t>容的增值服务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*整机质</w:t>
            </w:r>
            <w:r>
              <w:rPr>
                <w:highlight w:val="none"/>
              </w:rPr>
              <w:t xml:space="preserve">  </w:t>
            </w:r>
            <w:r>
              <w:rPr>
                <w:spacing w:val="-3"/>
                <w:highlight w:val="none"/>
              </w:rPr>
              <w:t>量服务要</w:t>
            </w:r>
            <w:r>
              <w:rPr>
                <w:spacing w:val="2"/>
                <w:highlight w:val="none"/>
              </w:rPr>
              <w:t xml:space="preserve"> </w:t>
            </w:r>
            <w:r>
              <w:rPr>
                <w:highlight w:val="none"/>
              </w:rPr>
              <w:t>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免费服务周期（含换件和维修）不</w:t>
            </w:r>
            <w:r>
              <w:rPr>
                <w:spacing w:val="-6"/>
                <w:highlight w:val="none"/>
              </w:rPr>
              <w:t>小于</w:t>
            </w:r>
            <w:r>
              <w:rPr>
                <w:spacing w:val="-36"/>
                <w:highlight w:val="none"/>
              </w:rPr>
              <w:t xml:space="preserve"> </w:t>
            </w:r>
            <w:r>
              <w:rPr>
                <w:spacing w:val="-6"/>
                <w:highlight w:val="none"/>
              </w:rPr>
              <w:t>3</w:t>
            </w:r>
            <w:r>
              <w:rPr>
                <w:spacing w:val="-38"/>
                <w:highlight w:val="none"/>
              </w:rPr>
              <w:t xml:space="preserve"> </w:t>
            </w:r>
            <w:r>
              <w:rPr>
                <w:spacing w:val="-6"/>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*合格证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书要求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*开箱组</w:t>
            </w:r>
            <w:r>
              <w:rPr>
                <w:highlight w:val="none"/>
              </w:rPr>
              <w:t xml:space="preserve">  </w:t>
            </w:r>
            <w:r>
              <w:rPr>
                <w:spacing w:val="-2"/>
                <w:highlight w:val="none"/>
              </w:rPr>
              <w:t>装/使用</w:t>
            </w:r>
            <w:r>
              <w:rPr>
                <w:highlight w:val="none"/>
              </w:rPr>
              <w:t xml:space="preserve">  </w:t>
            </w:r>
            <w:r>
              <w:rPr>
                <w:spacing w:val="-2"/>
                <w:highlight w:val="none"/>
              </w:rPr>
              <w:t>指导要求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供应商提供开箱组装/使用指导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*驱动下</w:t>
            </w:r>
            <w:r>
              <w:rPr>
                <w:highlight w:val="none"/>
              </w:rPr>
              <w:t xml:space="preserve">  </w:t>
            </w:r>
            <w:r>
              <w:rPr>
                <w:spacing w:val="-2"/>
                <w:highlight w:val="none"/>
              </w:rPr>
              <w:t>载服务要</w:t>
            </w:r>
            <w:r>
              <w:rPr>
                <w:highlight w:val="none"/>
              </w:rPr>
              <w:t xml:space="preserve"> 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供应商提供驱动光盘或下载方式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*兼容适</w:t>
            </w:r>
            <w:r>
              <w:rPr>
                <w:highlight w:val="none"/>
              </w:rPr>
              <w:t xml:space="preserve">  </w:t>
            </w:r>
            <w:r>
              <w:rPr>
                <w:spacing w:val="-2"/>
                <w:highlight w:val="none"/>
              </w:rPr>
              <w:t>配软件下</w:t>
            </w:r>
            <w:r>
              <w:rPr>
                <w:highlight w:val="none"/>
              </w:rPr>
              <w:t xml:space="preserve"> </w:t>
            </w:r>
            <w:r>
              <w:rPr>
                <w:spacing w:val="-2"/>
                <w:highlight w:val="none"/>
              </w:rPr>
              <w:t>载服务要</w:t>
            </w:r>
            <w:r>
              <w:rPr>
                <w:highlight w:val="none"/>
              </w:rPr>
              <w:t xml:space="preserve"> 求</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供应商提供兼容适配软件下载渠道</w:t>
            </w:r>
            <w:r>
              <w:rPr>
                <w:spacing w:val="-4"/>
                <w:highlight w:val="none"/>
              </w:rPr>
              <w:t>（光盘、网站）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跨架构平</w:t>
            </w:r>
            <w:r>
              <w:rPr>
                <w:highlight w:val="none"/>
              </w:rPr>
              <w:t xml:space="preserve"> </w:t>
            </w:r>
            <w:r>
              <w:rPr>
                <w:spacing w:val="-2"/>
                <w:highlight w:val="none"/>
              </w:rPr>
              <w:t>台应用兼</w:t>
            </w:r>
            <w:r>
              <w:rPr>
                <w:highlight w:val="none"/>
              </w:rPr>
              <w:t xml:space="preserve"> 容</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供应商提供跨架构平台的应用兼容工具，支持一种或者一种以上不同架构</w:t>
            </w:r>
            <w:r>
              <w:rPr>
                <w:spacing w:val="-3"/>
                <w:highlight w:val="none"/>
              </w:rPr>
              <w:t>平台的应用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供应</w:t>
            </w:r>
          </w:p>
          <w:p>
            <w:pPr>
              <w:pStyle w:val="69"/>
              <w:widowControl w:val="0"/>
              <w:spacing w:line="240" w:lineRule="auto"/>
              <w:ind w:left="0" w:right="0" w:firstLine="0"/>
              <w:jc w:val="center"/>
              <w:rPr>
                <w:highlight w:val="none"/>
              </w:rPr>
            </w:pPr>
            <w:r>
              <w:rPr>
                <w:spacing w:val="-3"/>
                <w:highlight w:val="none"/>
              </w:rPr>
              <w:t>保障</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*供应</w:t>
            </w:r>
            <w:r>
              <w:rPr>
                <w:spacing w:val="-3"/>
                <w:highlight w:val="none"/>
              </w:rPr>
              <w:t>链合规性</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*产品部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件保障</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供应商保障产品主要部件，提供</w:t>
            </w:r>
            <w:r>
              <w:rPr>
                <w:spacing w:val="-28"/>
                <w:highlight w:val="none"/>
              </w:rPr>
              <w:t xml:space="preserve"> </w:t>
            </w:r>
            <w:r>
              <w:rPr>
                <w:spacing w:val="-2"/>
                <w:highlight w:val="none"/>
              </w:rPr>
              <w:t>6</w:t>
            </w:r>
            <w:r>
              <w:rPr>
                <w:spacing w:val="-38"/>
                <w:highlight w:val="none"/>
              </w:rPr>
              <w:t xml:space="preserve"> </w:t>
            </w:r>
            <w:r>
              <w:rPr>
                <w:spacing w:val="-2"/>
                <w:highlight w:val="none"/>
              </w:rPr>
              <w:t>年</w:t>
            </w:r>
            <w:r>
              <w:rPr>
                <w:spacing w:val="-1"/>
                <w:highlight w:val="none"/>
              </w:rPr>
              <w:t>的备件服务能力（自购买之日起</w:t>
            </w:r>
            <w:r>
              <w:rPr>
                <w:spacing w:val="1"/>
                <w:highlight w:val="none"/>
              </w:rPr>
              <w:t>），</w:t>
            </w:r>
            <w:r>
              <w:rPr>
                <w:spacing w:val="-1"/>
                <w:highlight w:val="none"/>
              </w:rPr>
              <w:t>或提供可兼容原设备的升级换代产品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供应</w:t>
            </w:r>
          </w:p>
          <w:p>
            <w:pPr>
              <w:pStyle w:val="69"/>
              <w:widowControl w:val="0"/>
              <w:spacing w:line="240" w:lineRule="auto"/>
              <w:ind w:left="0" w:right="0" w:firstLine="0"/>
              <w:jc w:val="center"/>
              <w:rPr>
                <w:highlight w:val="none"/>
              </w:rPr>
            </w:pPr>
            <w:r>
              <w:rPr>
                <w:spacing w:val="-3"/>
                <w:highlight w:val="none"/>
              </w:rPr>
              <w:t>保障</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*供应</w:t>
            </w:r>
            <w:r>
              <w:rPr>
                <w:spacing w:val="-3"/>
                <w:highlight w:val="none"/>
              </w:rPr>
              <w:t>链质</w:t>
            </w:r>
            <w:r>
              <w:rPr>
                <w:highlight w:val="none"/>
              </w:rPr>
              <w:t>量</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*抗干扰</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性</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当产品部件出现供应风险时，供应商</w:t>
            </w:r>
            <w:r>
              <w:rPr>
                <w:spacing w:val="-1"/>
                <w:highlight w:val="none"/>
              </w:rPr>
              <w:t>通知采购人并提供风险应对方案确保产品的服务保障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供应</w:t>
            </w:r>
          </w:p>
          <w:p>
            <w:pPr>
              <w:pStyle w:val="69"/>
              <w:widowControl w:val="0"/>
              <w:spacing w:line="240" w:lineRule="auto"/>
              <w:ind w:left="0" w:right="0" w:firstLine="0"/>
              <w:jc w:val="center"/>
              <w:rPr>
                <w:highlight w:val="none"/>
              </w:rPr>
            </w:pPr>
            <w:r>
              <w:rPr>
                <w:spacing w:val="-3"/>
                <w:highlight w:val="none"/>
              </w:rPr>
              <w:t>保障</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*供应能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力证明</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供应商提供供应链稳定承诺书，确保产品的部件在产品服务周期内稳定供</w:t>
            </w:r>
            <w:r>
              <w:rPr>
                <w:highlight w:val="none"/>
              </w:rPr>
              <w:t>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8"/>
                <w:position w:val="3"/>
                <w:highlight w:val="none"/>
              </w:rPr>
              <w:t>安全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*关键</w:t>
            </w:r>
            <w:r>
              <w:rPr>
                <w:spacing w:val="-3"/>
                <w:highlight w:val="none"/>
              </w:rPr>
              <w:t>部件安全</w:t>
            </w:r>
            <w:r>
              <w:rPr>
                <w:highlight w:val="none"/>
              </w:rPr>
              <w:t xml:space="preserve"> </w:t>
            </w:r>
            <w:r>
              <w:rPr>
                <w:spacing w:val="-3"/>
                <w:highlight w:val="none"/>
              </w:rPr>
              <w:t>要求</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8"/>
                <w:szCs w:val="8"/>
                <w:highlight w:val="none"/>
                <w:lang w:val="en-US" w:eastAsia="en-US" w:bidi="ar-SA"/>
              </w:rPr>
            </w:pPr>
            <w:r>
              <w:rPr>
                <w:spacing w:val="-1"/>
                <w:highlight w:val="none"/>
              </w:rPr>
              <w:t>*关键部</w:t>
            </w:r>
            <w:r>
              <w:rPr>
                <w:highlight w:val="none"/>
              </w:rPr>
              <w:t xml:space="preserve">  </w:t>
            </w:r>
            <w:r>
              <w:rPr>
                <w:spacing w:val="-2"/>
                <w:highlight w:val="none"/>
              </w:rPr>
              <w:t>件安全要</w:t>
            </w:r>
            <w:r>
              <w:rPr>
                <w:spacing w:val="1"/>
                <w:highlight w:val="none"/>
              </w:rPr>
              <w:t xml:space="preserve"> </w:t>
            </w:r>
            <w:r>
              <w:rPr>
                <w:spacing w:val="-1"/>
                <w:highlight w:val="none"/>
              </w:rPr>
              <w:t>求</w:t>
            </w:r>
            <w:r>
              <w:rPr>
                <w:spacing w:val="-1"/>
                <w:position w:val="8"/>
                <w:sz w:val="8"/>
                <w:szCs w:val="8"/>
                <w:highlight w:val="none"/>
              </w:rPr>
              <w:t>3</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hint="default" w:ascii="黑体" w:hAnsi="黑体" w:eastAsia="黑体" w:cs="黑体"/>
                <w:snapToGrid w:val="0"/>
                <w:color w:val="000000"/>
                <w:kern w:val="0"/>
                <w:sz w:val="18"/>
                <w:szCs w:val="18"/>
                <w:highlight w:val="none"/>
                <w:lang w:val="en-US" w:eastAsia="zh-CN" w:bidi="ar-SA"/>
              </w:rPr>
            </w:pPr>
            <w:r>
              <w:rPr>
                <w:rFonts w:hint="eastAsia"/>
                <w:spacing w:val="-1"/>
                <w:highlight w:val="none"/>
                <w:lang w:val="en-US" w:eastAsia="zh-CN"/>
              </w:rPr>
              <w:t>CPU采用12700处理器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8"/>
                <w:position w:val="3"/>
                <w:highlight w:val="none"/>
              </w:rPr>
              <w:t>安全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right="0" w:firstLine="0"/>
              <w:jc w:val="center"/>
              <w:rPr>
                <w:highlight w:val="none"/>
              </w:rPr>
            </w:pPr>
            <w:r>
              <w:rPr>
                <w:spacing w:val="-2"/>
                <w:highlight w:val="none"/>
              </w:rPr>
              <w:t>*整机</w:t>
            </w:r>
            <w:r>
              <w:rPr>
                <w:spacing w:val="-8"/>
                <w:highlight w:val="none"/>
              </w:rPr>
              <w:t>安全</w:t>
            </w: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*密码算</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法实现</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4"/>
                <w:highlight w:val="none"/>
              </w:rPr>
              <w:t>CPU</w:t>
            </w:r>
            <w:r>
              <w:rPr>
                <w:spacing w:val="-16"/>
                <w:highlight w:val="none"/>
              </w:rPr>
              <w:t xml:space="preserve"> </w:t>
            </w:r>
            <w:r>
              <w:rPr>
                <w:spacing w:val="-4"/>
                <w:highlight w:val="none"/>
              </w:rPr>
              <w:t>芯片应符合</w:t>
            </w:r>
            <w:r>
              <w:rPr>
                <w:spacing w:val="-38"/>
                <w:highlight w:val="none"/>
              </w:rPr>
              <w:t xml:space="preserve"> </w:t>
            </w:r>
            <w:r>
              <w:rPr>
                <w:spacing w:val="-4"/>
                <w:highlight w:val="none"/>
              </w:rPr>
              <w:t>GM/T0008</w:t>
            </w:r>
            <w:r>
              <w:rPr>
                <w:spacing w:val="-27"/>
                <w:highlight w:val="none"/>
              </w:rPr>
              <w:t xml:space="preserve"> </w:t>
            </w:r>
            <w:r>
              <w:rPr>
                <w:spacing w:val="-4"/>
                <w:highlight w:val="none"/>
              </w:rPr>
              <w:t>的相关规</w:t>
            </w:r>
            <w:r>
              <w:rPr>
                <w:spacing w:val="-6"/>
                <w:highlight w:val="none"/>
              </w:rPr>
              <w:t>定，或芯片密码模块应符合</w:t>
            </w:r>
            <w:r>
              <w:rPr>
                <w:spacing w:val="-29"/>
                <w:highlight w:val="none"/>
              </w:rPr>
              <w:t xml:space="preserve"> </w:t>
            </w:r>
            <w:r>
              <w:rPr>
                <w:spacing w:val="-6"/>
                <w:highlight w:val="none"/>
              </w:rPr>
              <w:t>GB/T</w:t>
            </w:r>
            <w:r>
              <w:rPr>
                <w:spacing w:val="-36"/>
                <w:highlight w:val="none"/>
              </w:rPr>
              <w:t xml:space="preserve"> </w:t>
            </w:r>
            <w:r>
              <w:rPr>
                <w:spacing w:val="-6"/>
                <w:highlight w:val="none"/>
              </w:rPr>
              <w:t>37092</w:t>
            </w:r>
            <w:r>
              <w:rPr>
                <w:highlight w:val="none"/>
              </w:rPr>
              <w:t xml:space="preserve"> </w:t>
            </w:r>
            <w:r>
              <w:rPr>
                <w:spacing w:val="-3"/>
                <w:highlight w:val="none"/>
              </w:rPr>
              <w:t>或</w:t>
            </w:r>
            <w:r>
              <w:rPr>
                <w:spacing w:val="-25"/>
                <w:highlight w:val="none"/>
              </w:rPr>
              <w:t xml:space="preserve"> </w:t>
            </w:r>
            <w:r>
              <w:rPr>
                <w:spacing w:val="-3"/>
                <w:highlight w:val="none"/>
              </w:rPr>
              <w:t>GM/T 0028</w:t>
            </w:r>
            <w:r>
              <w:rPr>
                <w:spacing w:val="-26"/>
                <w:highlight w:val="none"/>
              </w:rPr>
              <w:t xml:space="preserve"> </w:t>
            </w:r>
            <w:r>
              <w:rPr>
                <w:spacing w:val="-3"/>
                <w:highlight w:val="none"/>
              </w:rPr>
              <w:t>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140</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8"/>
                <w:position w:val="3"/>
                <w:highlight w:val="none"/>
              </w:rPr>
              <w:t>安全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*信息安</w:t>
            </w:r>
            <w:r>
              <w:rPr>
                <w:highlight w:val="none"/>
              </w:rPr>
              <w:t xml:space="preserve">  </w:t>
            </w:r>
            <w:r>
              <w:rPr>
                <w:spacing w:val="-3"/>
                <w:highlight w:val="none"/>
              </w:rPr>
              <w:t>全基本要</w:t>
            </w:r>
            <w:r>
              <w:rPr>
                <w:spacing w:val="2"/>
                <w:highlight w:val="none"/>
              </w:rPr>
              <w:t xml:space="preserve"> </w:t>
            </w:r>
            <w:r>
              <w:rPr>
                <w:highlight w:val="none"/>
              </w:rPr>
              <w:t>求</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highlight w:val="none"/>
              </w:rPr>
            </w:pPr>
            <w:r>
              <w:rPr>
                <w:spacing w:val="-3"/>
                <w:highlight w:val="none"/>
              </w:rPr>
              <w:t>a) 产品应符合</w:t>
            </w:r>
            <w:r>
              <w:rPr>
                <w:spacing w:val="-26"/>
                <w:highlight w:val="none"/>
              </w:rPr>
              <w:t xml:space="preserve"> </w:t>
            </w:r>
            <w:r>
              <w:rPr>
                <w:spacing w:val="-3"/>
                <w:highlight w:val="none"/>
              </w:rPr>
              <w:t>GB/T 39276</w:t>
            </w:r>
            <w:r>
              <w:rPr>
                <w:spacing w:val="-26"/>
                <w:highlight w:val="none"/>
              </w:rPr>
              <w:t xml:space="preserve"> </w:t>
            </w:r>
            <w:r>
              <w:rPr>
                <w:spacing w:val="-3"/>
                <w:highlight w:val="none"/>
              </w:rPr>
              <w:t>的</w:t>
            </w:r>
            <w:r>
              <w:rPr>
                <w:spacing w:val="-42"/>
                <w:highlight w:val="none"/>
              </w:rPr>
              <w:t xml:space="preserve"> </w:t>
            </w:r>
            <w:r>
              <w:rPr>
                <w:spacing w:val="-3"/>
                <w:highlight w:val="none"/>
              </w:rPr>
              <w:t>5.2</w:t>
            </w:r>
            <w:r>
              <w:rPr>
                <w:spacing w:val="-26"/>
                <w:highlight w:val="none"/>
              </w:rPr>
              <w:t xml:space="preserve"> </w:t>
            </w:r>
            <w:r>
              <w:rPr>
                <w:spacing w:val="-3"/>
                <w:highlight w:val="none"/>
              </w:rPr>
              <w:t>的</w:t>
            </w:r>
            <w:r>
              <w:rPr>
                <w:spacing w:val="-2"/>
                <w:highlight w:val="none"/>
              </w:rPr>
              <w:t>规定；</w:t>
            </w:r>
          </w:p>
          <w:p>
            <w:pPr>
              <w:pStyle w:val="69"/>
              <w:widowControl w:val="0"/>
              <w:spacing w:line="240" w:lineRule="auto"/>
              <w:ind w:left="0" w:right="0" w:firstLine="0"/>
              <w:jc w:val="center"/>
              <w:rPr>
                <w:highlight w:val="none"/>
              </w:rPr>
            </w:pPr>
            <w:r>
              <w:rPr>
                <w:spacing w:val="-1"/>
                <w:highlight w:val="none"/>
              </w:rPr>
              <w:t>b) 生产厂商应建立漏洞跟踪表，保证产品版本涉及到的漏洞(如驱动程序</w:t>
            </w:r>
          </w:p>
          <w:p>
            <w:pPr>
              <w:pStyle w:val="69"/>
              <w:widowControl w:val="0"/>
              <w:spacing w:line="240" w:lineRule="auto"/>
              <w:ind w:left="0" w:right="0" w:firstLine="0"/>
              <w:jc w:val="center"/>
              <w:rPr>
                <w:highlight w:val="none"/>
              </w:rPr>
            </w:pPr>
            <w:r>
              <w:rPr>
                <w:spacing w:val="-2"/>
                <w:highlight w:val="none"/>
              </w:rPr>
              <w:t>等)可查看；</w:t>
            </w:r>
          </w:p>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c) 产品不得包含已知的恶意代码或</w:t>
            </w:r>
            <w:r>
              <w:rPr>
                <w:spacing w:val="-3"/>
                <w:highlight w:val="none"/>
              </w:rPr>
              <w:t>漏洞，不存在未声明的指令、功能、</w:t>
            </w:r>
            <w:r>
              <w:rPr>
                <w:spacing w:val="-4"/>
                <w:highlight w:val="none"/>
              </w:rPr>
              <w:t>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141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8"/>
                <w:position w:val="3"/>
                <w:highlight w:val="none"/>
              </w:rPr>
              <w:t>安全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3"/>
                <w:highlight w:val="none"/>
              </w:rPr>
              <w:t>*固件安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全启动</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支持固件安全启动功能，固件启动过程中只有通过启动校验才能正常启动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142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8"/>
                <w:position w:val="3"/>
                <w:highlight w:val="none"/>
              </w:rPr>
              <w:t>安全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*限用物</w:t>
            </w:r>
            <w:r>
              <w:rPr>
                <w:highlight w:val="none"/>
              </w:rPr>
              <w:t xml:space="preserve">  </w:t>
            </w:r>
            <w:r>
              <w:rPr>
                <w:spacing w:val="-2"/>
                <w:highlight w:val="none"/>
              </w:rPr>
              <w:t>质的限量</w:t>
            </w:r>
            <w:r>
              <w:rPr>
                <w:spacing w:val="1"/>
                <w:highlight w:val="none"/>
              </w:rPr>
              <w:t xml:space="preserve"> </w:t>
            </w:r>
            <w:r>
              <w:rPr>
                <w:spacing w:val="-3"/>
                <w:highlight w:val="none"/>
              </w:rPr>
              <w:t>要求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符合</w:t>
            </w:r>
            <w:r>
              <w:rPr>
                <w:spacing w:val="-32"/>
                <w:highlight w:val="none"/>
              </w:rPr>
              <w:t xml:space="preserve"> </w:t>
            </w:r>
            <w:r>
              <w:rPr>
                <w:spacing w:val="-3"/>
                <w:highlight w:val="none"/>
              </w:rPr>
              <w:t>GB/T 26572</w:t>
            </w:r>
            <w:r>
              <w:rPr>
                <w:spacing w:val="-22"/>
                <w:highlight w:val="none"/>
              </w:rPr>
              <w:t xml:space="preserve"> </w:t>
            </w:r>
            <w:r>
              <w:rPr>
                <w:spacing w:val="-3"/>
                <w:highlight w:val="none"/>
              </w:rPr>
              <w:t>中规定</w:t>
            </w:r>
          </w:p>
        </w:tc>
      </w:tr>
    </w:tbl>
    <w:p>
      <w:pPr>
        <w:rPr>
          <w:rFonts w:hint="default"/>
          <w:lang w:val="en-US" w:eastAsia="zh-CN"/>
        </w:rPr>
      </w:pPr>
    </w:p>
    <w:p>
      <w:pPr>
        <w:rPr>
          <w:rFonts w:hint="eastAsia"/>
          <w:lang w:val="en-US" w:eastAsia="zh-CN"/>
        </w:rPr>
      </w:pPr>
      <w:r>
        <w:rPr>
          <w:rFonts w:hint="eastAsia"/>
          <w:lang w:val="en-US" w:eastAsia="zh-CN"/>
        </w:rPr>
        <w:t>参数附件二</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733"/>
        <w:gridCol w:w="931"/>
        <w:gridCol w:w="1073"/>
        <w:gridCol w:w="932"/>
        <w:gridCol w:w="4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9" w:hRule="atLeast"/>
        </w:trPr>
        <w:tc>
          <w:tcPr>
            <w:tcW w:w="667"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jc w:val="center"/>
              <w:textAlignment w:val="center"/>
              <w:rPr>
                <w:rFonts w:hint="eastAsia" w:cs="黑体"/>
                <w:b/>
                <w:bCs/>
                <w:snapToGrid w:val="0"/>
                <w:color w:val="000000"/>
                <w:kern w:val="0"/>
                <w:sz w:val="18"/>
                <w:szCs w:val="18"/>
                <w:lang w:val="en-US" w:eastAsia="zh-CN" w:bidi="ar-SA"/>
              </w:rPr>
            </w:pPr>
            <w:r>
              <w:rPr>
                <w:rFonts w:hint="eastAsia" w:cs="黑体"/>
                <w:b/>
                <w:bCs/>
                <w:snapToGrid w:val="0"/>
                <w:color w:val="000000"/>
                <w:kern w:val="0"/>
                <w:sz w:val="18"/>
                <w:szCs w:val="18"/>
                <w:lang w:val="en-US" w:eastAsia="zh-CN" w:bidi="ar-SA"/>
              </w:rPr>
              <w:t>序</w:t>
            </w:r>
          </w:p>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jc w:val="center"/>
              <w:textAlignment w:val="center"/>
              <w:rPr>
                <w:rFonts w:hint="default" w:ascii="黑体" w:hAnsi="黑体" w:eastAsia="黑体" w:cs="黑体"/>
                <w:snapToGrid w:val="0"/>
                <w:color w:val="000000"/>
                <w:kern w:val="0"/>
                <w:sz w:val="18"/>
                <w:szCs w:val="18"/>
                <w:lang w:val="en-US" w:eastAsia="zh-CN" w:bidi="ar-SA"/>
              </w:rPr>
            </w:pPr>
            <w:r>
              <w:rPr>
                <w:rFonts w:hint="eastAsia" w:cs="黑体"/>
                <w:b/>
                <w:bCs/>
                <w:snapToGrid w:val="0"/>
                <w:color w:val="000000"/>
                <w:kern w:val="0"/>
                <w:sz w:val="18"/>
                <w:szCs w:val="18"/>
                <w:lang w:val="en-US" w:eastAsia="zh-CN" w:bidi="ar-SA"/>
              </w:rPr>
              <w:t>号</w:t>
            </w:r>
          </w:p>
        </w:tc>
        <w:tc>
          <w:tcPr>
            <w:tcW w:w="733"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jc w:val="center"/>
              <w:textAlignment w:val="center"/>
              <w:rPr>
                <w:rFonts w:hint="eastAsia" w:ascii="黑体" w:hAnsi="黑体" w:eastAsia="黑体" w:cs="黑体"/>
                <w:snapToGrid w:val="0"/>
                <w:color w:val="000000"/>
                <w:kern w:val="0"/>
                <w:sz w:val="18"/>
                <w:szCs w:val="18"/>
                <w:lang w:val="en-US" w:eastAsia="zh-CN" w:bidi="ar-SA"/>
              </w:rPr>
            </w:pPr>
            <w:r>
              <w:rPr>
                <w:rFonts w:hint="eastAsia"/>
                <w:b/>
                <w:bCs/>
                <w:spacing w:val="-6"/>
                <w:position w:val="4"/>
                <w:sz w:val="18"/>
                <w:szCs w:val="18"/>
                <w:lang w:val="en-US" w:eastAsia="zh-CN"/>
              </w:rPr>
              <w:t>指标分类</w:t>
            </w:r>
          </w:p>
        </w:tc>
        <w:tc>
          <w:tcPr>
            <w:tcW w:w="931"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default" w:ascii="黑体" w:hAnsi="黑体" w:eastAsia="黑体" w:cs="黑体"/>
                <w:b/>
                <w:bCs/>
                <w:snapToGrid w:val="0"/>
                <w:color w:val="000000"/>
                <w:kern w:val="0"/>
                <w:sz w:val="18"/>
                <w:szCs w:val="18"/>
                <w:lang w:val="en-US" w:eastAsia="en-US" w:bidi="ar-SA"/>
              </w:rPr>
            </w:pPr>
            <w:r>
              <w:rPr>
                <w:rFonts w:hint="eastAsia" w:cs="黑体"/>
                <w:b/>
                <w:bCs/>
                <w:snapToGrid w:val="0"/>
                <w:color w:val="000000"/>
                <w:kern w:val="0"/>
                <w:sz w:val="18"/>
                <w:szCs w:val="18"/>
                <w:lang w:val="en-US" w:eastAsia="zh-CN" w:bidi="ar-SA"/>
              </w:rPr>
              <w:t>一级指标</w:t>
            </w:r>
            <w:r>
              <w:rPr>
                <w:rFonts w:hint="eastAsia" w:cs="黑体"/>
                <w:b/>
                <w:bCs/>
                <w:snapToGrid w:val="0"/>
                <w:color w:val="000000"/>
                <w:kern w:val="0"/>
                <w:sz w:val="18"/>
                <w:szCs w:val="18"/>
                <w:lang w:val="en-US" w:eastAsia="zh-CN" w:bidi="ar-SA"/>
              </w:rPr>
              <w:fldChar w:fldCharType="begin"/>
            </w:r>
            <w:r>
              <w:rPr>
                <w:rFonts w:hint="eastAsia" w:cs="黑体"/>
                <w:b/>
                <w:bCs/>
                <w:snapToGrid w:val="0"/>
                <w:color w:val="000000"/>
                <w:kern w:val="0"/>
                <w:sz w:val="18"/>
                <w:szCs w:val="18"/>
                <w:lang w:val="en-US" w:eastAsia="zh-CN" w:bidi="ar-SA"/>
              </w:rPr>
              <w:instrText xml:space="preserve"> HYPERLINK \l "bookmark1" </w:instrText>
            </w:r>
            <w:r>
              <w:rPr>
                <w:rFonts w:hint="eastAsia" w:cs="黑体"/>
                <w:b/>
                <w:bCs/>
                <w:snapToGrid w:val="0"/>
                <w:color w:val="000000"/>
                <w:kern w:val="0"/>
                <w:sz w:val="18"/>
                <w:szCs w:val="18"/>
                <w:lang w:val="en-US" w:eastAsia="zh-CN" w:bidi="ar-SA"/>
              </w:rPr>
              <w:fldChar w:fldCharType="separate"/>
            </w:r>
            <w:r>
              <w:rPr>
                <w:rFonts w:hint="eastAsia" w:cs="黑体"/>
                <w:b/>
                <w:bCs/>
                <w:snapToGrid w:val="0"/>
                <w:color w:val="000000"/>
                <w:kern w:val="0"/>
                <w:sz w:val="18"/>
                <w:szCs w:val="18"/>
                <w:lang w:val="en-US" w:eastAsia="zh-CN" w:bidi="ar-SA"/>
              </w:rPr>
              <w:t>1</w:t>
            </w:r>
            <w:r>
              <w:rPr>
                <w:rFonts w:hint="eastAsia" w:cs="黑体"/>
                <w:b/>
                <w:bCs/>
                <w:snapToGrid w:val="0"/>
                <w:color w:val="000000"/>
                <w:kern w:val="0"/>
                <w:sz w:val="18"/>
                <w:szCs w:val="18"/>
                <w:lang w:val="en-US" w:eastAsia="zh-CN" w:bidi="ar-SA"/>
              </w:rPr>
              <w:fldChar w:fldCharType="end"/>
            </w:r>
          </w:p>
        </w:tc>
        <w:tc>
          <w:tcPr>
            <w:tcW w:w="1073"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黑体" w:hAnsi="黑体" w:eastAsia="黑体" w:cs="黑体"/>
                <w:b/>
                <w:bCs/>
                <w:snapToGrid w:val="0"/>
                <w:color w:val="000000"/>
                <w:kern w:val="0"/>
                <w:sz w:val="18"/>
                <w:szCs w:val="18"/>
                <w:lang w:val="en-US" w:eastAsia="en-US" w:bidi="ar-SA"/>
              </w:rPr>
            </w:pPr>
            <w:r>
              <w:rPr>
                <w:rFonts w:hint="eastAsia" w:cs="黑体"/>
                <w:b/>
                <w:bCs/>
                <w:snapToGrid w:val="0"/>
                <w:color w:val="000000"/>
                <w:kern w:val="0"/>
                <w:sz w:val="18"/>
                <w:szCs w:val="18"/>
                <w:lang w:val="en-US" w:eastAsia="zh-CN" w:bidi="ar-SA"/>
              </w:rPr>
              <w:t>二</w:t>
            </w:r>
            <w:r>
              <w:rPr>
                <w:rFonts w:hint="eastAsia" w:cs="黑体"/>
                <w:b/>
                <w:bCs/>
                <w:snapToGrid w:val="0"/>
                <w:color w:val="000000"/>
                <w:kern w:val="0"/>
                <w:sz w:val="18"/>
                <w:szCs w:val="18"/>
                <w:lang w:val="en-US" w:eastAsia="en-US" w:bidi="ar-SA"/>
              </w:rPr>
              <w:t>级指标</w:t>
            </w:r>
            <w:r>
              <w:rPr>
                <w:rFonts w:hint="eastAsia" w:cs="黑体"/>
                <w:b/>
                <w:bCs/>
                <w:snapToGrid w:val="0"/>
                <w:color w:val="000000"/>
                <w:kern w:val="0"/>
                <w:sz w:val="18"/>
                <w:szCs w:val="18"/>
                <w:lang w:val="en-US" w:eastAsia="zh-CN" w:bidi="ar-SA"/>
              </w:rPr>
              <w:fldChar w:fldCharType="begin"/>
            </w:r>
            <w:r>
              <w:rPr>
                <w:rFonts w:hint="eastAsia" w:cs="黑体"/>
                <w:b/>
                <w:bCs/>
                <w:snapToGrid w:val="0"/>
                <w:color w:val="000000"/>
                <w:kern w:val="0"/>
                <w:sz w:val="18"/>
                <w:szCs w:val="18"/>
                <w:lang w:val="en-US" w:eastAsia="zh-CN" w:bidi="ar-SA"/>
              </w:rPr>
              <w:instrText xml:space="preserve"> HYPERLINK \l "bookmark1" </w:instrText>
            </w:r>
            <w:r>
              <w:rPr>
                <w:rFonts w:hint="eastAsia" w:cs="黑体"/>
                <w:b/>
                <w:bCs/>
                <w:snapToGrid w:val="0"/>
                <w:color w:val="000000"/>
                <w:kern w:val="0"/>
                <w:sz w:val="18"/>
                <w:szCs w:val="18"/>
                <w:lang w:val="en-US" w:eastAsia="zh-CN" w:bidi="ar-SA"/>
              </w:rPr>
              <w:fldChar w:fldCharType="separate"/>
            </w:r>
            <w:r>
              <w:rPr>
                <w:rFonts w:hint="eastAsia" w:cs="黑体"/>
                <w:b/>
                <w:bCs/>
                <w:snapToGrid w:val="0"/>
                <w:color w:val="000000"/>
                <w:kern w:val="0"/>
                <w:sz w:val="18"/>
                <w:szCs w:val="18"/>
                <w:lang w:val="en-US" w:eastAsia="zh-CN" w:bidi="ar-SA"/>
              </w:rPr>
              <w:t>1</w:t>
            </w:r>
            <w:r>
              <w:rPr>
                <w:rFonts w:hint="eastAsia" w:cs="黑体"/>
                <w:b/>
                <w:bCs/>
                <w:snapToGrid w:val="0"/>
                <w:color w:val="000000"/>
                <w:kern w:val="0"/>
                <w:sz w:val="18"/>
                <w:szCs w:val="18"/>
                <w:lang w:val="en-US" w:eastAsia="zh-CN" w:bidi="ar-SA"/>
              </w:rPr>
              <w:fldChar w:fldCharType="end"/>
            </w:r>
          </w:p>
        </w:tc>
        <w:tc>
          <w:tcPr>
            <w:tcW w:w="932" w:type="dxa"/>
            <w:vAlign w:val="center"/>
          </w:tcPr>
          <w:p>
            <w:pPr>
              <w:pStyle w:val="69"/>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ascii="黑体" w:hAnsi="黑体" w:eastAsia="黑体" w:cs="黑体"/>
                <w:snapToGrid w:val="0"/>
                <w:color w:val="000000"/>
                <w:kern w:val="0"/>
                <w:sz w:val="18"/>
                <w:szCs w:val="18"/>
                <w:lang w:val="en-US" w:eastAsia="en-US" w:bidi="ar-SA"/>
              </w:rPr>
            </w:pPr>
            <w:r>
              <w:rPr>
                <w:b/>
                <w:bCs/>
                <w:spacing w:val="-4"/>
                <w:sz w:val="18"/>
                <w:szCs w:val="18"/>
              </w:rPr>
              <w:t>是否可以</w:t>
            </w:r>
            <w:r>
              <w:rPr>
                <w:b/>
                <w:bCs/>
                <w:spacing w:val="-3"/>
                <w:sz w:val="18"/>
                <w:szCs w:val="18"/>
              </w:rPr>
              <w:t>作为评分</w:t>
            </w:r>
            <w:r>
              <w:rPr>
                <w:b/>
                <w:bCs/>
                <w:spacing w:val="-6"/>
                <w:sz w:val="18"/>
                <w:szCs w:val="18"/>
              </w:rPr>
              <w:t>因素</w:t>
            </w:r>
            <w:r>
              <w:rPr>
                <w:sz w:val="18"/>
                <w:szCs w:val="18"/>
              </w:rPr>
              <w:fldChar w:fldCharType="begin"/>
            </w:r>
            <w:r>
              <w:rPr>
                <w:sz w:val="18"/>
                <w:szCs w:val="18"/>
              </w:rPr>
              <w:instrText xml:space="preserve"> HYPERLINK \l "bookmark2" </w:instrText>
            </w:r>
            <w:r>
              <w:rPr>
                <w:sz w:val="18"/>
                <w:szCs w:val="18"/>
              </w:rPr>
              <w:fldChar w:fldCharType="separate"/>
            </w:r>
            <w:r>
              <w:rPr>
                <w:b/>
                <w:bCs/>
                <w:spacing w:val="-6"/>
                <w:position w:val="8"/>
                <w:sz w:val="18"/>
                <w:szCs w:val="18"/>
              </w:rPr>
              <w:t>2</w:t>
            </w:r>
            <w:r>
              <w:rPr>
                <w:b/>
                <w:bCs/>
                <w:spacing w:val="-6"/>
                <w:position w:val="8"/>
                <w:sz w:val="18"/>
                <w:szCs w:val="18"/>
              </w:rPr>
              <w:fldChar w:fldCharType="end"/>
            </w:r>
          </w:p>
        </w:tc>
        <w:tc>
          <w:tcPr>
            <w:tcW w:w="4186" w:type="dxa"/>
            <w:vAlign w:val="center"/>
          </w:tcPr>
          <w:p>
            <w:pPr>
              <w:pStyle w:val="69"/>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ascii="黑体" w:hAnsi="黑体" w:eastAsia="黑体" w:cs="黑体"/>
                <w:snapToGrid w:val="0"/>
                <w:color w:val="000000"/>
                <w:kern w:val="0"/>
                <w:sz w:val="18"/>
                <w:szCs w:val="18"/>
                <w:lang w:val="en-US" w:eastAsia="en-US" w:bidi="ar-SA"/>
              </w:rPr>
            </w:pPr>
            <w:r>
              <w:rPr>
                <w:b/>
                <w:bCs/>
                <w:spacing w:val="-3"/>
                <w:sz w:val="18"/>
                <w:szCs w:val="18"/>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center"/>
              <w:rPr>
                <w:spacing w:val="-2"/>
                <w:highlight w:val="none"/>
              </w:rPr>
            </w:pPr>
          </w:p>
          <w:p>
            <w:pPr>
              <w:pStyle w:val="69"/>
              <w:widowControl w:val="0"/>
              <w:spacing w:line="240" w:lineRule="auto"/>
              <w:ind w:left="0" w:leftChars="0" w:right="0" w:rightChars="0" w:firstLine="0" w:firstLineChars="0"/>
              <w:jc w:val="center"/>
              <w:rPr>
                <w:spacing w:val="-2"/>
                <w:highlight w:val="none"/>
              </w:rPr>
            </w:pPr>
          </w:p>
          <w:p>
            <w:pPr>
              <w:pStyle w:val="69"/>
              <w:widowControl w:val="0"/>
              <w:spacing w:line="240" w:lineRule="auto"/>
              <w:ind w:left="0" w:leftChars="0" w:right="0" w:rightChars="0" w:firstLine="0" w:firstLineChars="0"/>
              <w:jc w:val="center"/>
              <w:rPr>
                <w:spacing w:val="-2"/>
                <w:highlight w:val="none"/>
              </w:rPr>
            </w:pPr>
          </w:p>
          <w:p>
            <w:pPr>
              <w:pStyle w:val="69"/>
              <w:widowControl w:val="0"/>
              <w:spacing w:line="240" w:lineRule="auto"/>
              <w:ind w:left="0" w:leftChars="0" w:right="0" w:rightChars="0" w:firstLine="0" w:firstLineChars="0"/>
              <w:jc w:val="center"/>
              <w:rPr>
                <w:spacing w:val="-2"/>
                <w:highlight w:val="none"/>
              </w:rPr>
            </w:pPr>
          </w:p>
          <w:p>
            <w:pPr>
              <w:pStyle w:val="69"/>
              <w:widowControl w:val="0"/>
              <w:spacing w:line="240" w:lineRule="auto"/>
              <w:ind w:left="0" w:leftChars="0" w:right="0" w:rightChars="0" w:firstLine="0" w:firstLineChars="0"/>
              <w:jc w:val="center"/>
              <w:rPr>
                <w:spacing w:val="-2"/>
                <w:highlight w:val="none"/>
              </w:rPr>
            </w:pPr>
          </w:p>
          <w:p>
            <w:pPr>
              <w:pStyle w:val="69"/>
              <w:widowControl w:val="0"/>
              <w:spacing w:line="240" w:lineRule="auto"/>
              <w:ind w:left="0" w:leftChars="0" w:right="0" w:rightChars="0" w:firstLine="0" w:firstLineChars="0"/>
              <w:jc w:val="center"/>
              <w:rPr>
                <w:spacing w:val="-2"/>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*显示</w:t>
            </w:r>
            <w:r>
              <w:rPr>
                <w:spacing w:val="-3"/>
                <w:highlight w:val="none"/>
              </w:rPr>
              <w:t>设备规格</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屏占比</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7"/>
                <w:highlight w:val="none"/>
              </w:rPr>
              <w:t>≥</w:t>
            </w:r>
            <w:r>
              <w:rPr>
                <w:rFonts w:hint="eastAsia"/>
                <w:spacing w:val="-7"/>
                <w:highlight w:val="none"/>
                <w:lang w:val="en-US" w:eastAsia="zh-CN"/>
              </w:rPr>
              <w:t>89</w:t>
            </w:r>
            <w:r>
              <w:rPr>
                <w:spacing w:val="-7"/>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2</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分辨率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≥1920x1080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尺寸</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8"/>
                <w:highlight w:val="none"/>
              </w:rPr>
              <w:t>≥</w:t>
            </w:r>
            <w:r>
              <w:rPr>
                <w:rFonts w:hint="eastAsia"/>
                <w:spacing w:val="-8"/>
                <w:highlight w:val="none"/>
                <w:lang w:val="en-US" w:eastAsia="zh-CN"/>
              </w:rPr>
              <w:t>23.8</w:t>
            </w:r>
            <w:r>
              <w:rPr>
                <w:spacing w:val="-8"/>
                <w:highlight w:val="none"/>
              </w:rPr>
              <w:t>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*显示屏</w:t>
            </w:r>
            <w:r>
              <w:rPr>
                <w:highlight w:val="none"/>
              </w:rPr>
              <w:t xml:space="preserve">  </w:t>
            </w:r>
            <w:r>
              <w:rPr>
                <w:spacing w:val="-2"/>
                <w:highlight w:val="none"/>
              </w:rPr>
              <w:t>屏幕比例</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*显示器</w:t>
            </w:r>
            <w:r>
              <w:rPr>
                <w:highlight w:val="none"/>
              </w:rPr>
              <w:t xml:space="preserve">  </w:t>
            </w:r>
            <w:r>
              <w:rPr>
                <w:spacing w:val="-2"/>
                <w:highlight w:val="none"/>
              </w:rPr>
              <w:t>外观颜色</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防蓝光</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支持防蓝光模式，蓝光加权辐射亮度比≤0.0012W/(·cd·sr)（瓦每坎特拉每球面度）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低频闪</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显示屏支持低频闪≤-35dB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防炫目</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显示屏镜面反射率≤10%</w:t>
            </w:r>
          </w:p>
        </w:tc>
      </w:tr>
    </w:tbl>
    <w:p>
      <w:pPr>
        <w:pStyle w:val="3"/>
        <w:rPr>
          <w:rFonts w:hint="eastAsia"/>
          <w:lang w:eastAsia="zh-CN"/>
        </w:rPr>
      </w:pPr>
    </w:p>
    <w:p>
      <w:pPr>
        <w:tabs>
          <w:tab w:val="left" w:pos="312"/>
        </w:tabs>
        <w:spacing w:before="0" w:beforeAutospacing="0" w:line="240" w:lineRule="auto"/>
        <w:ind w:left="0" w:leftChars="0" w:firstLine="0" w:firstLineChars="0"/>
        <w:rPr>
          <w:rFonts w:hint="eastAsia" w:ascii="宋体" w:hAnsi="宋体" w:eastAsia="宋体" w:cs="宋体"/>
          <w:color w:val="000000"/>
          <w:sz w:val="24"/>
          <w:szCs w:val="24"/>
          <w:lang w:eastAsia="zh-CN"/>
        </w:rPr>
      </w:pPr>
    </w:p>
    <w:p>
      <w:pPr>
        <w:tabs>
          <w:tab w:val="left" w:pos="312"/>
        </w:tabs>
        <w:spacing w:before="0" w:beforeAutospacing="0" w:line="240" w:lineRule="auto"/>
        <w:ind w:left="0" w:leftChars="0" w:firstLine="0" w:firstLineChars="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（二）商务条款</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1、交付的时间和地点</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1.1交付的时间</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合同签订之日起90个日历日内，成交供应商应保证在要求时间内完成全部货物的供货、安装、调试、培训和验收工作，符合国家标准、行业规范和合同等相关文件的要求。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1.2交货期限延误处理</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成交供应商应按采购需求保证供货，如未按规定的供货期交付，每推迟一天扣合同总额的0.1%作为违约金；逾期超过30天，可视为该供应商不具备履约能力，采购方有权取消其供货资格。若有断货等特殊情况时，供应商应提前30天通知采购人，并出示加盖公章的停货书面说明，并提出切实可行的解决方案。断货期间，采购方有权向其他供应商购买产品（所购买产品费用由原供货方支付，计入本项目金额，结算时扣除），直到原供货方能继续供货为止。</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1.3交货、安装地点</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江西旅游商贸职业学院内采购人指定地点。</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2、付款条件</w:t>
      </w:r>
      <w:r>
        <w:rPr>
          <w:rFonts w:hint="eastAsia"/>
          <w:b w:val="0"/>
          <w:bCs/>
          <w:color w:val="auto"/>
          <w:sz w:val="24"/>
          <w:szCs w:val="24"/>
          <w:lang w:eastAsia="zh-CN"/>
        </w:rPr>
        <w:tab/>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2.1履约保证金</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本项目的履约保证金为成交总金额的5%，由成交供应商在合同签订时内以非现金形式（包括支票、汇票、本票、网上银行支付或者金融机构、担保机构出具的保函、保险公司出具的保证保险等）缴纳履约保证金。验收合格后，由采购人一次性无息退还履约保证金。</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2.2付款要求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合同项下所有货物安装调试完成后正常运行，并经验收合格后支付合同总价的100%。</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3、包装和运输</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3.1货物的拆箱、安装等工作由成交供应商负责，但必须在采购人或用户指定人员的参与下进行。成交供应商拆箱、安装前必须先经采购人或用户同意方可进行。</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3.2所有货物、材料、备品备件等均须由成交供应商送货到指定地点并负责安装，必须出示产品合格证和原厂随货清单。成交供应商应派熟练的工程师现场进行安装，若发生任一项指标不符合采购文件要求的，成交供应商应在7天内更换其不合格产品，使之达到采购文件要求，所有费用由成交供应商负担。</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4、售后服务和培训要求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4.1质量保证期</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在项目验收通过后，成交供应商必须提供为期12个月的质量保证期(国家法规另有规定和制造企业优于的除外)，在质保期内，成交供应商应提供上门维修或更换服务，所需费用包含在供应商报价中。</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4.2售后服务标准和培训要求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1）成交供应商须提供7×24小时售后服务，货物发生故障时，成交供应商需在接到采购人通知后1小时内响应，4小时内到达现场，8小时内排除故障（如不能按时到场，采购人有权请有资质的维保单位进行维修，所需费用由成交供应商承担），所需费用包含在供应商报价中。</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（2）质量保证期满后，设备需维修的，成交供应商应本着微利服务原则，按最低价格收取维修费。</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（3）成交供应商必须对其所提供的设备及采用的相关技术进行现场演示培训，以满足使用单位在日常使用、操作等方面的需求，所需费用包含在供应商报价中。</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（4）采购品目中，若涉及有计算机软件品目，则成交供应商需在质保期内提供升级服务（如有升级版本对外发布），但不涉及定制开发，所需费用包含在供应商报价中。</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（5）成交供应商的其它售后服务承诺属于本合同的一部分，如果有不同约定的，以服务水平和层级更高的为准。</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5、保险</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包含财产保险（货物运输保险等）、人身保险、责任保险（公众责任保险、雇主责任保险等）、信用保险等。均应包含在投标总价中。</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6、其他要求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6.1报价要求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本项目为交钥匙工程：所有货物、材料、运输、转运、装卸、辅材、安装、施工、调试、安全文明生产、机械设备及耗材费、检测、验收、上线运行、培训、技术支持、保险、人员工资福利、国家法定假日加班费、劳保用品费、办公设备及办公费、管理费、利润、税金、售后服务、质保期内维修材料、缺陷期间维护及为完成该项目不可预见的费用等一切费用均包含在投标报价总价中。成交供应商应充分考虑本项目合同实施期间可能发生的一切费用，并承担由此而带来的风险。凡成交供应商在报价中未列明但又是建成该项目所必备的项目或遗漏项目，采购人将一律视为已包括在其报价中。</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6.2安装及货物验收要求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6.2.1成交供应商需将各类中标设备先期集中在自有仓库里，然后一次性送至使用单位。货物送达采购人指定地点，采购人需指派专人在现场负责接货、安装等协调工作。货物达到指定地点后，由成交供应商提出到货验收申请，采购人同意后，按照职责权限，组织相关部门及人员形成验收小组，验收小组根据谈判文件、响应文件、合同等项目文件约定内容进行货物的包装的检查、开箱检查，对合同货物的品名、型号规格、数量、附件及备件（如产品说明书、产品合格证书）等是否齐全进行核查，核查无误后进行到货验收。合同货物安装调试完毕后，由成交供应商提出交付验收申请，采购人同意后，按照职责权限，组织相关部门及人员形成验收小组，验收小组根据谈判文件、响应文件、合同等项目文件约定内容进行交付验收。</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6.2.2交付验收标准：依次序对照适用标准为：</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（1）符合中华人民共和国国家安全质量标准、环保标准或行业标准；</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（2）符合谈判文件和响应承诺中采购人认可的合理最佳配置、参数及各项要求；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（3）货物来源符合官方标准。上述标准必须是有关官方机构发布的最新版本的标准；</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（4）如谈判文件的技术要求或谈判文件中承诺的技术要求，高于国家或行业标准，以高的标准进行验收。</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6.2.3视项目实施情况，采购人有权选择是否邀请第三方人员或检测机构，对货物进行验收或检测。检测费用、验收小组评审费及其他相关费用由成交供应商独立承担。如货物未能通过检测验收，成交供应商应按照采购人的要求更换相应货物直至达标，并承担由此产生的一切费用和损失。如验收达不到规定要求，采购人有权要求更换货物或拒绝付款，成交供应商若违约，采购人将依法追究相应法律责任。</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6.2.4技术服务：在进行最终验收之前，成交供应商必须将所有相关技术资料（包含并不仅限于：所提供产品的使用说明书、合格证、服务手册等）交采购人留存备案。</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6.3其他要求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成交供应商应保证采购人在使用该产品或其任何一部分时不受第三方提出侵犯其专利权、商标权和设计权的起诉。如果任何第三方提出侵权指控或赔偿要求，成交供应商必须与第三方交涉，并承担发生和可能发生的一切损失、费用和法律责任。</w:t>
      </w:r>
    </w:p>
    <w:p>
      <w:pPr>
        <w:adjustRightInd w:val="0"/>
        <w:snapToGrid w:val="0"/>
        <w:spacing w:before="156" w:beforeLines="50" w:beforeAutospacing="0" w:line="240" w:lineRule="auto"/>
        <w:ind w:left="0" w:leftChars="0" w:firstLine="0" w:firstLineChars="0"/>
        <w:rPr>
          <w:rFonts w:hint="eastAsia"/>
          <w:b/>
          <w:color w:val="auto"/>
          <w:sz w:val="24"/>
          <w:szCs w:val="24"/>
          <w:lang w:eastAsia="zh-CN"/>
        </w:rPr>
      </w:pPr>
    </w:p>
    <w:p>
      <w:pPr>
        <w:adjustRightInd w:val="0"/>
        <w:snapToGrid w:val="0"/>
        <w:spacing w:before="156" w:beforeLines="50" w:beforeAutospacing="0" w:line="240" w:lineRule="auto"/>
        <w:ind w:left="0" w:leftChars="0" w:firstLine="0" w:firstLineChars="0"/>
        <w:rPr>
          <w:b/>
          <w:color w:val="auto"/>
          <w:sz w:val="24"/>
          <w:szCs w:val="24"/>
          <w:lang w:eastAsia="zh-CN"/>
        </w:rPr>
      </w:pPr>
      <w:r>
        <w:rPr>
          <w:rFonts w:hint="eastAsia"/>
          <w:b/>
          <w:color w:val="auto"/>
          <w:sz w:val="24"/>
          <w:szCs w:val="24"/>
          <w:lang w:eastAsia="zh-CN"/>
        </w:rPr>
        <w:t>注：以上所有商务要求，供应商必须完全满足或优于，否则视为无效响应。</w:t>
      </w:r>
    </w:p>
    <w:p>
      <w:pPr>
        <w:adjustRightInd w:val="0"/>
        <w:spacing w:line="360" w:lineRule="auto"/>
        <w:rPr>
          <w:rFonts w:ascii="宋体" w:hAnsi="宋体" w:cs="宋体"/>
          <w:b/>
          <w:bCs/>
          <w:sz w:val="24"/>
          <w:szCs w:val="24"/>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28</w:t>
    </w:r>
    <w:r>
      <w:rPr>
        <w:rStyle w:val="24"/>
      </w:rPr>
      <w:fldChar w:fldCharType="end"/>
    </w:r>
  </w:p>
  <w:p>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52</w:t>
    </w:r>
    <w:r>
      <w:rPr>
        <w:rStyle w:val="24"/>
      </w:rPr>
      <w:fldChar w:fldCharType="end"/>
    </w:r>
  </w:p>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29</w:t>
    </w:r>
    <w:r>
      <w:rPr>
        <w:rStyle w:val="24"/>
      </w:rPr>
      <w:fldChar w:fldCharType="end"/>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30</w:t>
    </w:r>
    <w:r>
      <w:rPr>
        <w:rStyle w:val="24"/>
      </w:rPr>
      <w:fldChar w:fldCharType="end"/>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39</w:t>
    </w:r>
    <w:r>
      <w:rPr>
        <w:rStyle w:val="24"/>
      </w:rPr>
      <w:fldChar w:fldCharType="end"/>
    </w:r>
  </w:p>
  <w:p>
    <w:pPr>
      <w:pStyle w:val="13"/>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42</w:t>
    </w:r>
    <w:r>
      <w:rPr>
        <w:rStyle w:val="24"/>
      </w:rPr>
      <w:fldChar w:fldCharType="end"/>
    </w:r>
  </w:p>
  <w:p>
    <w:pPr>
      <w:pStyle w:val="13"/>
      <w:ind w:right="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6591A"/>
    <w:multiLevelType w:val="singleLevel"/>
    <w:tmpl w:val="8336591A"/>
    <w:lvl w:ilvl="0" w:tentative="0">
      <w:start w:val="1"/>
      <w:numFmt w:val="decimal"/>
      <w:suff w:val="nothing"/>
      <w:lvlText w:val="%1、"/>
      <w:lvlJc w:val="left"/>
    </w:lvl>
  </w:abstractNum>
  <w:abstractNum w:abstractNumId="1">
    <w:nsid w:val="E0C7BF8E"/>
    <w:multiLevelType w:val="singleLevel"/>
    <w:tmpl w:val="E0C7BF8E"/>
    <w:lvl w:ilvl="0" w:tentative="0">
      <w:start w:val="1"/>
      <w:numFmt w:val="chineseCounting"/>
      <w:suff w:val="nothing"/>
      <w:lvlText w:val="（%1）"/>
      <w:lvlJc w:val="left"/>
      <w:rPr>
        <w:rFonts w:hint="eastAsia"/>
      </w:rPr>
    </w:lvl>
  </w:abstractNum>
  <w:abstractNum w:abstractNumId="2">
    <w:nsid w:val="FEE24DD7"/>
    <w:multiLevelType w:val="singleLevel"/>
    <w:tmpl w:val="FEE24DD7"/>
    <w:lvl w:ilvl="0" w:tentative="0">
      <w:start w:val="1"/>
      <w:numFmt w:val="lowerLetter"/>
      <w:lvlText w:val="%1)"/>
      <w:lvlJc w:val="left"/>
      <w:pPr>
        <w:tabs>
          <w:tab w:val="left" w:pos="312"/>
        </w:tabs>
      </w:pPr>
    </w:lvl>
  </w:abstractNum>
  <w:abstractNum w:abstractNumId="3">
    <w:nsid w:val="0053208E"/>
    <w:multiLevelType w:val="multilevel"/>
    <w:tmpl w:val="0053208E"/>
    <w:lvl w:ilvl="0" w:tentative="0">
      <w:start w:val="1"/>
      <w:numFmt w:val="decimal"/>
      <w:lvlText w:val="%1."/>
      <w:lvlJc w:val="left"/>
      <w:pPr>
        <w:ind w:left="205" w:hanging="322"/>
        <w:jc w:val="left"/>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4">
    <w:nsid w:val="1A4AF931"/>
    <w:multiLevelType w:val="singleLevel"/>
    <w:tmpl w:val="1A4AF931"/>
    <w:lvl w:ilvl="0" w:tentative="0">
      <w:start w:val="1"/>
      <w:numFmt w:val="decimal"/>
      <w:suff w:val="nothing"/>
      <w:lvlText w:val="%1、"/>
      <w:lvlJc w:val="left"/>
    </w:lvl>
  </w:abstractNum>
  <w:abstractNum w:abstractNumId="5">
    <w:nsid w:val="29D16DA4"/>
    <w:multiLevelType w:val="multilevel"/>
    <w:tmpl w:val="29D16DA4"/>
    <w:lvl w:ilvl="0" w:tentative="0">
      <w:start w:val="1"/>
      <w:numFmt w:val="japaneseCounting"/>
      <w:lvlText w:val="%1、"/>
      <w:lvlJc w:val="left"/>
      <w:pPr>
        <w:ind w:left="516" w:hanging="51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C3F2FF7"/>
    <w:multiLevelType w:val="multilevel"/>
    <w:tmpl w:val="2C3F2FF7"/>
    <w:lvl w:ilvl="0" w:tentative="0">
      <w:start w:val="2"/>
      <w:numFmt w:val="japaneseCounting"/>
      <w:lvlText w:val="第%1章"/>
      <w:lvlJc w:val="left"/>
      <w:pPr>
        <w:tabs>
          <w:tab w:val="left" w:pos="1290"/>
        </w:tabs>
        <w:ind w:left="1290" w:hanging="129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678B4C0"/>
    <w:multiLevelType w:val="singleLevel"/>
    <w:tmpl w:val="3678B4C0"/>
    <w:lvl w:ilvl="0" w:tentative="0">
      <w:start w:val="1"/>
      <w:numFmt w:val="decimal"/>
      <w:lvlText w:val="%1."/>
      <w:lvlJc w:val="left"/>
      <w:pPr>
        <w:ind w:left="425" w:hanging="425"/>
      </w:pPr>
      <w:rPr>
        <w:rFonts w:hint="default"/>
      </w:rPr>
    </w:lvl>
  </w:abstractNum>
  <w:abstractNum w:abstractNumId="8">
    <w:nsid w:val="4B0E23F4"/>
    <w:multiLevelType w:val="singleLevel"/>
    <w:tmpl w:val="4B0E23F4"/>
    <w:lvl w:ilvl="0" w:tentative="0">
      <w:start w:val="1"/>
      <w:numFmt w:val="decimal"/>
      <w:lvlText w:val="%1）"/>
      <w:lvlJc w:val="left"/>
      <w:pPr>
        <w:tabs>
          <w:tab w:val="left" w:pos="372"/>
        </w:tabs>
        <w:ind w:left="372" w:hanging="372"/>
      </w:pPr>
      <w:rPr>
        <w:rFonts w:hint="eastAsia"/>
      </w:rPr>
    </w:lvl>
  </w:abstractNum>
  <w:abstractNum w:abstractNumId="9">
    <w:nsid w:val="5E10485D"/>
    <w:multiLevelType w:val="multilevel"/>
    <w:tmpl w:val="5E10485D"/>
    <w:lvl w:ilvl="0" w:tentative="0">
      <w:start w:val="1"/>
      <w:numFmt w:val="japaneseCounting"/>
      <w:lvlText w:val="第%1章"/>
      <w:lvlJc w:val="left"/>
      <w:pPr>
        <w:tabs>
          <w:tab w:val="left" w:pos="1080"/>
        </w:tabs>
        <w:ind w:left="1080" w:hanging="840"/>
      </w:pPr>
      <w:rPr>
        <w:rFonts w:hint="eastAsia"/>
      </w:rPr>
    </w:lvl>
    <w:lvl w:ilvl="1" w:tentative="0">
      <w:start w:val="1"/>
      <w:numFmt w:val="decimal"/>
      <w:lvlText w:val="%2）"/>
      <w:lvlJc w:val="left"/>
      <w:pPr>
        <w:tabs>
          <w:tab w:val="left" w:pos="1020"/>
        </w:tabs>
        <w:ind w:left="1020" w:hanging="360"/>
      </w:pPr>
      <w:rPr>
        <w:rFonts w:hint="eastAsia"/>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num w:numId="1">
    <w:abstractNumId w:val="6"/>
  </w:num>
  <w:num w:numId="2">
    <w:abstractNumId w:val="5"/>
  </w:num>
  <w:num w:numId="3">
    <w:abstractNumId w:val="4"/>
  </w:num>
  <w:num w:numId="4">
    <w:abstractNumId w:val="9"/>
  </w:num>
  <w:num w:numId="5">
    <w:abstractNumId w:val="3"/>
  </w:num>
  <w:num w:numId="6">
    <w:abstractNumId w:val="8"/>
  </w:num>
  <w:num w:numId="7">
    <w:abstractNumId w:val="7"/>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zMGY0NGI5ZmVmNDE5NDE0MGQ3NTYyZmVlOTdkYzkifQ=="/>
  </w:docVars>
  <w:rsids>
    <w:rsidRoot w:val="009C34C4"/>
    <w:rsid w:val="00000DFF"/>
    <w:rsid w:val="000025B4"/>
    <w:rsid w:val="00002C17"/>
    <w:rsid w:val="00003426"/>
    <w:rsid w:val="00003650"/>
    <w:rsid w:val="00003CBC"/>
    <w:rsid w:val="000052FF"/>
    <w:rsid w:val="000101E0"/>
    <w:rsid w:val="0001223E"/>
    <w:rsid w:val="0001257D"/>
    <w:rsid w:val="00012F2B"/>
    <w:rsid w:val="00014D44"/>
    <w:rsid w:val="000152CB"/>
    <w:rsid w:val="0001616F"/>
    <w:rsid w:val="000172AB"/>
    <w:rsid w:val="00020712"/>
    <w:rsid w:val="00023206"/>
    <w:rsid w:val="000240FC"/>
    <w:rsid w:val="000259E8"/>
    <w:rsid w:val="00026444"/>
    <w:rsid w:val="00026B14"/>
    <w:rsid w:val="00026E0A"/>
    <w:rsid w:val="00026FD9"/>
    <w:rsid w:val="000312BB"/>
    <w:rsid w:val="00033198"/>
    <w:rsid w:val="00034B0D"/>
    <w:rsid w:val="00034E02"/>
    <w:rsid w:val="000404E0"/>
    <w:rsid w:val="000413FD"/>
    <w:rsid w:val="00041BCB"/>
    <w:rsid w:val="00042A56"/>
    <w:rsid w:val="00044958"/>
    <w:rsid w:val="000461A4"/>
    <w:rsid w:val="00047F02"/>
    <w:rsid w:val="000533FC"/>
    <w:rsid w:val="00056066"/>
    <w:rsid w:val="00057499"/>
    <w:rsid w:val="0006169B"/>
    <w:rsid w:val="00062CE1"/>
    <w:rsid w:val="0006435F"/>
    <w:rsid w:val="00066BF0"/>
    <w:rsid w:val="00066E55"/>
    <w:rsid w:val="00070945"/>
    <w:rsid w:val="00071954"/>
    <w:rsid w:val="00071C14"/>
    <w:rsid w:val="000735A3"/>
    <w:rsid w:val="00074CDE"/>
    <w:rsid w:val="000753B8"/>
    <w:rsid w:val="000824AC"/>
    <w:rsid w:val="00083842"/>
    <w:rsid w:val="00084705"/>
    <w:rsid w:val="000857CC"/>
    <w:rsid w:val="000867A3"/>
    <w:rsid w:val="00086941"/>
    <w:rsid w:val="00090382"/>
    <w:rsid w:val="000906C2"/>
    <w:rsid w:val="0009168F"/>
    <w:rsid w:val="00094D27"/>
    <w:rsid w:val="000962E6"/>
    <w:rsid w:val="0009665D"/>
    <w:rsid w:val="0009700A"/>
    <w:rsid w:val="000975C3"/>
    <w:rsid w:val="000975E2"/>
    <w:rsid w:val="000A0A62"/>
    <w:rsid w:val="000A3DB1"/>
    <w:rsid w:val="000A5145"/>
    <w:rsid w:val="000A5EC3"/>
    <w:rsid w:val="000A71CA"/>
    <w:rsid w:val="000B1E97"/>
    <w:rsid w:val="000B33C0"/>
    <w:rsid w:val="000B3A98"/>
    <w:rsid w:val="000B61FA"/>
    <w:rsid w:val="000C0E7C"/>
    <w:rsid w:val="000C17D6"/>
    <w:rsid w:val="000C2EA1"/>
    <w:rsid w:val="000C317B"/>
    <w:rsid w:val="000C4553"/>
    <w:rsid w:val="000C4F8B"/>
    <w:rsid w:val="000D03E5"/>
    <w:rsid w:val="000D0657"/>
    <w:rsid w:val="000D218E"/>
    <w:rsid w:val="000D2F06"/>
    <w:rsid w:val="000D3691"/>
    <w:rsid w:val="000D73EA"/>
    <w:rsid w:val="000D79C5"/>
    <w:rsid w:val="000E07B1"/>
    <w:rsid w:val="000E35D7"/>
    <w:rsid w:val="000E3A52"/>
    <w:rsid w:val="000E4823"/>
    <w:rsid w:val="000E4993"/>
    <w:rsid w:val="000E5D30"/>
    <w:rsid w:val="000E64FC"/>
    <w:rsid w:val="000E676F"/>
    <w:rsid w:val="000F181D"/>
    <w:rsid w:val="000F19EB"/>
    <w:rsid w:val="000F1E91"/>
    <w:rsid w:val="000F43E9"/>
    <w:rsid w:val="000F6699"/>
    <w:rsid w:val="000F7357"/>
    <w:rsid w:val="000F7D68"/>
    <w:rsid w:val="00100AB7"/>
    <w:rsid w:val="00101683"/>
    <w:rsid w:val="00103F38"/>
    <w:rsid w:val="00104997"/>
    <w:rsid w:val="0010545D"/>
    <w:rsid w:val="00105756"/>
    <w:rsid w:val="0010646F"/>
    <w:rsid w:val="00110C75"/>
    <w:rsid w:val="001115A1"/>
    <w:rsid w:val="00112529"/>
    <w:rsid w:val="00113E54"/>
    <w:rsid w:val="001150FB"/>
    <w:rsid w:val="001160B4"/>
    <w:rsid w:val="00116190"/>
    <w:rsid w:val="001173DD"/>
    <w:rsid w:val="001200ED"/>
    <w:rsid w:val="00123745"/>
    <w:rsid w:val="001241C4"/>
    <w:rsid w:val="00124600"/>
    <w:rsid w:val="00124803"/>
    <w:rsid w:val="00124B0C"/>
    <w:rsid w:val="001264AF"/>
    <w:rsid w:val="001272D7"/>
    <w:rsid w:val="00130EE8"/>
    <w:rsid w:val="00131CF2"/>
    <w:rsid w:val="001328DC"/>
    <w:rsid w:val="00134689"/>
    <w:rsid w:val="0013484C"/>
    <w:rsid w:val="001357C3"/>
    <w:rsid w:val="00136331"/>
    <w:rsid w:val="00136704"/>
    <w:rsid w:val="00136CD0"/>
    <w:rsid w:val="0014060C"/>
    <w:rsid w:val="001414DC"/>
    <w:rsid w:val="00141AD4"/>
    <w:rsid w:val="00142242"/>
    <w:rsid w:val="0014267C"/>
    <w:rsid w:val="00143904"/>
    <w:rsid w:val="001442E9"/>
    <w:rsid w:val="001446A4"/>
    <w:rsid w:val="00144FFC"/>
    <w:rsid w:val="0014580C"/>
    <w:rsid w:val="001516F7"/>
    <w:rsid w:val="00152358"/>
    <w:rsid w:val="00153985"/>
    <w:rsid w:val="00157717"/>
    <w:rsid w:val="00161BFE"/>
    <w:rsid w:val="00162CAD"/>
    <w:rsid w:val="00162DA0"/>
    <w:rsid w:val="00165C6E"/>
    <w:rsid w:val="00166C21"/>
    <w:rsid w:val="001678AD"/>
    <w:rsid w:val="00167C3F"/>
    <w:rsid w:val="001719BB"/>
    <w:rsid w:val="00171A0E"/>
    <w:rsid w:val="001731E8"/>
    <w:rsid w:val="001743DB"/>
    <w:rsid w:val="00175112"/>
    <w:rsid w:val="0017529C"/>
    <w:rsid w:val="0017786C"/>
    <w:rsid w:val="00181367"/>
    <w:rsid w:val="00182E8F"/>
    <w:rsid w:val="001850F5"/>
    <w:rsid w:val="001855A1"/>
    <w:rsid w:val="00186A31"/>
    <w:rsid w:val="00186E9E"/>
    <w:rsid w:val="00190E2C"/>
    <w:rsid w:val="00191770"/>
    <w:rsid w:val="00192419"/>
    <w:rsid w:val="00193461"/>
    <w:rsid w:val="001936DF"/>
    <w:rsid w:val="00193FCE"/>
    <w:rsid w:val="0019458C"/>
    <w:rsid w:val="001953D7"/>
    <w:rsid w:val="00195993"/>
    <w:rsid w:val="001A2182"/>
    <w:rsid w:val="001A2F06"/>
    <w:rsid w:val="001A3F92"/>
    <w:rsid w:val="001A5E5D"/>
    <w:rsid w:val="001A63A8"/>
    <w:rsid w:val="001B0AC2"/>
    <w:rsid w:val="001B493A"/>
    <w:rsid w:val="001B7523"/>
    <w:rsid w:val="001B765B"/>
    <w:rsid w:val="001B77F3"/>
    <w:rsid w:val="001C0434"/>
    <w:rsid w:val="001C0832"/>
    <w:rsid w:val="001C31FE"/>
    <w:rsid w:val="001C356F"/>
    <w:rsid w:val="001C35CD"/>
    <w:rsid w:val="001C52A4"/>
    <w:rsid w:val="001D21AC"/>
    <w:rsid w:val="001D4C6E"/>
    <w:rsid w:val="001D5CCE"/>
    <w:rsid w:val="001D63B6"/>
    <w:rsid w:val="001D6F41"/>
    <w:rsid w:val="001D7545"/>
    <w:rsid w:val="001D78C2"/>
    <w:rsid w:val="001D797F"/>
    <w:rsid w:val="001E00AA"/>
    <w:rsid w:val="001E0763"/>
    <w:rsid w:val="001E0AFF"/>
    <w:rsid w:val="001E0BD2"/>
    <w:rsid w:val="001E17AE"/>
    <w:rsid w:val="001E1A2C"/>
    <w:rsid w:val="001E24D8"/>
    <w:rsid w:val="001E2701"/>
    <w:rsid w:val="001E3444"/>
    <w:rsid w:val="001E3B5E"/>
    <w:rsid w:val="001E4FF1"/>
    <w:rsid w:val="001E60A1"/>
    <w:rsid w:val="001E6801"/>
    <w:rsid w:val="001E6C8D"/>
    <w:rsid w:val="001F2FE0"/>
    <w:rsid w:val="001F30A0"/>
    <w:rsid w:val="001F4B64"/>
    <w:rsid w:val="002010F7"/>
    <w:rsid w:val="00201E70"/>
    <w:rsid w:val="0020332B"/>
    <w:rsid w:val="00203D0E"/>
    <w:rsid w:val="002045AC"/>
    <w:rsid w:val="00206E8C"/>
    <w:rsid w:val="002119B1"/>
    <w:rsid w:val="00212EB1"/>
    <w:rsid w:val="0021312D"/>
    <w:rsid w:val="00213823"/>
    <w:rsid w:val="002138DB"/>
    <w:rsid w:val="002139B3"/>
    <w:rsid w:val="00213F64"/>
    <w:rsid w:val="00214422"/>
    <w:rsid w:val="00215779"/>
    <w:rsid w:val="002160BE"/>
    <w:rsid w:val="0022125A"/>
    <w:rsid w:val="002243F0"/>
    <w:rsid w:val="00226C45"/>
    <w:rsid w:val="00227396"/>
    <w:rsid w:val="00231820"/>
    <w:rsid w:val="00231C30"/>
    <w:rsid w:val="00231DAD"/>
    <w:rsid w:val="00232309"/>
    <w:rsid w:val="00235E2C"/>
    <w:rsid w:val="00240111"/>
    <w:rsid w:val="00240B97"/>
    <w:rsid w:val="0024114C"/>
    <w:rsid w:val="002419D6"/>
    <w:rsid w:val="00241E0E"/>
    <w:rsid w:val="002456FA"/>
    <w:rsid w:val="00245F57"/>
    <w:rsid w:val="00246FF0"/>
    <w:rsid w:val="00247538"/>
    <w:rsid w:val="00247AC3"/>
    <w:rsid w:val="00247CFD"/>
    <w:rsid w:val="00250622"/>
    <w:rsid w:val="00250F70"/>
    <w:rsid w:val="002517AF"/>
    <w:rsid w:val="002535A1"/>
    <w:rsid w:val="002539B0"/>
    <w:rsid w:val="00253E1C"/>
    <w:rsid w:val="0025459C"/>
    <w:rsid w:val="00255655"/>
    <w:rsid w:val="00256B41"/>
    <w:rsid w:val="00257760"/>
    <w:rsid w:val="002577DA"/>
    <w:rsid w:val="00261E7C"/>
    <w:rsid w:val="00262049"/>
    <w:rsid w:val="00263B9E"/>
    <w:rsid w:val="00263CD4"/>
    <w:rsid w:val="00264161"/>
    <w:rsid w:val="002649BA"/>
    <w:rsid w:val="00264D84"/>
    <w:rsid w:val="00265143"/>
    <w:rsid w:val="00266030"/>
    <w:rsid w:val="00266461"/>
    <w:rsid w:val="00266DA8"/>
    <w:rsid w:val="0027014E"/>
    <w:rsid w:val="002711A7"/>
    <w:rsid w:val="002717E9"/>
    <w:rsid w:val="00271D84"/>
    <w:rsid w:val="0027372E"/>
    <w:rsid w:val="0027378A"/>
    <w:rsid w:val="00275463"/>
    <w:rsid w:val="0028171F"/>
    <w:rsid w:val="00282443"/>
    <w:rsid w:val="002861E6"/>
    <w:rsid w:val="00286DB4"/>
    <w:rsid w:val="00291BC7"/>
    <w:rsid w:val="00292919"/>
    <w:rsid w:val="0029378D"/>
    <w:rsid w:val="002949FA"/>
    <w:rsid w:val="00295AB6"/>
    <w:rsid w:val="00297684"/>
    <w:rsid w:val="002A1163"/>
    <w:rsid w:val="002A323E"/>
    <w:rsid w:val="002A36E3"/>
    <w:rsid w:val="002A3DCC"/>
    <w:rsid w:val="002A46D4"/>
    <w:rsid w:val="002A567B"/>
    <w:rsid w:val="002A7E69"/>
    <w:rsid w:val="002B00A6"/>
    <w:rsid w:val="002B2ACF"/>
    <w:rsid w:val="002B3786"/>
    <w:rsid w:val="002B4A8C"/>
    <w:rsid w:val="002C04B2"/>
    <w:rsid w:val="002C19A0"/>
    <w:rsid w:val="002C1D51"/>
    <w:rsid w:val="002C2055"/>
    <w:rsid w:val="002C2944"/>
    <w:rsid w:val="002C29CF"/>
    <w:rsid w:val="002C443B"/>
    <w:rsid w:val="002C48C7"/>
    <w:rsid w:val="002C4F6D"/>
    <w:rsid w:val="002D07AB"/>
    <w:rsid w:val="002D09D1"/>
    <w:rsid w:val="002D0DDA"/>
    <w:rsid w:val="002D19F7"/>
    <w:rsid w:val="002D1F10"/>
    <w:rsid w:val="002D25D3"/>
    <w:rsid w:val="002D28AF"/>
    <w:rsid w:val="002D2FA7"/>
    <w:rsid w:val="002D49EB"/>
    <w:rsid w:val="002D4B28"/>
    <w:rsid w:val="002D4CBC"/>
    <w:rsid w:val="002D5DD5"/>
    <w:rsid w:val="002D5FE6"/>
    <w:rsid w:val="002D71C4"/>
    <w:rsid w:val="002D7BC3"/>
    <w:rsid w:val="002E0E01"/>
    <w:rsid w:val="002E13E1"/>
    <w:rsid w:val="002E35C1"/>
    <w:rsid w:val="002E536E"/>
    <w:rsid w:val="002E58E9"/>
    <w:rsid w:val="002E6178"/>
    <w:rsid w:val="002F0C95"/>
    <w:rsid w:val="002F158E"/>
    <w:rsid w:val="002F22FB"/>
    <w:rsid w:val="002F2991"/>
    <w:rsid w:val="002F3141"/>
    <w:rsid w:val="002F3519"/>
    <w:rsid w:val="002F4C2F"/>
    <w:rsid w:val="002F5955"/>
    <w:rsid w:val="002F6EA9"/>
    <w:rsid w:val="002F77DD"/>
    <w:rsid w:val="002F787D"/>
    <w:rsid w:val="002F7E75"/>
    <w:rsid w:val="003001E7"/>
    <w:rsid w:val="00302287"/>
    <w:rsid w:val="003032EA"/>
    <w:rsid w:val="003044D5"/>
    <w:rsid w:val="003050B1"/>
    <w:rsid w:val="003058E0"/>
    <w:rsid w:val="003061E2"/>
    <w:rsid w:val="0030651C"/>
    <w:rsid w:val="00311B0F"/>
    <w:rsid w:val="003137DC"/>
    <w:rsid w:val="003140A5"/>
    <w:rsid w:val="00314F85"/>
    <w:rsid w:val="003157CE"/>
    <w:rsid w:val="00315B2E"/>
    <w:rsid w:val="0031716D"/>
    <w:rsid w:val="00320A2A"/>
    <w:rsid w:val="00322F50"/>
    <w:rsid w:val="003232B6"/>
    <w:rsid w:val="0032447B"/>
    <w:rsid w:val="00327831"/>
    <w:rsid w:val="00330F5C"/>
    <w:rsid w:val="00331593"/>
    <w:rsid w:val="00333618"/>
    <w:rsid w:val="00336940"/>
    <w:rsid w:val="0033773E"/>
    <w:rsid w:val="0034034C"/>
    <w:rsid w:val="00340608"/>
    <w:rsid w:val="00341B4E"/>
    <w:rsid w:val="0034221F"/>
    <w:rsid w:val="003447B2"/>
    <w:rsid w:val="003455F3"/>
    <w:rsid w:val="00347D1A"/>
    <w:rsid w:val="003503BA"/>
    <w:rsid w:val="00351D4E"/>
    <w:rsid w:val="0035408E"/>
    <w:rsid w:val="00356ECA"/>
    <w:rsid w:val="00357EEB"/>
    <w:rsid w:val="003616F2"/>
    <w:rsid w:val="00362182"/>
    <w:rsid w:val="00362C76"/>
    <w:rsid w:val="00363239"/>
    <w:rsid w:val="00363C1B"/>
    <w:rsid w:val="003670BE"/>
    <w:rsid w:val="003705E5"/>
    <w:rsid w:val="00370C49"/>
    <w:rsid w:val="00371E64"/>
    <w:rsid w:val="00372503"/>
    <w:rsid w:val="003728EF"/>
    <w:rsid w:val="00374D71"/>
    <w:rsid w:val="00380D77"/>
    <w:rsid w:val="00384DDF"/>
    <w:rsid w:val="00385DF6"/>
    <w:rsid w:val="00386BAB"/>
    <w:rsid w:val="00386CF4"/>
    <w:rsid w:val="00390325"/>
    <w:rsid w:val="0039040A"/>
    <w:rsid w:val="00391E34"/>
    <w:rsid w:val="003921E4"/>
    <w:rsid w:val="0039312C"/>
    <w:rsid w:val="00393432"/>
    <w:rsid w:val="003934AB"/>
    <w:rsid w:val="00393E94"/>
    <w:rsid w:val="0039419D"/>
    <w:rsid w:val="003948D0"/>
    <w:rsid w:val="0039795D"/>
    <w:rsid w:val="003A04F4"/>
    <w:rsid w:val="003A5588"/>
    <w:rsid w:val="003A5C77"/>
    <w:rsid w:val="003A6246"/>
    <w:rsid w:val="003A63B3"/>
    <w:rsid w:val="003A70C4"/>
    <w:rsid w:val="003A7A54"/>
    <w:rsid w:val="003B01B7"/>
    <w:rsid w:val="003B3EEC"/>
    <w:rsid w:val="003B4294"/>
    <w:rsid w:val="003B4FCA"/>
    <w:rsid w:val="003B6220"/>
    <w:rsid w:val="003B718F"/>
    <w:rsid w:val="003B7921"/>
    <w:rsid w:val="003B7943"/>
    <w:rsid w:val="003C0421"/>
    <w:rsid w:val="003C345C"/>
    <w:rsid w:val="003C4ACE"/>
    <w:rsid w:val="003C58D9"/>
    <w:rsid w:val="003D022C"/>
    <w:rsid w:val="003D0BB9"/>
    <w:rsid w:val="003D1903"/>
    <w:rsid w:val="003D19EA"/>
    <w:rsid w:val="003D28E5"/>
    <w:rsid w:val="003D3AA9"/>
    <w:rsid w:val="003D3E81"/>
    <w:rsid w:val="003D5351"/>
    <w:rsid w:val="003D69B4"/>
    <w:rsid w:val="003D6FE6"/>
    <w:rsid w:val="003E00B6"/>
    <w:rsid w:val="003E133B"/>
    <w:rsid w:val="003E168F"/>
    <w:rsid w:val="003E294B"/>
    <w:rsid w:val="003E35C7"/>
    <w:rsid w:val="003E471E"/>
    <w:rsid w:val="003E535C"/>
    <w:rsid w:val="003E712E"/>
    <w:rsid w:val="003E7C2F"/>
    <w:rsid w:val="003E7CDD"/>
    <w:rsid w:val="003F10A3"/>
    <w:rsid w:val="003F1926"/>
    <w:rsid w:val="003F6B4B"/>
    <w:rsid w:val="003F7511"/>
    <w:rsid w:val="003F7661"/>
    <w:rsid w:val="003F78FC"/>
    <w:rsid w:val="0040077C"/>
    <w:rsid w:val="00402E19"/>
    <w:rsid w:val="004032EE"/>
    <w:rsid w:val="00403926"/>
    <w:rsid w:val="00405660"/>
    <w:rsid w:val="004056BF"/>
    <w:rsid w:val="00406168"/>
    <w:rsid w:val="0040724E"/>
    <w:rsid w:val="004079EB"/>
    <w:rsid w:val="00410532"/>
    <w:rsid w:val="0041097A"/>
    <w:rsid w:val="0041187D"/>
    <w:rsid w:val="00412CA4"/>
    <w:rsid w:val="00413339"/>
    <w:rsid w:val="004140A8"/>
    <w:rsid w:val="004148D2"/>
    <w:rsid w:val="0041546B"/>
    <w:rsid w:val="00415479"/>
    <w:rsid w:val="004162CC"/>
    <w:rsid w:val="00416B04"/>
    <w:rsid w:val="00417C87"/>
    <w:rsid w:val="00422C81"/>
    <w:rsid w:val="004253CA"/>
    <w:rsid w:val="004261C7"/>
    <w:rsid w:val="00430088"/>
    <w:rsid w:val="00432936"/>
    <w:rsid w:val="00434293"/>
    <w:rsid w:val="00434CBB"/>
    <w:rsid w:val="00435DD8"/>
    <w:rsid w:val="0043701A"/>
    <w:rsid w:val="00437182"/>
    <w:rsid w:val="00437531"/>
    <w:rsid w:val="00437A6C"/>
    <w:rsid w:val="00437B6F"/>
    <w:rsid w:val="004401D8"/>
    <w:rsid w:val="0044065F"/>
    <w:rsid w:val="00440B41"/>
    <w:rsid w:val="00441FE2"/>
    <w:rsid w:val="00445038"/>
    <w:rsid w:val="00446500"/>
    <w:rsid w:val="00446D81"/>
    <w:rsid w:val="004503CD"/>
    <w:rsid w:val="00457330"/>
    <w:rsid w:val="0046097F"/>
    <w:rsid w:val="00461A82"/>
    <w:rsid w:val="00462084"/>
    <w:rsid w:val="00464713"/>
    <w:rsid w:val="00465AC6"/>
    <w:rsid w:val="00466988"/>
    <w:rsid w:val="004678E4"/>
    <w:rsid w:val="004703E5"/>
    <w:rsid w:val="00470D03"/>
    <w:rsid w:val="00470D6B"/>
    <w:rsid w:val="00471226"/>
    <w:rsid w:val="00471F0A"/>
    <w:rsid w:val="00472A7B"/>
    <w:rsid w:val="0047348C"/>
    <w:rsid w:val="004735B6"/>
    <w:rsid w:val="00474107"/>
    <w:rsid w:val="00474A6E"/>
    <w:rsid w:val="00475EDC"/>
    <w:rsid w:val="00476620"/>
    <w:rsid w:val="00477712"/>
    <w:rsid w:val="00477CF9"/>
    <w:rsid w:val="004805FB"/>
    <w:rsid w:val="004807F5"/>
    <w:rsid w:val="0048123C"/>
    <w:rsid w:val="00481FB3"/>
    <w:rsid w:val="00484D68"/>
    <w:rsid w:val="00485C92"/>
    <w:rsid w:val="00486D4C"/>
    <w:rsid w:val="00487861"/>
    <w:rsid w:val="00491481"/>
    <w:rsid w:val="00491CB0"/>
    <w:rsid w:val="004920D1"/>
    <w:rsid w:val="0049267D"/>
    <w:rsid w:val="00492A3E"/>
    <w:rsid w:val="00493B2C"/>
    <w:rsid w:val="00493BB0"/>
    <w:rsid w:val="004949AA"/>
    <w:rsid w:val="00494BC0"/>
    <w:rsid w:val="00494BC2"/>
    <w:rsid w:val="004967D2"/>
    <w:rsid w:val="004A0815"/>
    <w:rsid w:val="004A1190"/>
    <w:rsid w:val="004A2472"/>
    <w:rsid w:val="004A45EC"/>
    <w:rsid w:val="004A4E64"/>
    <w:rsid w:val="004A75F5"/>
    <w:rsid w:val="004A7785"/>
    <w:rsid w:val="004A7E87"/>
    <w:rsid w:val="004B09B8"/>
    <w:rsid w:val="004B1467"/>
    <w:rsid w:val="004B2318"/>
    <w:rsid w:val="004B41B1"/>
    <w:rsid w:val="004B7FA3"/>
    <w:rsid w:val="004C2786"/>
    <w:rsid w:val="004C3F70"/>
    <w:rsid w:val="004C5ED9"/>
    <w:rsid w:val="004C7474"/>
    <w:rsid w:val="004C762B"/>
    <w:rsid w:val="004D03C9"/>
    <w:rsid w:val="004D145F"/>
    <w:rsid w:val="004D181B"/>
    <w:rsid w:val="004D27FD"/>
    <w:rsid w:val="004D367A"/>
    <w:rsid w:val="004D4530"/>
    <w:rsid w:val="004D4CF0"/>
    <w:rsid w:val="004D5B2D"/>
    <w:rsid w:val="004D7462"/>
    <w:rsid w:val="004D7863"/>
    <w:rsid w:val="004E09AD"/>
    <w:rsid w:val="004E0DCD"/>
    <w:rsid w:val="004E6B28"/>
    <w:rsid w:val="004E7CC0"/>
    <w:rsid w:val="004F022D"/>
    <w:rsid w:val="004F07A7"/>
    <w:rsid w:val="004F5201"/>
    <w:rsid w:val="004F5702"/>
    <w:rsid w:val="004F5861"/>
    <w:rsid w:val="00500AFF"/>
    <w:rsid w:val="005010E9"/>
    <w:rsid w:val="00501D60"/>
    <w:rsid w:val="00505127"/>
    <w:rsid w:val="00505309"/>
    <w:rsid w:val="00506923"/>
    <w:rsid w:val="00507143"/>
    <w:rsid w:val="00507196"/>
    <w:rsid w:val="00510AFA"/>
    <w:rsid w:val="005124BB"/>
    <w:rsid w:val="00514FEF"/>
    <w:rsid w:val="005159AD"/>
    <w:rsid w:val="00516043"/>
    <w:rsid w:val="00516702"/>
    <w:rsid w:val="005172C3"/>
    <w:rsid w:val="005202F1"/>
    <w:rsid w:val="0052031C"/>
    <w:rsid w:val="00520387"/>
    <w:rsid w:val="00520581"/>
    <w:rsid w:val="0052094A"/>
    <w:rsid w:val="00521A08"/>
    <w:rsid w:val="00521AF6"/>
    <w:rsid w:val="005239FD"/>
    <w:rsid w:val="0052640D"/>
    <w:rsid w:val="00526A8E"/>
    <w:rsid w:val="00526DD5"/>
    <w:rsid w:val="00527DD8"/>
    <w:rsid w:val="005304F8"/>
    <w:rsid w:val="005315DB"/>
    <w:rsid w:val="005315E5"/>
    <w:rsid w:val="00532A46"/>
    <w:rsid w:val="00532AE6"/>
    <w:rsid w:val="0053309D"/>
    <w:rsid w:val="0053354D"/>
    <w:rsid w:val="00534323"/>
    <w:rsid w:val="00540D8B"/>
    <w:rsid w:val="00541537"/>
    <w:rsid w:val="005421D3"/>
    <w:rsid w:val="00542768"/>
    <w:rsid w:val="00542B54"/>
    <w:rsid w:val="005430F5"/>
    <w:rsid w:val="005431DD"/>
    <w:rsid w:val="005457C5"/>
    <w:rsid w:val="005458F0"/>
    <w:rsid w:val="005460A2"/>
    <w:rsid w:val="0054659C"/>
    <w:rsid w:val="00551AD1"/>
    <w:rsid w:val="00553143"/>
    <w:rsid w:val="00555D3E"/>
    <w:rsid w:val="005560CF"/>
    <w:rsid w:val="0055717A"/>
    <w:rsid w:val="0056126E"/>
    <w:rsid w:val="00561675"/>
    <w:rsid w:val="0056251F"/>
    <w:rsid w:val="00562DD4"/>
    <w:rsid w:val="00564522"/>
    <w:rsid w:val="00564A80"/>
    <w:rsid w:val="00564DA1"/>
    <w:rsid w:val="005654B5"/>
    <w:rsid w:val="0056630E"/>
    <w:rsid w:val="00566E41"/>
    <w:rsid w:val="005675D6"/>
    <w:rsid w:val="00573A86"/>
    <w:rsid w:val="00575739"/>
    <w:rsid w:val="00575F9C"/>
    <w:rsid w:val="0057690B"/>
    <w:rsid w:val="005812B2"/>
    <w:rsid w:val="00581737"/>
    <w:rsid w:val="00582991"/>
    <w:rsid w:val="00582EBA"/>
    <w:rsid w:val="00583580"/>
    <w:rsid w:val="005854CD"/>
    <w:rsid w:val="00586A19"/>
    <w:rsid w:val="00586D45"/>
    <w:rsid w:val="0059104F"/>
    <w:rsid w:val="00591662"/>
    <w:rsid w:val="005934CB"/>
    <w:rsid w:val="005945E2"/>
    <w:rsid w:val="005957D0"/>
    <w:rsid w:val="0059643F"/>
    <w:rsid w:val="005A07D2"/>
    <w:rsid w:val="005A1C0B"/>
    <w:rsid w:val="005A1E83"/>
    <w:rsid w:val="005A2C14"/>
    <w:rsid w:val="005A468F"/>
    <w:rsid w:val="005A46EE"/>
    <w:rsid w:val="005A642C"/>
    <w:rsid w:val="005A6D31"/>
    <w:rsid w:val="005A7EF0"/>
    <w:rsid w:val="005B37E5"/>
    <w:rsid w:val="005B3E39"/>
    <w:rsid w:val="005B3FED"/>
    <w:rsid w:val="005B400A"/>
    <w:rsid w:val="005B464A"/>
    <w:rsid w:val="005B50D5"/>
    <w:rsid w:val="005B6CD9"/>
    <w:rsid w:val="005C4BF9"/>
    <w:rsid w:val="005C4FDF"/>
    <w:rsid w:val="005C73A9"/>
    <w:rsid w:val="005D1AF6"/>
    <w:rsid w:val="005D5972"/>
    <w:rsid w:val="005D6214"/>
    <w:rsid w:val="005D64F0"/>
    <w:rsid w:val="005D748A"/>
    <w:rsid w:val="005D76A9"/>
    <w:rsid w:val="005E0767"/>
    <w:rsid w:val="005E1757"/>
    <w:rsid w:val="005E2908"/>
    <w:rsid w:val="005E2B00"/>
    <w:rsid w:val="005E38FA"/>
    <w:rsid w:val="005E4EEF"/>
    <w:rsid w:val="005E51AE"/>
    <w:rsid w:val="005E70A3"/>
    <w:rsid w:val="005E7709"/>
    <w:rsid w:val="005E7D95"/>
    <w:rsid w:val="005F2B3E"/>
    <w:rsid w:val="005F3C83"/>
    <w:rsid w:val="005F4C4C"/>
    <w:rsid w:val="005F6664"/>
    <w:rsid w:val="005F74B4"/>
    <w:rsid w:val="005F75B5"/>
    <w:rsid w:val="00601C4A"/>
    <w:rsid w:val="00602BAF"/>
    <w:rsid w:val="00604C16"/>
    <w:rsid w:val="006055BF"/>
    <w:rsid w:val="00605C2B"/>
    <w:rsid w:val="00605EBC"/>
    <w:rsid w:val="0060626D"/>
    <w:rsid w:val="00607167"/>
    <w:rsid w:val="006104E8"/>
    <w:rsid w:val="00611646"/>
    <w:rsid w:val="00612097"/>
    <w:rsid w:val="0061229E"/>
    <w:rsid w:val="0061618E"/>
    <w:rsid w:val="00617B88"/>
    <w:rsid w:val="006207D9"/>
    <w:rsid w:val="00622A07"/>
    <w:rsid w:val="00623D3F"/>
    <w:rsid w:val="00623FF4"/>
    <w:rsid w:val="00624028"/>
    <w:rsid w:val="006244B5"/>
    <w:rsid w:val="006248D6"/>
    <w:rsid w:val="00625D91"/>
    <w:rsid w:val="006266B1"/>
    <w:rsid w:val="00626BA5"/>
    <w:rsid w:val="00627EBD"/>
    <w:rsid w:val="00633F30"/>
    <w:rsid w:val="0063408B"/>
    <w:rsid w:val="006341EC"/>
    <w:rsid w:val="00635129"/>
    <w:rsid w:val="006357D4"/>
    <w:rsid w:val="00636E1B"/>
    <w:rsid w:val="00637F53"/>
    <w:rsid w:val="00640919"/>
    <w:rsid w:val="006422BF"/>
    <w:rsid w:val="00643577"/>
    <w:rsid w:val="006451F2"/>
    <w:rsid w:val="00646304"/>
    <w:rsid w:val="00646383"/>
    <w:rsid w:val="0064695D"/>
    <w:rsid w:val="00650F62"/>
    <w:rsid w:val="006536D1"/>
    <w:rsid w:val="0065618D"/>
    <w:rsid w:val="00660D9B"/>
    <w:rsid w:val="006639A2"/>
    <w:rsid w:val="00663EBF"/>
    <w:rsid w:val="0066604C"/>
    <w:rsid w:val="00666A25"/>
    <w:rsid w:val="00671567"/>
    <w:rsid w:val="006722DA"/>
    <w:rsid w:val="0067269D"/>
    <w:rsid w:val="00672B8B"/>
    <w:rsid w:val="00672FB0"/>
    <w:rsid w:val="0067775B"/>
    <w:rsid w:val="006779CE"/>
    <w:rsid w:val="00683E7B"/>
    <w:rsid w:val="006866F4"/>
    <w:rsid w:val="00686BC2"/>
    <w:rsid w:val="00687A41"/>
    <w:rsid w:val="0069078B"/>
    <w:rsid w:val="00690F46"/>
    <w:rsid w:val="00693BED"/>
    <w:rsid w:val="00693DE8"/>
    <w:rsid w:val="00695551"/>
    <w:rsid w:val="006959D6"/>
    <w:rsid w:val="00695E33"/>
    <w:rsid w:val="0069689A"/>
    <w:rsid w:val="00696A14"/>
    <w:rsid w:val="00697F35"/>
    <w:rsid w:val="006A0B32"/>
    <w:rsid w:val="006A0EA0"/>
    <w:rsid w:val="006A1DE8"/>
    <w:rsid w:val="006A24CA"/>
    <w:rsid w:val="006A3102"/>
    <w:rsid w:val="006A351A"/>
    <w:rsid w:val="006A3930"/>
    <w:rsid w:val="006A4719"/>
    <w:rsid w:val="006A4AD9"/>
    <w:rsid w:val="006A4DC0"/>
    <w:rsid w:val="006A5DD0"/>
    <w:rsid w:val="006A5FEC"/>
    <w:rsid w:val="006A647A"/>
    <w:rsid w:val="006A64B8"/>
    <w:rsid w:val="006A7483"/>
    <w:rsid w:val="006A77B6"/>
    <w:rsid w:val="006B1438"/>
    <w:rsid w:val="006B50D4"/>
    <w:rsid w:val="006B6645"/>
    <w:rsid w:val="006B6D43"/>
    <w:rsid w:val="006B71C8"/>
    <w:rsid w:val="006B72E7"/>
    <w:rsid w:val="006B765C"/>
    <w:rsid w:val="006C1C0F"/>
    <w:rsid w:val="006C29DD"/>
    <w:rsid w:val="006C2E39"/>
    <w:rsid w:val="006C2EE5"/>
    <w:rsid w:val="006C365C"/>
    <w:rsid w:val="006C4C9F"/>
    <w:rsid w:val="006C7291"/>
    <w:rsid w:val="006C7D75"/>
    <w:rsid w:val="006D1788"/>
    <w:rsid w:val="006D2B45"/>
    <w:rsid w:val="006D33D4"/>
    <w:rsid w:val="006D3F08"/>
    <w:rsid w:val="006D58A3"/>
    <w:rsid w:val="006E1313"/>
    <w:rsid w:val="006E2A48"/>
    <w:rsid w:val="006E45B0"/>
    <w:rsid w:val="006E4A13"/>
    <w:rsid w:val="006E4E00"/>
    <w:rsid w:val="006E558D"/>
    <w:rsid w:val="006E5E4B"/>
    <w:rsid w:val="006E664A"/>
    <w:rsid w:val="006E6BA9"/>
    <w:rsid w:val="006E6BE3"/>
    <w:rsid w:val="006E6D77"/>
    <w:rsid w:val="006E7025"/>
    <w:rsid w:val="006E73DF"/>
    <w:rsid w:val="006F0C85"/>
    <w:rsid w:val="006F107E"/>
    <w:rsid w:val="006F35E7"/>
    <w:rsid w:val="006F5368"/>
    <w:rsid w:val="006F77CA"/>
    <w:rsid w:val="00700EB1"/>
    <w:rsid w:val="00701882"/>
    <w:rsid w:val="007023B8"/>
    <w:rsid w:val="00703A4E"/>
    <w:rsid w:val="00703FE5"/>
    <w:rsid w:val="00705FDC"/>
    <w:rsid w:val="00710B97"/>
    <w:rsid w:val="0071188F"/>
    <w:rsid w:val="00711C59"/>
    <w:rsid w:val="0071418E"/>
    <w:rsid w:val="00715E76"/>
    <w:rsid w:val="007161EB"/>
    <w:rsid w:val="00716958"/>
    <w:rsid w:val="00717367"/>
    <w:rsid w:val="00717439"/>
    <w:rsid w:val="00720148"/>
    <w:rsid w:val="007220F7"/>
    <w:rsid w:val="0072503F"/>
    <w:rsid w:val="007260C1"/>
    <w:rsid w:val="00726EA5"/>
    <w:rsid w:val="00727901"/>
    <w:rsid w:val="00731C2D"/>
    <w:rsid w:val="00731F62"/>
    <w:rsid w:val="007320FA"/>
    <w:rsid w:val="00732158"/>
    <w:rsid w:val="00736DB5"/>
    <w:rsid w:val="00741E4B"/>
    <w:rsid w:val="0074312E"/>
    <w:rsid w:val="0074380A"/>
    <w:rsid w:val="00745902"/>
    <w:rsid w:val="00745AFE"/>
    <w:rsid w:val="00747817"/>
    <w:rsid w:val="00752A54"/>
    <w:rsid w:val="00752F98"/>
    <w:rsid w:val="00755D06"/>
    <w:rsid w:val="00755F22"/>
    <w:rsid w:val="007561E6"/>
    <w:rsid w:val="00756E4A"/>
    <w:rsid w:val="00756F2D"/>
    <w:rsid w:val="00757C13"/>
    <w:rsid w:val="00761B74"/>
    <w:rsid w:val="00762CCC"/>
    <w:rsid w:val="00765DF1"/>
    <w:rsid w:val="00767404"/>
    <w:rsid w:val="00767695"/>
    <w:rsid w:val="00770091"/>
    <w:rsid w:val="00775071"/>
    <w:rsid w:val="00775DA3"/>
    <w:rsid w:val="00777906"/>
    <w:rsid w:val="0078099C"/>
    <w:rsid w:val="0078222D"/>
    <w:rsid w:val="00782753"/>
    <w:rsid w:val="00785AF6"/>
    <w:rsid w:val="00787279"/>
    <w:rsid w:val="0079007E"/>
    <w:rsid w:val="007902D9"/>
    <w:rsid w:val="00790F90"/>
    <w:rsid w:val="00792DF0"/>
    <w:rsid w:val="007935C6"/>
    <w:rsid w:val="00794847"/>
    <w:rsid w:val="00797325"/>
    <w:rsid w:val="007976CE"/>
    <w:rsid w:val="007A0230"/>
    <w:rsid w:val="007A0648"/>
    <w:rsid w:val="007A0675"/>
    <w:rsid w:val="007A13B7"/>
    <w:rsid w:val="007A1E3C"/>
    <w:rsid w:val="007A743B"/>
    <w:rsid w:val="007B15D4"/>
    <w:rsid w:val="007B1C28"/>
    <w:rsid w:val="007B41A0"/>
    <w:rsid w:val="007B4447"/>
    <w:rsid w:val="007B47C1"/>
    <w:rsid w:val="007B4D6C"/>
    <w:rsid w:val="007B6DF7"/>
    <w:rsid w:val="007C0ADB"/>
    <w:rsid w:val="007C0E69"/>
    <w:rsid w:val="007C3B3A"/>
    <w:rsid w:val="007C3C93"/>
    <w:rsid w:val="007C520A"/>
    <w:rsid w:val="007C5468"/>
    <w:rsid w:val="007C5974"/>
    <w:rsid w:val="007C71E7"/>
    <w:rsid w:val="007C7AE0"/>
    <w:rsid w:val="007C7E98"/>
    <w:rsid w:val="007D0729"/>
    <w:rsid w:val="007D081C"/>
    <w:rsid w:val="007D0A39"/>
    <w:rsid w:val="007D19C0"/>
    <w:rsid w:val="007D27DB"/>
    <w:rsid w:val="007D3559"/>
    <w:rsid w:val="007D4D87"/>
    <w:rsid w:val="007D67C2"/>
    <w:rsid w:val="007E4367"/>
    <w:rsid w:val="007E5147"/>
    <w:rsid w:val="007E52E6"/>
    <w:rsid w:val="007E6241"/>
    <w:rsid w:val="007E667C"/>
    <w:rsid w:val="007E71DB"/>
    <w:rsid w:val="007E7268"/>
    <w:rsid w:val="007E72D2"/>
    <w:rsid w:val="007F02A8"/>
    <w:rsid w:val="007F56C2"/>
    <w:rsid w:val="007F6FBB"/>
    <w:rsid w:val="0080084A"/>
    <w:rsid w:val="00801F3F"/>
    <w:rsid w:val="00805C2B"/>
    <w:rsid w:val="00807254"/>
    <w:rsid w:val="00807B27"/>
    <w:rsid w:val="008108D5"/>
    <w:rsid w:val="00810E57"/>
    <w:rsid w:val="00811D2E"/>
    <w:rsid w:val="008121E5"/>
    <w:rsid w:val="00813DC0"/>
    <w:rsid w:val="00814E6E"/>
    <w:rsid w:val="00815399"/>
    <w:rsid w:val="0081547C"/>
    <w:rsid w:val="008178F6"/>
    <w:rsid w:val="0082095C"/>
    <w:rsid w:val="00823AF0"/>
    <w:rsid w:val="00824091"/>
    <w:rsid w:val="0083087D"/>
    <w:rsid w:val="008308EB"/>
    <w:rsid w:val="00830985"/>
    <w:rsid w:val="00830D21"/>
    <w:rsid w:val="008314D4"/>
    <w:rsid w:val="00833848"/>
    <w:rsid w:val="00833C45"/>
    <w:rsid w:val="0083486E"/>
    <w:rsid w:val="00835EF6"/>
    <w:rsid w:val="0083603F"/>
    <w:rsid w:val="00837E11"/>
    <w:rsid w:val="008408F4"/>
    <w:rsid w:val="00841624"/>
    <w:rsid w:val="00841641"/>
    <w:rsid w:val="00842FD1"/>
    <w:rsid w:val="0084368D"/>
    <w:rsid w:val="00844333"/>
    <w:rsid w:val="0084496C"/>
    <w:rsid w:val="00845D0E"/>
    <w:rsid w:val="008471A6"/>
    <w:rsid w:val="00847549"/>
    <w:rsid w:val="00847764"/>
    <w:rsid w:val="00847965"/>
    <w:rsid w:val="00847A10"/>
    <w:rsid w:val="00847E3A"/>
    <w:rsid w:val="00853B7E"/>
    <w:rsid w:val="00854BF3"/>
    <w:rsid w:val="0085509C"/>
    <w:rsid w:val="00855797"/>
    <w:rsid w:val="008558A0"/>
    <w:rsid w:val="008573AA"/>
    <w:rsid w:val="00857AA8"/>
    <w:rsid w:val="00860678"/>
    <w:rsid w:val="00861CB8"/>
    <w:rsid w:val="0086313B"/>
    <w:rsid w:val="008631FA"/>
    <w:rsid w:val="008638AC"/>
    <w:rsid w:val="00864405"/>
    <w:rsid w:val="00865A8A"/>
    <w:rsid w:val="00865B58"/>
    <w:rsid w:val="00866AC4"/>
    <w:rsid w:val="008706AD"/>
    <w:rsid w:val="00873281"/>
    <w:rsid w:val="008738CC"/>
    <w:rsid w:val="00874F96"/>
    <w:rsid w:val="0087595B"/>
    <w:rsid w:val="00876A7E"/>
    <w:rsid w:val="00876D91"/>
    <w:rsid w:val="00877C62"/>
    <w:rsid w:val="008804AF"/>
    <w:rsid w:val="00882D54"/>
    <w:rsid w:val="0088321C"/>
    <w:rsid w:val="008832AF"/>
    <w:rsid w:val="00884778"/>
    <w:rsid w:val="008858FD"/>
    <w:rsid w:val="008869AF"/>
    <w:rsid w:val="00886C36"/>
    <w:rsid w:val="00886E01"/>
    <w:rsid w:val="00887988"/>
    <w:rsid w:val="00890D5C"/>
    <w:rsid w:val="0089133B"/>
    <w:rsid w:val="00891BAD"/>
    <w:rsid w:val="00891D0F"/>
    <w:rsid w:val="00892630"/>
    <w:rsid w:val="0089337C"/>
    <w:rsid w:val="00894755"/>
    <w:rsid w:val="0089574E"/>
    <w:rsid w:val="00897034"/>
    <w:rsid w:val="0089742A"/>
    <w:rsid w:val="00897E79"/>
    <w:rsid w:val="008A130B"/>
    <w:rsid w:val="008A1FE7"/>
    <w:rsid w:val="008A20F7"/>
    <w:rsid w:val="008A2D2B"/>
    <w:rsid w:val="008A2FEA"/>
    <w:rsid w:val="008A34BD"/>
    <w:rsid w:val="008A407B"/>
    <w:rsid w:val="008A4FC6"/>
    <w:rsid w:val="008A5F35"/>
    <w:rsid w:val="008A61DE"/>
    <w:rsid w:val="008A6FE4"/>
    <w:rsid w:val="008B0E20"/>
    <w:rsid w:val="008B0E30"/>
    <w:rsid w:val="008B10FF"/>
    <w:rsid w:val="008B1B32"/>
    <w:rsid w:val="008B2D43"/>
    <w:rsid w:val="008B506E"/>
    <w:rsid w:val="008B5ADE"/>
    <w:rsid w:val="008B5B95"/>
    <w:rsid w:val="008B73D6"/>
    <w:rsid w:val="008B742E"/>
    <w:rsid w:val="008B7839"/>
    <w:rsid w:val="008C0356"/>
    <w:rsid w:val="008C28DE"/>
    <w:rsid w:val="008C2B0F"/>
    <w:rsid w:val="008C2E5F"/>
    <w:rsid w:val="008C2EC3"/>
    <w:rsid w:val="008C306C"/>
    <w:rsid w:val="008C5017"/>
    <w:rsid w:val="008C514D"/>
    <w:rsid w:val="008C6183"/>
    <w:rsid w:val="008C686A"/>
    <w:rsid w:val="008C7A73"/>
    <w:rsid w:val="008C7C1C"/>
    <w:rsid w:val="008C7FFA"/>
    <w:rsid w:val="008D0A8A"/>
    <w:rsid w:val="008D1C2E"/>
    <w:rsid w:val="008D3710"/>
    <w:rsid w:val="008D4055"/>
    <w:rsid w:val="008D4696"/>
    <w:rsid w:val="008E026A"/>
    <w:rsid w:val="008E0FF2"/>
    <w:rsid w:val="008E2FB2"/>
    <w:rsid w:val="008E32A4"/>
    <w:rsid w:val="008E42E4"/>
    <w:rsid w:val="008E54DC"/>
    <w:rsid w:val="008E6B20"/>
    <w:rsid w:val="008F0583"/>
    <w:rsid w:val="008F17D0"/>
    <w:rsid w:val="008F18E3"/>
    <w:rsid w:val="008F3E39"/>
    <w:rsid w:val="008F42D6"/>
    <w:rsid w:val="008F5661"/>
    <w:rsid w:val="008F5CE9"/>
    <w:rsid w:val="008F6819"/>
    <w:rsid w:val="008F6F1F"/>
    <w:rsid w:val="009002C7"/>
    <w:rsid w:val="00900F2E"/>
    <w:rsid w:val="00901D82"/>
    <w:rsid w:val="009027D4"/>
    <w:rsid w:val="009035CB"/>
    <w:rsid w:val="0090488B"/>
    <w:rsid w:val="00904BC1"/>
    <w:rsid w:val="00905DAD"/>
    <w:rsid w:val="00911D24"/>
    <w:rsid w:val="0091235B"/>
    <w:rsid w:val="009128D3"/>
    <w:rsid w:val="00913B62"/>
    <w:rsid w:val="0091756D"/>
    <w:rsid w:val="00921725"/>
    <w:rsid w:val="0092194E"/>
    <w:rsid w:val="00921AD1"/>
    <w:rsid w:val="00922AEC"/>
    <w:rsid w:val="00924013"/>
    <w:rsid w:val="009336F2"/>
    <w:rsid w:val="00933CB5"/>
    <w:rsid w:val="009354B2"/>
    <w:rsid w:val="009362F2"/>
    <w:rsid w:val="00936D6D"/>
    <w:rsid w:val="00936FA2"/>
    <w:rsid w:val="00937942"/>
    <w:rsid w:val="00937FB3"/>
    <w:rsid w:val="00940E1A"/>
    <w:rsid w:val="009431B6"/>
    <w:rsid w:val="00943AA0"/>
    <w:rsid w:val="00944703"/>
    <w:rsid w:val="00944DEF"/>
    <w:rsid w:val="00945D87"/>
    <w:rsid w:val="00950223"/>
    <w:rsid w:val="00951091"/>
    <w:rsid w:val="00952DC8"/>
    <w:rsid w:val="00954A41"/>
    <w:rsid w:val="00954B7A"/>
    <w:rsid w:val="00954FBA"/>
    <w:rsid w:val="00956163"/>
    <w:rsid w:val="00956476"/>
    <w:rsid w:val="0095689E"/>
    <w:rsid w:val="00956C8B"/>
    <w:rsid w:val="00957918"/>
    <w:rsid w:val="00960B83"/>
    <w:rsid w:val="00960E3F"/>
    <w:rsid w:val="00961F9C"/>
    <w:rsid w:val="00962075"/>
    <w:rsid w:val="009622C5"/>
    <w:rsid w:val="00963986"/>
    <w:rsid w:val="00964936"/>
    <w:rsid w:val="00965CC5"/>
    <w:rsid w:val="009662B2"/>
    <w:rsid w:val="009665E0"/>
    <w:rsid w:val="00966A26"/>
    <w:rsid w:val="0096793A"/>
    <w:rsid w:val="009726B9"/>
    <w:rsid w:val="00972FFB"/>
    <w:rsid w:val="009732CC"/>
    <w:rsid w:val="00973D80"/>
    <w:rsid w:val="009743A8"/>
    <w:rsid w:val="00975948"/>
    <w:rsid w:val="00975B47"/>
    <w:rsid w:val="00975EC5"/>
    <w:rsid w:val="0097630F"/>
    <w:rsid w:val="00976602"/>
    <w:rsid w:val="009779FE"/>
    <w:rsid w:val="009826E6"/>
    <w:rsid w:val="00983989"/>
    <w:rsid w:val="009854ED"/>
    <w:rsid w:val="0098674F"/>
    <w:rsid w:val="00991064"/>
    <w:rsid w:val="00994D0E"/>
    <w:rsid w:val="00995F18"/>
    <w:rsid w:val="0099693C"/>
    <w:rsid w:val="0099753C"/>
    <w:rsid w:val="009978C2"/>
    <w:rsid w:val="009A2D7B"/>
    <w:rsid w:val="009A4968"/>
    <w:rsid w:val="009A5101"/>
    <w:rsid w:val="009B0A5F"/>
    <w:rsid w:val="009B0B23"/>
    <w:rsid w:val="009B24AC"/>
    <w:rsid w:val="009B2820"/>
    <w:rsid w:val="009B357C"/>
    <w:rsid w:val="009B3E4F"/>
    <w:rsid w:val="009B4103"/>
    <w:rsid w:val="009B41CF"/>
    <w:rsid w:val="009B4BFE"/>
    <w:rsid w:val="009B4CCF"/>
    <w:rsid w:val="009B559B"/>
    <w:rsid w:val="009B79A0"/>
    <w:rsid w:val="009C00A8"/>
    <w:rsid w:val="009C131A"/>
    <w:rsid w:val="009C1593"/>
    <w:rsid w:val="009C1F8A"/>
    <w:rsid w:val="009C34C4"/>
    <w:rsid w:val="009C5C4E"/>
    <w:rsid w:val="009D090E"/>
    <w:rsid w:val="009D32FD"/>
    <w:rsid w:val="009D667E"/>
    <w:rsid w:val="009D7E0C"/>
    <w:rsid w:val="009E0390"/>
    <w:rsid w:val="009E1320"/>
    <w:rsid w:val="009E1D32"/>
    <w:rsid w:val="009E277C"/>
    <w:rsid w:val="009E282F"/>
    <w:rsid w:val="009E3007"/>
    <w:rsid w:val="009E394E"/>
    <w:rsid w:val="009E4B59"/>
    <w:rsid w:val="009E607F"/>
    <w:rsid w:val="009E6476"/>
    <w:rsid w:val="009E7CAE"/>
    <w:rsid w:val="009F05DE"/>
    <w:rsid w:val="009F0E57"/>
    <w:rsid w:val="009F1172"/>
    <w:rsid w:val="009F13F6"/>
    <w:rsid w:val="009F1A45"/>
    <w:rsid w:val="009F2B2C"/>
    <w:rsid w:val="009F2DCE"/>
    <w:rsid w:val="009F3E81"/>
    <w:rsid w:val="009F40A6"/>
    <w:rsid w:val="00A03875"/>
    <w:rsid w:val="00A03C15"/>
    <w:rsid w:val="00A03F24"/>
    <w:rsid w:val="00A0442A"/>
    <w:rsid w:val="00A049EA"/>
    <w:rsid w:val="00A04E85"/>
    <w:rsid w:val="00A04F64"/>
    <w:rsid w:val="00A055C6"/>
    <w:rsid w:val="00A111DB"/>
    <w:rsid w:val="00A12C77"/>
    <w:rsid w:val="00A12D74"/>
    <w:rsid w:val="00A1368A"/>
    <w:rsid w:val="00A137BF"/>
    <w:rsid w:val="00A14C56"/>
    <w:rsid w:val="00A14CB5"/>
    <w:rsid w:val="00A15399"/>
    <w:rsid w:val="00A17F79"/>
    <w:rsid w:val="00A20AD5"/>
    <w:rsid w:val="00A21CBD"/>
    <w:rsid w:val="00A2224C"/>
    <w:rsid w:val="00A2249E"/>
    <w:rsid w:val="00A2578D"/>
    <w:rsid w:val="00A257FA"/>
    <w:rsid w:val="00A3043D"/>
    <w:rsid w:val="00A33ACF"/>
    <w:rsid w:val="00A33EA0"/>
    <w:rsid w:val="00A340F5"/>
    <w:rsid w:val="00A34714"/>
    <w:rsid w:val="00A34A8B"/>
    <w:rsid w:val="00A358AC"/>
    <w:rsid w:val="00A35B90"/>
    <w:rsid w:val="00A35E6C"/>
    <w:rsid w:val="00A41AEC"/>
    <w:rsid w:val="00A43450"/>
    <w:rsid w:val="00A458B4"/>
    <w:rsid w:val="00A45F08"/>
    <w:rsid w:val="00A4637D"/>
    <w:rsid w:val="00A50FD2"/>
    <w:rsid w:val="00A51314"/>
    <w:rsid w:val="00A52302"/>
    <w:rsid w:val="00A538B6"/>
    <w:rsid w:val="00A555F6"/>
    <w:rsid w:val="00A560D2"/>
    <w:rsid w:val="00A5727D"/>
    <w:rsid w:val="00A57B1D"/>
    <w:rsid w:val="00A600C3"/>
    <w:rsid w:val="00A61B83"/>
    <w:rsid w:val="00A61E82"/>
    <w:rsid w:val="00A624BF"/>
    <w:rsid w:val="00A62BD1"/>
    <w:rsid w:val="00A644AB"/>
    <w:rsid w:val="00A65326"/>
    <w:rsid w:val="00A65CDD"/>
    <w:rsid w:val="00A65E27"/>
    <w:rsid w:val="00A67344"/>
    <w:rsid w:val="00A709A8"/>
    <w:rsid w:val="00A71D8D"/>
    <w:rsid w:val="00A729EC"/>
    <w:rsid w:val="00A740FD"/>
    <w:rsid w:val="00A763C6"/>
    <w:rsid w:val="00A765B2"/>
    <w:rsid w:val="00A77BF3"/>
    <w:rsid w:val="00A77C88"/>
    <w:rsid w:val="00A80ED8"/>
    <w:rsid w:val="00A83229"/>
    <w:rsid w:val="00A83DB4"/>
    <w:rsid w:val="00A83E9C"/>
    <w:rsid w:val="00A84646"/>
    <w:rsid w:val="00A90C90"/>
    <w:rsid w:val="00A92273"/>
    <w:rsid w:val="00A93309"/>
    <w:rsid w:val="00A95D5E"/>
    <w:rsid w:val="00A96515"/>
    <w:rsid w:val="00A976DD"/>
    <w:rsid w:val="00A977F3"/>
    <w:rsid w:val="00A97E76"/>
    <w:rsid w:val="00AA2405"/>
    <w:rsid w:val="00AA4F7E"/>
    <w:rsid w:val="00AA51B0"/>
    <w:rsid w:val="00AB0223"/>
    <w:rsid w:val="00AB13A7"/>
    <w:rsid w:val="00AB15E8"/>
    <w:rsid w:val="00AB275C"/>
    <w:rsid w:val="00AB2BD0"/>
    <w:rsid w:val="00AB3AE7"/>
    <w:rsid w:val="00AB61F2"/>
    <w:rsid w:val="00AB79C4"/>
    <w:rsid w:val="00AB7A83"/>
    <w:rsid w:val="00AC1A9C"/>
    <w:rsid w:val="00AC2AE8"/>
    <w:rsid w:val="00AC3162"/>
    <w:rsid w:val="00AC3514"/>
    <w:rsid w:val="00AC3CFC"/>
    <w:rsid w:val="00AC3D02"/>
    <w:rsid w:val="00AC435A"/>
    <w:rsid w:val="00AC7757"/>
    <w:rsid w:val="00AD0A5C"/>
    <w:rsid w:val="00AD157F"/>
    <w:rsid w:val="00AD1826"/>
    <w:rsid w:val="00AD4627"/>
    <w:rsid w:val="00AD5893"/>
    <w:rsid w:val="00AD5F71"/>
    <w:rsid w:val="00AD7CD3"/>
    <w:rsid w:val="00AE02C3"/>
    <w:rsid w:val="00AE0E53"/>
    <w:rsid w:val="00AE1200"/>
    <w:rsid w:val="00AE2EFE"/>
    <w:rsid w:val="00AE3606"/>
    <w:rsid w:val="00AE3FA1"/>
    <w:rsid w:val="00AE4194"/>
    <w:rsid w:val="00AE5B88"/>
    <w:rsid w:val="00AE6D5C"/>
    <w:rsid w:val="00AF0C15"/>
    <w:rsid w:val="00AF0E31"/>
    <w:rsid w:val="00AF10CA"/>
    <w:rsid w:val="00AF3938"/>
    <w:rsid w:val="00AF5FC4"/>
    <w:rsid w:val="00B00CB4"/>
    <w:rsid w:val="00B02D85"/>
    <w:rsid w:val="00B02DA4"/>
    <w:rsid w:val="00B04337"/>
    <w:rsid w:val="00B076D0"/>
    <w:rsid w:val="00B07C15"/>
    <w:rsid w:val="00B106E5"/>
    <w:rsid w:val="00B10A02"/>
    <w:rsid w:val="00B13699"/>
    <w:rsid w:val="00B13C2F"/>
    <w:rsid w:val="00B14A17"/>
    <w:rsid w:val="00B15C63"/>
    <w:rsid w:val="00B23D6D"/>
    <w:rsid w:val="00B24712"/>
    <w:rsid w:val="00B247AD"/>
    <w:rsid w:val="00B24842"/>
    <w:rsid w:val="00B2537B"/>
    <w:rsid w:val="00B25C0D"/>
    <w:rsid w:val="00B26178"/>
    <w:rsid w:val="00B269C5"/>
    <w:rsid w:val="00B26EA5"/>
    <w:rsid w:val="00B2773D"/>
    <w:rsid w:val="00B306F7"/>
    <w:rsid w:val="00B30A75"/>
    <w:rsid w:val="00B30ACD"/>
    <w:rsid w:val="00B317CB"/>
    <w:rsid w:val="00B31D73"/>
    <w:rsid w:val="00B3453E"/>
    <w:rsid w:val="00B35892"/>
    <w:rsid w:val="00B36F61"/>
    <w:rsid w:val="00B40086"/>
    <w:rsid w:val="00B414B3"/>
    <w:rsid w:val="00B4245A"/>
    <w:rsid w:val="00B42691"/>
    <w:rsid w:val="00B436D6"/>
    <w:rsid w:val="00B43812"/>
    <w:rsid w:val="00B444A1"/>
    <w:rsid w:val="00B4492D"/>
    <w:rsid w:val="00B458EA"/>
    <w:rsid w:val="00B50EBA"/>
    <w:rsid w:val="00B5227C"/>
    <w:rsid w:val="00B52F63"/>
    <w:rsid w:val="00B53402"/>
    <w:rsid w:val="00B53E87"/>
    <w:rsid w:val="00B54813"/>
    <w:rsid w:val="00B56D17"/>
    <w:rsid w:val="00B60E52"/>
    <w:rsid w:val="00B61827"/>
    <w:rsid w:val="00B62139"/>
    <w:rsid w:val="00B63093"/>
    <w:rsid w:val="00B64331"/>
    <w:rsid w:val="00B645CB"/>
    <w:rsid w:val="00B65BE1"/>
    <w:rsid w:val="00B667CC"/>
    <w:rsid w:val="00B67DB2"/>
    <w:rsid w:val="00B70022"/>
    <w:rsid w:val="00B70142"/>
    <w:rsid w:val="00B725C0"/>
    <w:rsid w:val="00B72975"/>
    <w:rsid w:val="00B7346C"/>
    <w:rsid w:val="00B74933"/>
    <w:rsid w:val="00B74B77"/>
    <w:rsid w:val="00B76E16"/>
    <w:rsid w:val="00B7773C"/>
    <w:rsid w:val="00B82462"/>
    <w:rsid w:val="00B8487D"/>
    <w:rsid w:val="00B849C8"/>
    <w:rsid w:val="00B85649"/>
    <w:rsid w:val="00B85E83"/>
    <w:rsid w:val="00B8771F"/>
    <w:rsid w:val="00B90FF8"/>
    <w:rsid w:val="00B94835"/>
    <w:rsid w:val="00B948C4"/>
    <w:rsid w:val="00B95BC2"/>
    <w:rsid w:val="00BA1D5E"/>
    <w:rsid w:val="00BA207D"/>
    <w:rsid w:val="00BA211C"/>
    <w:rsid w:val="00BA226F"/>
    <w:rsid w:val="00BA3EC6"/>
    <w:rsid w:val="00BA52C9"/>
    <w:rsid w:val="00BA5ACB"/>
    <w:rsid w:val="00BA7F16"/>
    <w:rsid w:val="00BB23E0"/>
    <w:rsid w:val="00BB595A"/>
    <w:rsid w:val="00BB59AE"/>
    <w:rsid w:val="00BB6754"/>
    <w:rsid w:val="00BC09DA"/>
    <w:rsid w:val="00BC28AB"/>
    <w:rsid w:val="00BC4C63"/>
    <w:rsid w:val="00BC50BF"/>
    <w:rsid w:val="00BC59B9"/>
    <w:rsid w:val="00BC5E71"/>
    <w:rsid w:val="00BD0FEC"/>
    <w:rsid w:val="00BD1A42"/>
    <w:rsid w:val="00BD1B26"/>
    <w:rsid w:val="00BD2A35"/>
    <w:rsid w:val="00BD48D1"/>
    <w:rsid w:val="00BD5BC5"/>
    <w:rsid w:val="00BD5F36"/>
    <w:rsid w:val="00BD632C"/>
    <w:rsid w:val="00BD7038"/>
    <w:rsid w:val="00BE05B7"/>
    <w:rsid w:val="00BE08FC"/>
    <w:rsid w:val="00BE1366"/>
    <w:rsid w:val="00BE422C"/>
    <w:rsid w:val="00BE44F6"/>
    <w:rsid w:val="00BE49BD"/>
    <w:rsid w:val="00BE5AEE"/>
    <w:rsid w:val="00BE5DFC"/>
    <w:rsid w:val="00BE5FB7"/>
    <w:rsid w:val="00BE6B59"/>
    <w:rsid w:val="00BF0EFA"/>
    <w:rsid w:val="00BF393A"/>
    <w:rsid w:val="00BF4D31"/>
    <w:rsid w:val="00C00822"/>
    <w:rsid w:val="00C00F35"/>
    <w:rsid w:val="00C01629"/>
    <w:rsid w:val="00C030BC"/>
    <w:rsid w:val="00C033CB"/>
    <w:rsid w:val="00C03547"/>
    <w:rsid w:val="00C0356B"/>
    <w:rsid w:val="00C0425D"/>
    <w:rsid w:val="00C043E3"/>
    <w:rsid w:val="00C04654"/>
    <w:rsid w:val="00C05176"/>
    <w:rsid w:val="00C054B9"/>
    <w:rsid w:val="00C07D3C"/>
    <w:rsid w:val="00C10CA6"/>
    <w:rsid w:val="00C12222"/>
    <w:rsid w:val="00C13FDB"/>
    <w:rsid w:val="00C141AB"/>
    <w:rsid w:val="00C146A8"/>
    <w:rsid w:val="00C15851"/>
    <w:rsid w:val="00C167A3"/>
    <w:rsid w:val="00C17455"/>
    <w:rsid w:val="00C17944"/>
    <w:rsid w:val="00C20D0A"/>
    <w:rsid w:val="00C215F8"/>
    <w:rsid w:val="00C258A5"/>
    <w:rsid w:val="00C26D0F"/>
    <w:rsid w:val="00C30913"/>
    <w:rsid w:val="00C32230"/>
    <w:rsid w:val="00C323C3"/>
    <w:rsid w:val="00C333EB"/>
    <w:rsid w:val="00C33FA4"/>
    <w:rsid w:val="00C409C2"/>
    <w:rsid w:val="00C41969"/>
    <w:rsid w:val="00C42C81"/>
    <w:rsid w:val="00C43335"/>
    <w:rsid w:val="00C438B1"/>
    <w:rsid w:val="00C43ACB"/>
    <w:rsid w:val="00C43E5E"/>
    <w:rsid w:val="00C44E90"/>
    <w:rsid w:val="00C478F6"/>
    <w:rsid w:val="00C47C1D"/>
    <w:rsid w:val="00C52A33"/>
    <w:rsid w:val="00C543DA"/>
    <w:rsid w:val="00C54FEB"/>
    <w:rsid w:val="00C63CFB"/>
    <w:rsid w:val="00C63E94"/>
    <w:rsid w:val="00C659EF"/>
    <w:rsid w:val="00C66FC0"/>
    <w:rsid w:val="00C67D07"/>
    <w:rsid w:val="00C70978"/>
    <w:rsid w:val="00C713FD"/>
    <w:rsid w:val="00C72B32"/>
    <w:rsid w:val="00C72B9F"/>
    <w:rsid w:val="00C73103"/>
    <w:rsid w:val="00C73C3E"/>
    <w:rsid w:val="00C74DD3"/>
    <w:rsid w:val="00C75578"/>
    <w:rsid w:val="00C776C6"/>
    <w:rsid w:val="00C805D7"/>
    <w:rsid w:val="00C838EA"/>
    <w:rsid w:val="00C83D59"/>
    <w:rsid w:val="00C86CDD"/>
    <w:rsid w:val="00C92F0D"/>
    <w:rsid w:val="00C93AA6"/>
    <w:rsid w:val="00C9450D"/>
    <w:rsid w:val="00C95175"/>
    <w:rsid w:val="00C96171"/>
    <w:rsid w:val="00C963B6"/>
    <w:rsid w:val="00C974BB"/>
    <w:rsid w:val="00C97906"/>
    <w:rsid w:val="00C97EB1"/>
    <w:rsid w:val="00CA18D1"/>
    <w:rsid w:val="00CA1CC2"/>
    <w:rsid w:val="00CA28CC"/>
    <w:rsid w:val="00CA2C23"/>
    <w:rsid w:val="00CA2FA3"/>
    <w:rsid w:val="00CA36F1"/>
    <w:rsid w:val="00CA5501"/>
    <w:rsid w:val="00CA59DD"/>
    <w:rsid w:val="00CA60A7"/>
    <w:rsid w:val="00CA72EC"/>
    <w:rsid w:val="00CB17DC"/>
    <w:rsid w:val="00CB206E"/>
    <w:rsid w:val="00CB2260"/>
    <w:rsid w:val="00CB2640"/>
    <w:rsid w:val="00CB53A1"/>
    <w:rsid w:val="00CB6333"/>
    <w:rsid w:val="00CB6656"/>
    <w:rsid w:val="00CB7025"/>
    <w:rsid w:val="00CB726A"/>
    <w:rsid w:val="00CC0476"/>
    <w:rsid w:val="00CC08E3"/>
    <w:rsid w:val="00CC13F1"/>
    <w:rsid w:val="00CC2889"/>
    <w:rsid w:val="00CC4191"/>
    <w:rsid w:val="00CC523E"/>
    <w:rsid w:val="00CC5A74"/>
    <w:rsid w:val="00CC6E21"/>
    <w:rsid w:val="00CD0CED"/>
    <w:rsid w:val="00CD1367"/>
    <w:rsid w:val="00CD34DC"/>
    <w:rsid w:val="00CD5390"/>
    <w:rsid w:val="00CD678F"/>
    <w:rsid w:val="00CD7FCA"/>
    <w:rsid w:val="00CE0706"/>
    <w:rsid w:val="00CE48B5"/>
    <w:rsid w:val="00CE4F0F"/>
    <w:rsid w:val="00CE59DD"/>
    <w:rsid w:val="00CE66FC"/>
    <w:rsid w:val="00CE7EC6"/>
    <w:rsid w:val="00CE7F5C"/>
    <w:rsid w:val="00CF00E3"/>
    <w:rsid w:val="00CF013B"/>
    <w:rsid w:val="00CF07B9"/>
    <w:rsid w:val="00CF125F"/>
    <w:rsid w:val="00CF1BD9"/>
    <w:rsid w:val="00CF3FDC"/>
    <w:rsid w:val="00CF4C04"/>
    <w:rsid w:val="00CF4C7C"/>
    <w:rsid w:val="00CF4C9F"/>
    <w:rsid w:val="00CF5E8E"/>
    <w:rsid w:val="00D00A6F"/>
    <w:rsid w:val="00D0113F"/>
    <w:rsid w:val="00D01305"/>
    <w:rsid w:val="00D020FB"/>
    <w:rsid w:val="00D04B9A"/>
    <w:rsid w:val="00D0550D"/>
    <w:rsid w:val="00D06CBE"/>
    <w:rsid w:val="00D07609"/>
    <w:rsid w:val="00D13480"/>
    <w:rsid w:val="00D17C08"/>
    <w:rsid w:val="00D216E7"/>
    <w:rsid w:val="00D22C07"/>
    <w:rsid w:val="00D2309B"/>
    <w:rsid w:val="00D2328E"/>
    <w:rsid w:val="00D257D1"/>
    <w:rsid w:val="00D2638B"/>
    <w:rsid w:val="00D26642"/>
    <w:rsid w:val="00D27337"/>
    <w:rsid w:val="00D332B5"/>
    <w:rsid w:val="00D33771"/>
    <w:rsid w:val="00D33A81"/>
    <w:rsid w:val="00D33DDF"/>
    <w:rsid w:val="00D34748"/>
    <w:rsid w:val="00D34E4B"/>
    <w:rsid w:val="00D37A0B"/>
    <w:rsid w:val="00D404D1"/>
    <w:rsid w:val="00D43443"/>
    <w:rsid w:val="00D43AE0"/>
    <w:rsid w:val="00D44C7E"/>
    <w:rsid w:val="00D51AB0"/>
    <w:rsid w:val="00D51D4D"/>
    <w:rsid w:val="00D51F50"/>
    <w:rsid w:val="00D52CB5"/>
    <w:rsid w:val="00D5335F"/>
    <w:rsid w:val="00D5548A"/>
    <w:rsid w:val="00D55BB6"/>
    <w:rsid w:val="00D56323"/>
    <w:rsid w:val="00D64702"/>
    <w:rsid w:val="00D648F1"/>
    <w:rsid w:val="00D64A6A"/>
    <w:rsid w:val="00D66777"/>
    <w:rsid w:val="00D66CE1"/>
    <w:rsid w:val="00D701E3"/>
    <w:rsid w:val="00D70316"/>
    <w:rsid w:val="00D708A9"/>
    <w:rsid w:val="00D7096E"/>
    <w:rsid w:val="00D70F9D"/>
    <w:rsid w:val="00D75DCF"/>
    <w:rsid w:val="00D762DD"/>
    <w:rsid w:val="00D77B98"/>
    <w:rsid w:val="00D8026A"/>
    <w:rsid w:val="00D83080"/>
    <w:rsid w:val="00D831E5"/>
    <w:rsid w:val="00D83E9B"/>
    <w:rsid w:val="00D84128"/>
    <w:rsid w:val="00D84881"/>
    <w:rsid w:val="00D9054F"/>
    <w:rsid w:val="00D9109E"/>
    <w:rsid w:val="00D9372C"/>
    <w:rsid w:val="00D94030"/>
    <w:rsid w:val="00D945E1"/>
    <w:rsid w:val="00D95288"/>
    <w:rsid w:val="00D96385"/>
    <w:rsid w:val="00D97FEE"/>
    <w:rsid w:val="00DA31CB"/>
    <w:rsid w:val="00DA37FB"/>
    <w:rsid w:val="00DA5853"/>
    <w:rsid w:val="00DA594C"/>
    <w:rsid w:val="00DA7835"/>
    <w:rsid w:val="00DA78B6"/>
    <w:rsid w:val="00DB0175"/>
    <w:rsid w:val="00DB2C42"/>
    <w:rsid w:val="00DB3A96"/>
    <w:rsid w:val="00DB79B4"/>
    <w:rsid w:val="00DC03C4"/>
    <w:rsid w:val="00DC081B"/>
    <w:rsid w:val="00DC129D"/>
    <w:rsid w:val="00DC14C5"/>
    <w:rsid w:val="00DC1EFA"/>
    <w:rsid w:val="00DC202F"/>
    <w:rsid w:val="00DC494A"/>
    <w:rsid w:val="00DC63EF"/>
    <w:rsid w:val="00DC7633"/>
    <w:rsid w:val="00DC7B37"/>
    <w:rsid w:val="00DD2680"/>
    <w:rsid w:val="00DD334F"/>
    <w:rsid w:val="00DD3F1B"/>
    <w:rsid w:val="00DD3FC9"/>
    <w:rsid w:val="00DD598A"/>
    <w:rsid w:val="00DD608C"/>
    <w:rsid w:val="00DD6969"/>
    <w:rsid w:val="00DE19F6"/>
    <w:rsid w:val="00DE2C2B"/>
    <w:rsid w:val="00DE2C77"/>
    <w:rsid w:val="00DE3664"/>
    <w:rsid w:val="00DE401D"/>
    <w:rsid w:val="00DE409E"/>
    <w:rsid w:val="00DE5A07"/>
    <w:rsid w:val="00DE5C42"/>
    <w:rsid w:val="00DE6306"/>
    <w:rsid w:val="00DE788B"/>
    <w:rsid w:val="00DF1149"/>
    <w:rsid w:val="00DF1489"/>
    <w:rsid w:val="00DF308A"/>
    <w:rsid w:val="00DF7E95"/>
    <w:rsid w:val="00E00C75"/>
    <w:rsid w:val="00E02CF9"/>
    <w:rsid w:val="00E02E7B"/>
    <w:rsid w:val="00E02F83"/>
    <w:rsid w:val="00E04A79"/>
    <w:rsid w:val="00E06813"/>
    <w:rsid w:val="00E075A1"/>
    <w:rsid w:val="00E10220"/>
    <w:rsid w:val="00E1095B"/>
    <w:rsid w:val="00E1221E"/>
    <w:rsid w:val="00E12221"/>
    <w:rsid w:val="00E1247E"/>
    <w:rsid w:val="00E12CEE"/>
    <w:rsid w:val="00E12D3F"/>
    <w:rsid w:val="00E13A6E"/>
    <w:rsid w:val="00E141E7"/>
    <w:rsid w:val="00E15A1D"/>
    <w:rsid w:val="00E21B96"/>
    <w:rsid w:val="00E2588D"/>
    <w:rsid w:val="00E25DC8"/>
    <w:rsid w:val="00E30E72"/>
    <w:rsid w:val="00E31E13"/>
    <w:rsid w:val="00E323AC"/>
    <w:rsid w:val="00E3276D"/>
    <w:rsid w:val="00E32A26"/>
    <w:rsid w:val="00E33556"/>
    <w:rsid w:val="00E33979"/>
    <w:rsid w:val="00E34E3C"/>
    <w:rsid w:val="00E360F5"/>
    <w:rsid w:val="00E36485"/>
    <w:rsid w:val="00E36551"/>
    <w:rsid w:val="00E37304"/>
    <w:rsid w:val="00E44EE8"/>
    <w:rsid w:val="00E44F27"/>
    <w:rsid w:val="00E4500C"/>
    <w:rsid w:val="00E467AF"/>
    <w:rsid w:val="00E515FC"/>
    <w:rsid w:val="00E522C2"/>
    <w:rsid w:val="00E5247B"/>
    <w:rsid w:val="00E5256D"/>
    <w:rsid w:val="00E52BB3"/>
    <w:rsid w:val="00E542B3"/>
    <w:rsid w:val="00E55550"/>
    <w:rsid w:val="00E556BB"/>
    <w:rsid w:val="00E55E4B"/>
    <w:rsid w:val="00E56A38"/>
    <w:rsid w:val="00E5706F"/>
    <w:rsid w:val="00E57608"/>
    <w:rsid w:val="00E57B57"/>
    <w:rsid w:val="00E60BB1"/>
    <w:rsid w:val="00E62CCD"/>
    <w:rsid w:val="00E62DAA"/>
    <w:rsid w:val="00E63828"/>
    <w:rsid w:val="00E645CD"/>
    <w:rsid w:val="00E649E1"/>
    <w:rsid w:val="00E64D24"/>
    <w:rsid w:val="00E6616B"/>
    <w:rsid w:val="00E70301"/>
    <w:rsid w:val="00E70E86"/>
    <w:rsid w:val="00E71833"/>
    <w:rsid w:val="00E721F1"/>
    <w:rsid w:val="00E72A3A"/>
    <w:rsid w:val="00E74263"/>
    <w:rsid w:val="00E763E0"/>
    <w:rsid w:val="00E779D0"/>
    <w:rsid w:val="00E81592"/>
    <w:rsid w:val="00E82370"/>
    <w:rsid w:val="00E833DF"/>
    <w:rsid w:val="00E83EC4"/>
    <w:rsid w:val="00E846B4"/>
    <w:rsid w:val="00E85194"/>
    <w:rsid w:val="00E85DBD"/>
    <w:rsid w:val="00E85FEF"/>
    <w:rsid w:val="00E8628E"/>
    <w:rsid w:val="00E902E8"/>
    <w:rsid w:val="00E932AD"/>
    <w:rsid w:val="00E933E8"/>
    <w:rsid w:val="00E94D5C"/>
    <w:rsid w:val="00E96C36"/>
    <w:rsid w:val="00EA0CD7"/>
    <w:rsid w:val="00EA1DD4"/>
    <w:rsid w:val="00EA3AFA"/>
    <w:rsid w:val="00EA4A2C"/>
    <w:rsid w:val="00EA6170"/>
    <w:rsid w:val="00EA68F6"/>
    <w:rsid w:val="00EA6F3A"/>
    <w:rsid w:val="00EB0152"/>
    <w:rsid w:val="00EB07E3"/>
    <w:rsid w:val="00EB226D"/>
    <w:rsid w:val="00EB2A93"/>
    <w:rsid w:val="00EB2BF3"/>
    <w:rsid w:val="00EB30B1"/>
    <w:rsid w:val="00EB35EF"/>
    <w:rsid w:val="00EB4426"/>
    <w:rsid w:val="00EB7D25"/>
    <w:rsid w:val="00EC1765"/>
    <w:rsid w:val="00EC2D02"/>
    <w:rsid w:val="00ED0D2F"/>
    <w:rsid w:val="00ED2A3A"/>
    <w:rsid w:val="00ED2A96"/>
    <w:rsid w:val="00ED2CE4"/>
    <w:rsid w:val="00ED4272"/>
    <w:rsid w:val="00ED4315"/>
    <w:rsid w:val="00ED4EB9"/>
    <w:rsid w:val="00ED5D4B"/>
    <w:rsid w:val="00ED62E8"/>
    <w:rsid w:val="00ED71F2"/>
    <w:rsid w:val="00ED7FF8"/>
    <w:rsid w:val="00EE1377"/>
    <w:rsid w:val="00EE396D"/>
    <w:rsid w:val="00EE5B1F"/>
    <w:rsid w:val="00EE755D"/>
    <w:rsid w:val="00EF141E"/>
    <w:rsid w:val="00EF1BFB"/>
    <w:rsid w:val="00EF28E5"/>
    <w:rsid w:val="00EF2EAF"/>
    <w:rsid w:val="00EF31CB"/>
    <w:rsid w:val="00EF3621"/>
    <w:rsid w:val="00EF4239"/>
    <w:rsid w:val="00EF6C35"/>
    <w:rsid w:val="00EF6F5A"/>
    <w:rsid w:val="00F00D18"/>
    <w:rsid w:val="00F03235"/>
    <w:rsid w:val="00F04D60"/>
    <w:rsid w:val="00F1499F"/>
    <w:rsid w:val="00F15F8D"/>
    <w:rsid w:val="00F16D2A"/>
    <w:rsid w:val="00F20A31"/>
    <w:rsid w:val="00F21924"/>
    <w:rsid w:val="00F255CD"/>
    <w:rsid w:val="00F25DF7"/>
    <w:rsid w:val="00F30CFE"/>
    <w:rsid w:val="00F3472A"/>
    <w:rsid w:val="00F34993"/>
    <w:rsid w:val="00F37A6D"/>
    <w:rsid w:val="00F42D8A"/>
    <w:rsid w:val="00F45A5B"/>
    <w:rsid w:val="00F45A77"/>
    <w:rsid w:val="00F532AF"/>
    <w:rsid w:val="00F5428C"/>
    <w:rsid w:val="00F550C9"/>
    <w:rsid w:val="00F601D5"/>
    <w:rsid w:val="00F61B5C"/>
    <w:rsid w:val="00F62895"/>
    <w:rsid w:val="00F62A6B"/>
    <w:rsid w:val="00F631C8"/>
    <w:rsid w:val="00F638F5"/>
    <w:rsid w:val="00F63982"/>
    <w:rsid w:val="00F64925"/>
    <w:rsid w:val="00F64C6A"/>
    <w:rsid w:val="00F659A6"/>
    <w:rsid w:val="00F65CAC"/>
    <w:rsid w:val="00F66254"/>
    <w:rsid w:val="00F678F2"/>
    <w:rsid w:val="00F67BC1"/>
    <w:rsid w:val="00F70956"/>
    <w:rsid w:val="00F72165"/>
    <w:rsid w:val="00F72E7C"/>
    <w:rsid w:val="00F730EC"/>
    <w:rsid w:val="00F743E6"/>
    <w:rsid w:val="00F74587"/>
    <w:rsid w:val="00F74AC9"/>
    <w:rsid w:val="00F80666"/>
    <w:rsid w:val="00F8167E"/>
    <w:rsid w:val="00F81A97"/>
    <w:rsid w:val="00F81EAA"/>
    <w:rsid w:val="00F82D01"/>
    <w:rsid w:val="00F8571C"/>
    <w:rsid w:val="00F947D0"/>
    <w:rsid w:val="00F94D62"/>
    <w:rsid w:val="00F95329"/>
    <w:rsid w:val="00F9589C"/>
    <w:rsid w:val="00F963CC"/>
    <w:rsid w:val="00F96C82"/>
    <w:rsid w:val="00F97120"/>
    <w:rsid w:val="00FA0A91"/>
    <w:rsid w:val="00FA180E"/>
    <w:rsid w:val="00FA1E7B"/>
    <w:rsid w:val="00FA2843"/>
    <w:rsid w:val="00FA301C"/>
    <w:rsid w:val="00FA4836"/>
    <w:rsid w:val="00FA5319"/>
    <w:rsid w:val="00FB0A8C"/>
    <w:rsid w:val="00FB1372"/>
    <w:rsid w:val="00FB14DB"/>
    <w:rsid w:val="00FB2BD6"/>
    <w:rsid w:val="00FB44E5"/>
    <w:rsid w:val="00FB6334"/>
    <w:rsid w:val="00FB6D2F"/>
    <w:rsid w:val="00FB6DAD"/>
    <w:rsid w:val="00FB6F0E"/>
    <w:rsid w:val="00FC0EF9"/>
    <w:rsid w:val="00FC4DF5"/>
    <w:rsid w:val="00FC5E05"/>
    <w:rsid w:val="00FC6E7D"/>
    <w:rsid w:val="00FC757B"/>
    <w:rsid w:val="00FC7B8D"/>
    <w:rsid w:val="00FD01E2"/>
    <w:rsid w:val="00FD06EF"/>
    <w:rsid w:val="00FD0AE7"/>
    <w:rsid w:val="00FD176A"/>
    <w:rsid w:val="00FD2CE7"/>
    <w:rsid w:val="00FD371B"/>
    <w:rsid w:val="00FD3A74"/>
    <w:rsid w:val="00FD4D4B"/>
    <w:rsid w:val="00FE389F"/>
    <w:rsid w:val="00FE3B2F"/>
    <w:rsid w:val="00FE4109"/>
    <w:rsid w:val="00FE432F"/>
    <w:rsid w:val="00FE45EF"/>
    <w:rsid w:val="00FE4F04"/>
    <w:rsid w:val="00FE5390"/>
    <w:rsid w:val="00FE551B"/>
    <w:rsid w:val="00FE55BA"/>
    <w:rsid w:val="00FE6A6D"/>
    <w:rsid w:val="00FE71FD"/>
    <w:rsid w:val="00FE7A38"/>
    <w:rsid w:val="00FF0A59"/>
    <w:rsid w:val="00FF1E65"/>
    <w:rsid w:val="00FF2133"/>
    <w:rsid w:val="00FF3027"/>
    <w:rsid w:val="00FF3267"/>
    <w:rsid w:val="00FF4220"/>
    <w:rsid w:val="00FF4B5E"/>
    <w:rsid w:val="00FF4BE7"/>
    <w:rsid w:val="00FF7597"/>
    <w:rsid w:val="01431053"/>
    <w:rsid w:val="01D24A54"/>
    <w:rsid w:val="02814CA2"/>
    <w:rsid w:val="02AC2CA8"/>
    <w:rsid w:val="065E5B67"/>
    <w:rsid w:val="06AB5D29"/>
    <w:rsid w:val="06D603BC"/>
    <w:rsid w:val="08433173"/>
    <w:rsid w:val="0A671314"/>
    <w:rsid w:val="0B2049C4"/>
    <w:rsid w:val="0C9B396C"/>
    <w:rsid w:val="0D1D13C6"/>
    <w:rsid w:val="0E9A7384"/>
    <w:rsid w:val="0EEFDFEC"/>
    <w:rsid w:val="10231E9A"/>
    <w:rsid w:val="110F5083"/>
    <w:rsid w:val="11277566"/>
    <w:rsid w:val="118E0364"/>
    <w:rsid w:val="11AA5D49"/>
    <w:rsid w:val="12A1516E"/>
    <w:rsid w:val="13A43840"/>
    <w:rsid w:val="1593671A"/>
    <w:rsid w:val="1595782B"/>
    <w:rsid w:val="16861E0C"/>
    <w:rsid w:val="16D4295C"/>
    <w:rsid w:val="170D17CF"/>
    <w:rsid w:val="17F07F20"/>
    <w:rsid w:val="18573427"/>
    <w:rsid w:val="187663A7"/>
    <w:rsid w:val="1A3C2DD2"/>
    <w:rsid w:val="1E730B4D"/>
    <w:rsid w:val="1ED11E43"/>
    <w:rsid w:val="1F295B17"/>
    <w:rsid w:val="1FF131F4"/>
    <w:rsid w:val="1FFA3BC8"/>
    <w:rsid w:val="210916D6"/>
    <w:rsid w:val="23FC78B3"/>
    <w:rsid w:val="245552B5"/>
    <w:rsid w:val="249370E4"/>
    <w:rsid w:val="24C715DB"/>
    <w:rsid w:val="26962EAC"/>
    <w:rsid w:val="26D546F4"/>
    <w:rsid w:val="273E356B"/>
    <w:rsid w:val="27900D22"/>
    <w:rsid w:val="2A746BC9"/>
    <w:rsid w:val="2AC37DFE"/>
    <w:rsid w:val="2BB1233D"/>
    <w:rsid w:val="2BF1214F"/>
    <w:rsid w:val="2D06796C"/>
    <w:rsid w:val="2D1F2468"/>
    <w:rsid w:val="2E680382"/>
    <w:rsid w:val="2ECF7BF1"/>
    <w:rsid w:val="2EDFE1B4"/>
    <w:rsid w:val="2F857674"/>
    <w:rsid w:val="303E1027"/>
    <w:rsid w:val="30711B20"/>
    <w:rsid w:val="31516F37"/>
    <w:rsid w:val="31C2748D"/>
    <w:rsid w:val="31E029EE"/>
    <w:rsid w:val="327B56DF"/>
    <w:rsid w:val="327E49A2"/>
    <w:rsid w:val="34287D97"/>
    <w:rsid w:val="345A768F"/>
    <w:rsid w:val="34DA5B25"/>
    <w:rsid w:val="352B1921"/>
    <w:rsid w:val="36FBEF37"/>
    <w:rsid w:val="376B4137"/>
    <w:rsid w:val="376D3C7A"/>
    <w:rsid w:val="38136ADB"/>
    <w:rsid w:val="388E3F0A"/>
    <w:rsid w:val="38CC1583"/>
    <w:rsid w:val="38FD56AF"/>
    <w:rsid w:val="393E23D4"/>
    <w:rsid w:val="3B4F0A4D"/>
    <w:rsid w:val="3B7B7937"/>
    <w:rsid w:val="3C284F8B"/>
    <w:rsid w:val="3C35204E"/>
    <w:rsid w:val="3C6D715E"/>
    <w:rsid w:val="3DAE48D9"/>
    <w:rsid w:val="410878A2"/>
    <w:rsid w:val="42466083"/>
    <w:rsid w:val="435076E2"/>
    <w:rsid w:val="43507EC0"/>
    <w:rsid w:val="45022427"/>
    <w:rsid w:val="45A856D6"/>
    <w:rsid w:val="45AC29E0"/>
    <w:rsid w:val="45EA6757"/>
    <w:rsid w:val="46A71FCC"/>
    <w:rsid w:val="4718642D"/>
    <w:rsid w:val="4881449B"/>
    <w:rsid w:val="4889705D"/>
    <w:rsid w:val="49AD08A7"/>
    <w:rsid w:val="4A5F451E"/>
    <w:rsid w:val="4A802994"/>
    <w:rsid w:val="4B6C5D13"/>
    <w:rsid w:val="4BB0538D"/>
    <w:rsid w:val="4BBC28CB"/>
    <w:rsid w:val="4C510020"/>
    <w:rsid w:val="4D0739A9"/>
    <w:rsid w:val="4ECA4DA0"/>
    <w:rsid w:val="4F6C1761"/>
    <w:rsid w:val="4FEF2818"/>
    <w:rsid w:val="4FF52E57"/>
    <w:rsid w:val="509C72EF"/>
    <w:rsid w:val="51025EB1"/>
    <w:rsid w:val="520D170E"/>
    <w:rsid w:val="531F4639"/>
    <w:rsid w:val="53381997"/>
    <w:rsid w:val="538736A4"/>
    <w:rsid w:val="53A232C2"/>
    <w:rsid w:val="548553C4"/>
    <w:rsid w:val="55123868"/>
    <w:rsid w:val="556B7BAB"/>
    <w:rsid w:val="56EE2B1B"/>
    <w:rsid w:val="57AB00D0"/>
    <w:rsid w:val="584A63CE"/>
    <w:rsid w:val="59846056"/>
    <w:rsid w:val="5A573B6A"/>
    <w:rsid w:val="5A745219"/>
    <w:rsid w:val="5A805DAF"/>
    <w:rsid w:val="5E86007C"/>
    <w:rsid w:val="5ECF14AC"/>
    <w:rsid w:val="5F610ABD"/>
    <w:rsid w:val="5FEAC82E"/>
    <w:rsid w:val="614A3B1F"/>
    <w:rsid w:val="626F0A1D"/>
    <w:rsid w:val="653F60A6"/>
    <w:rsid w:val="65724D97"/>
    <w:rsid w:val="6688643D"/>
    <w:rsid w:val="66994EC8"/>
    <w:rsid w:val="66EAE5F1"/>
    <w:rsid w:val="66F20051"/>
    <w:rsid w:val="672A0C0B"/>
    <w:rsid w:val="67BFC216"/>
    <w:rsid w:val="67FE22CF"/>
    <w:rsid w:val="68544EBB"/>
    <w:rsid w:val="6A277FCE"/>
    <w:rsid w:val="6AD45440"/>
    <w:rsid w:val="6AF65D67"/>
    <w:rsid w:val="6B97723A"/>
    <w:rsid w:val="6B9B194D"/>
    <w:rsid w:val="6BC16F3C"/>
    <w:rsid w:val="6BD58A56"/>
    <w:rsid w:val="6C3B4B33"/>
    <w:rsid w:val="6D4E31FE"/>
    <w:rsid w:val="6DA7C380"/>
    <w:rsid w:val="6E0D81D9"/>
    <w:rsid w:val="6E0F2257"/>
    <w:rsid w:val="6E187AAB"/>
    <w:rsid w:val="6ED776A5"/>
    <w:rsid w:val="6F100C7E"/>
    <w:rsid w:val="6FD33DDC"/>
    <w:rsid w:val="6FD7A4AD"/>
    <w:rsid w:val="70024F08"/>
    <w:rsid w:val="70BA0C08"/>
    <w:rsid w:val="70E97DC3"/>
    <w:rsid w:val="739529A6"/>
    <w:rsid w:val="73E940D3"/>
    <w:rsid w:val="75B559BB"/>
    <w:rsid w:val="75CE4BA5"/>
    <w:rsid w:val="763D9BB4"/>
    <w:rsid w:val="765B50A4"/>
    <w:rsid w:val="76DB5DC0"/>
    <w:rsid w:val="776A5DC4"/>
    <w:rsid w:val="778F7C31"/>
    <w:rsid w:val="78AB7E4E"/>
    <w:rsid w:val="78AC0D60"/>
    <w:rsid w:val="78E773E7"/>
    <w:rsid w:val="79B7A9D3"/>
    <w:rsid w:val="7A4E450E"/>
    <w:rsid w:val="7A5901B4"/>
    <w:rsid w:val="7AFA4340"/>
    <w:rsid w:val="7D012713"/>
    <w:rsid w:val="7DA2021D"/>
    <w:rsid w:val="7DDF0982"/>
    <w:rsid w:val="7F0636E3"/>
    <w:rsid w:val="7F271312"/>
    <w:rsid w:val="7FB31EED"/>
    <w:rsid w:val="7FBBDD43"/>
    <w:rsid w:val="7FCA25DC"/>
    <w:rsid w:val="7FDFD7A6"/>
    <w:rsid w:val="7FFDB83C"/>
    <w:rsid w:val="A7DBD78A"/>
    <w:rsid w:val="A7F3224F"/>
    <w:rsid w:val="AFFEF3DE"/>
    <w:rsid w:val="BEEEA4AA"/>
    <w:rsid w:val="CF9A98E4"/>
    <w:rsid w:val="CFEA07AC"/>
    <w:rsid w:val="D9F7FFF3"/>
    <w:rsid w:val="DCFD241F"/>
    <w:rsid w:val="DCFFCF70"/>
    <w:rsid w:val="DD6F73F7"/>
    <w:rsid w:val="DDFE29F4"/>
    <w:rsid w:val="DEFBB013"/>
    <w:rsid w:val="E7FFDEBF"/>
    <w:rsid w:val="E8FBF59B"/>
    <w:rsid w:val="EF4DAE63"/>
    <w:rsid w:val="EFFD5133"/>
    <w:rsid w:val="F0BFAEBB"/>
    <w:rsid w:val="F7DF07EF"/>
    <w:rsid w:val="F7FF2FAF"/>
    <w:rsid w:val="FB3441FF"/>
    <w:rsid w:val="FBEDDA5B"/>
    <w:rsid w:val="FE4248C6"/>
    <w:rsid w:val="FF7F9BE5"/>
    <w:rsid w:val="FFFDFD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4"/>
    <w:qFormat/>
    <w:uiPriority w:val="0"/>
    <w:pPr>
      <w:keepNext/>
      <w:outlineLvl w:val="0"/>
    </w:pPr>
    <w:rPr>
      <w:rFonts w:ascii="宋体"/>
      <w:sz w:val="2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6">
    <w:name w:val="annotation text"/>
    <w:basedOn w:val="1"/>
    <w:semiHidden/>
    <w:qFormat/>
    <w:uiPriority w:val="0"/>
    <w:pPr>
      <w:jc w:val="left"/>
    </w:pPr>
  </w:style>
  <w:style w:type="paragraph" w:styleId="7">
    <w:name w:val="Block Text"/>
    <w:basedOn w:val="1"/>
    <w:qFormat/>
    <w:uiPriority w:val="99"/>
    <w:pPr>
      <w:ind w:left="1171" w:right="91" w:hanging="1080"/>
    </w:pPr>
    <w:rPr>
      <w:rFonts w:eastAsia="楷体_GB2312"/>
    </w:rPr>
  </w:style>
  <w:style w:type="paragraph" w:styleId="8">
    <w:name w:val="toc 3"/>
    <w:basedOn w:val="1"/>
    <w:next w:val="1"/>
    <w:qFormat/>
    <w:uiPriority w:val="39"/>
    <w:pPr>
      <w:ind w:left="840" w:leftChars="400"/>
    </w:pPr>
  </w:style>
  <w:style w:type="paragraph" w:styleId="9">
    <w:name w:val="Plain Text"/>
    <w:basedOn w:val="1"/>
    <w:next w:val="1"/>
    <w:link w:val="39"/>
    <w:qFormat/>
    <w:uiPriority w:val="0"/>
    <w:pPr>
      <w:spacing w:line="360" w:lineRule="auto"/>
    </w:pPr>
    <w:rPr>
      <w:rFonts w:ascii="楷体_GB2312" w:hAnsi="Courier New" w:eastAsia="楷体_GB2312"/>
      <w:sz w:val="24"/>
    </w:rPr>
  </w:style>
  <w:style w:type="paragraph" w:styleId="10">
    <w:name w:val="Date"/>
    <w:basedOn w:val="1"/>
    <w:next w:val="1"/>
    <w:link w:val="42"/>
    <w:qFormat/>
    <w:uiPriority w:val="0"/>
    <w:rPr>
      <w:sz w:val="28"/>
    </w:rPr>
  </w:style>
  <w:style w:type="paragraph" w:styleId="11">
    <w:name w:val="Body Text Indent 2"/>
    <w:basedOn w:val="1"/>
    <w:qFormat/>
    <w:uiPriority w:val="0"/>
    <w:pPr>
      <w:spacing w:line="312" w:lineRule="auto"/>
      <w:ind w:firstLine="480" w:firstLineChars="200"/>
    </w:pPr>
    <w:rPr>
      <w:sz w:val="24"/>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9913"/>
      </w:tabs>
      <w:ind w:firstLine="422" w:firstLineChars="200"/>
    </w:pPr>
    <w:rPr>
      <w:b/>
    </w:rPr>
  </w:style>
  <w:style w:type="paragraph" w:styleId="16">
    <w:name w:val="toc 2"/>
    <w:basedOn w:val="1"/>
    <w:next w:val="1"/>
    <w:qFormat/>
    <w:uiPriority w:val="39"/>
    <w:pPr>
      <w:tabs>
        <w:tab w:val="left" w:pos="941"/>
        <w:tab w:val="right" w:leader="dot" w:pos="9923"/>
      </w:tabs>
      <w:ind w:left="420" w:leftChars="200" w:right="283" w:rightChars="135"/>
    </w:pPr>
  </w:style>
  <w:style w:type="paragraph" w:styleId="17">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18">
    <w:name w:val="annotation subject"/>
    <w:basedOn w:val="6"/>
    <w:next w:val="6"/>
    <w:semiHidden/>
    <w:qFormat/>
    <w:uiPriority w:val="0"/>
    <w:rPr>
      <w:b/>
      <w:bCs/>
    </w:rPr>
  </w:style>
  <w:style w:type="paragraph" w:styleId="19">
    <w:name w:val="Body Text First Indent"/>
    <w:basedOn w:val="2"/>
    <w:next w:val="1"/>
    <w:unhideWhenUsed/>
    <w:qFormat/>
    <w:uiPriority w:val="99"/>
    <w:pPr>
      <w:tabs>
        <w:tab w:val="left" w:pos="567"/>
      </w:tabs>
      <w:ind w:firstLine="420" w:firstLineChars="100"/>
    </w:p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style>
  <w:style w:type="character" w:styleId="24">
    <w:name w:val="page number"/>
    <w:basedOn w:val="22"/>
    <w:qFormat/>
    <w:uiPriority w:val="0"/>
  </w:style>
  <w:style w:type="character" w:styleId="25">
    <w:name w:val="FollowedHyperlink"/>
    <w:basedOn w:val="22"/>
    <w:qFormat/>
    <w:uiPriority w:val="0"/>
    <w:rPr>
      <w:color w:val="800080"/>
      <w:u w:val="none"/>
    </w:rPr>
  </w:style>
  <w:style w:type="character" w:styleId="26">
    <w:name w:val="Emphasis"/>
    <w:basedOn w:val="22"/>
    <w:qFormat/>
    <w:uiPriority w:val="0"/>
  </w:style>
  <w:style w:type="character" w:styleId="27">
    <w:name w:val="HTML Definition"/>
    <w:basedOn w:val="22"/>
    <w:qFormat/>
    <w:uiPriority w:val="0"/>
  </w:style>
  <w:style w:type="character" w:styleId="28">
    <w:name w:val="HTML Typewriter"/>
    <w:basedOn w:val="22"/>
    <w:qFormat/>
    <w:uiPriority w:val="0"/>
    <w:rPr>
      <w:rFonts w:hint="default" w:ascii="monospace" w:hAnsi="monospace" w:eastAsia="monospace" w:cs="monospace"/>
      <w:sz w:val="20"/>
    </w:rPr>
  </w:style>
  <w:style w:type="character" w:styleId="29">
    <w:name w:val="HTML Acronym"/>
    <w:basedOn w:val="22"/>
    <w:qFormat/>
    <w:uiPriority w:val="0"/>
  </w:style>
  <w:style w:type="character" w:styleId="30">
    <w:name w:val="HTML Variable"/>
    <w:basedOn w:val="22"/>
    <w:qFormat/>
    <w:uiPriority w:val="0"/>
  </w:style>
  <w:style w:type="character" w:styleId="31">
    <w:name w:val="Hyperlink"/>
    <w:basedOn w:val="22"/>
    <w:qFormat/>
    <w:uiPriority w:val="99"/>
    <w:rPr>
      <w:color w:val="0000FF"/>
      <w:u w:val="none"/>
    </w:rPr>
  </w:style>
  <w:style w:type="character" w:styleId="32">
    <w:name w:val="HTML Code"/>
    <w:basedOn w:val="22"/>
    <w:qFormat/>
    <w:uiPriority w:val="0"/>
    <w:rPr>
      <w:rFonts w:hint="default" w:ascii="monospace" w:hAnsi="monospace" w:eastAsia="monospace" w:cs="monospace"/>
      <w:sz w:val="20"/>
    </w:rPr>
  </w:style>
  <w:style w:type="character" w:styleId="33">
    <w:name w:val="annotation reference"/>
    <w:semiHidden/>
    <w:qFormat/>
    <w:uiPriority w:val="0"/>
    <w:rPr>
      <w:sz w:val="21"/>
      <w:szCs w:val="21"/>
    </w:rPr>
  </w:style>
  <w:style w:type="character" w:styleId="34">
    <w:name w:val="HTML Cite"/>
    <w:basedOn w:val="22"/>
    <w:qFormat/>
    <w:uiPriority w:val="0"/>
  </w:style>
  <w:style w:type="character" w:styleId="35">
    <w:name w:val="HTML Keyboard"/>
    <w:basedOn w:val="22"/>
    <w:qFormat/>
    <w:uiPriority w:val="0"/>
    <w:rPr>
      <w:rFonts w:hint="default" w:ascii="monospace" w:hAnsi="monospace" w:eastAsia="monospace" w:cs="monospace"/>
      <w:sz w:val="20"/>
    </w:rPr>
  </w:style>
  <w:style w:type="character" w:styleId="36">
    <w:name w:val="HTML Sample"/>
    <w:basedOn w:val="22"/>
    <w:qFormat/>
    <w:uiPriority w:val="0"/>
    <w:rPr>
      <w:rFonts w:ascii="monospace" w:hAnsi="monospace" w:eastAsia="monospace" w:cs="monospace"/>
    </w:rPr>
  </w:style>
  <w:style w:type="paragraph" w:customStyle="1" w:styleId="37">
    <w:name w:val="表格文字"/>
    <w:basedOn w:val="1"/>
    <w:qFormat/>
    <w:uiPriority w:val="0"/>
    <w:pPr>
      <w:spacing w:before="25" w:after="25"/>
      <w:jc w:val="left"/>
    </w:pPr>
    <w:rPr>
      <w:bCs/>
      <w:spacing w:val="10"/>
      <w:kern w:val="0"/>
    </w:rPr>
  </w:style>
  <w:style w:type="paragraph" w:customStyle="1" w:styleId="38">
    <w:name w:val="Char2"/>
    <w:basedOn w:val="1"/>
    <w:qFormat/>
    <w:uiPriority w:val="0"/>
    <w:pPr>
      <w:ind w:left="432" w:hanging="432"/>
    </w:pPr>
    <w:rPr>
      <w:sz w:val="24"/>
      <w:szCs w:val="24"/>
    </w:rPr>
  </w:style>
  <w:style w:type="character" w:customStyle="1" w:styleId="39">
    <w:name w:val="纯文本 字符"/>
    <w:link w:val="9"/>
    <w:qFormat/>
    <w:uiPriority w:val="0"/>
    <w:rPr>
      <w:rFonts w:ascii="楷体_GB2312" w:hAnsi="Courier New" w:eastAsia="楷体_GB2312"/>
      <w:kern w:val="2"/>
      <w:sz w:val="24"/>
    </w:rPr>
  </w:style>
  <w:style w:type="paragraph" w:customStyle="1" w:styleId="4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41">
    <w:name w:val="List Paragraph"/>
    <w:basedOn w:val="1"/>
    <w:qFormat/>
    <w:uiPriority w:val="34"/>
    <w:pPr>
      <w:ind w:firstLine="420" w:firstLineChars="200"/>
    </w:pPr>
    <w:rPr>
      <w:szCs w:val="24"/>
    </w:rPr>
  </w:style>
  <w:style w:type="character" w:customStyle="1" w:styleId="42">
    <w:name w:val="日期 字符"/>
    <w:basedOn w:val="22"/>
    <w:link w:val="10"/>
    <w:qFormat/>
    <w:uiPriority w:val="0"/>
    <w:rPr>
      <w:kern w:val="2"/>
      <w:sz w:val="28"/>
    </w:rPr>
  </w:style>
  <w:style w:type="paragraph" w:customStyle="1" w:styleId="43">
    <w:name w:val="Char"/>
    <w:basedOn w:val="1"/>
    <w:qFormat/>
    <w:uiPriority w:val="0"/>
    <w:rPr>
      <w:rFonts w:ascii="仿宋_GB2312" w:eastAsia="仿宋_GB2312"/>
      <w:b/>
      <w:sz w:val="32"/>
      <w:szCs w:val="32"/>
    </w:rPr>
  </w:style>
  <w:style w:type="character" w:customStyle="1" w:styleId="44">
    <w:name w:val="标题 1 字符"/>
    <w:link w:val="3"/>
    <w:qFormat/>
    <w:uiPriority w:val="0"/>
    <w:rPr>
      <w:rFonts w:ascii="宋体"/>
      <w:kern w:val="2"/>
      <w:sz w:val="28"/>
    </w:rPr>
  </w:style>
  <w:style w:type="paragraph" w:customStyle="1" w:styleId="4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6">
    <w:name w:val="apple-converted-space"/>
    <w:basedOn w:val="22"/>
    <w:qFormat/>
    <w:uiPriority w:val="0"/>
  </w:style>
  <w:style w:type="character" w:customStyle="1" w:styleId="47">
    <w:name w:val="first-child"/>
    <w:basedOn w:val="22"/>
    <w:qFormat/>
    <w:uiPriority w:val="0"/>
  </w:style>
  <w:style w:type="character" w:customStyle="1" w:styleId="48">
    <w:name w:val="layui-layer-tabnow"/>
    <w:basedOn w:val="22"/>
    <w:qFormat/>
    <w:uiPriority w:val="0"/>
    <w:rPr>
      <w:bdr w:val="single" w:color="CCCCCC" w:sz="6" w:space="0"/>
      <w:shd w:val="clear" w:color="auto" w:fill="FFFFFF"/>
    </w:rPr>
  </w:style>
  <w:style w:type="paragraph" w:customStyle="1" w:styleId="49">
    <w:name w:val="首行缩进"/>
    <w:basedOn w:val="1"/>
    <w:qFormat/>
    <w:uiPriority w:val="0"/>
    <w:pPr>
      <w:spacing w:line="360" w:lineRule="auto"/>
      <w:ind w:firstLine="480" w:firstLineChars="200"/>
    </w:pPr>
    <w:rPr>
      <w:rFonts w:ascii="宋体" w:hAnsi="宋体" w:cs="宋体"/>
      <w:kern w:val="0"/>
      <w:sz w:val="24"/>
    </w:rPr>
  </w:style>
  <w:style w:type="character" w:customStyle="1" w:styleId="50">
    <w:name w:val="error"/>
    <w:basedOn w:val="22"/>
    <w:qFormat/>
    <w:uiPriority w:val="0"/>
    <w:rPr>
      <w:color w:val="FFFFFF"/>
      <w:shd w:val="clear" w:color="auto" w:fill="FF0000"/>
    </w:rPr>
  </w:style>
  <w:style w:type="character" w:customStyle="1" w:styleId="51">
    <w:name w:val="error1"/>
    <w:basedOn w:val="22"/>
    <w:qFormat/>
    <w:uiPriority w:val="0"/>
  </w:style>
  <w:style w:type="character" w:customStyle="1" w:styleId="52">
    <w:name w:val="error2"/>
    <w:basedOn w:val="22"/>
    <w:qFormat/>
    <w:uiPriority w:val="0"/>
  </w:style>
  <w:style w:type="character" w:customStyle="1" w:styleId="53">
    <w:name w:val="info"/>
    <w:basedOn w:val="22"/>
    <w:qFormat/>
    <w:uiPriority w:val="0"/>
    <w:rPr>
      <w:color w:val="7F7F7F"/>
    </w:rPr>
  </w:style>
  <w:style w:type="character" w:customStyle="1" w:styleId="54">
    <w:name w:val="layui-laypage-curr"/>
    <w:basedOn w:val="22"/>
    <w:qFormat/>
    <w:uiPriority w:val="0"/>
  </w:style>
  <w:style w:type="character" w:customStyle="1" w:styleId="55">
    <w:name w:val="button2"/>
    <w:basedOn w:val="22"/>
    <w:qFormat/>
    <w:uiPriority w:val="0"/>
  </w:style>
  <w:style w:type="character" w:customStyle="1" w:styleId="56">
    <w:name w:val="tmpztreemove_arrow"/>
    <w:basedOn w:val="22"/>
    <w:qFormat/>
    <w:uiPriority w:val="0"/>
  </w:style>
  <w:style w:type="character" w:customStyle="1" w:styleId="57">
    <w:name w:val="font61"/>
    <w:basedOn w:val="22"/>
    <w:qFormat/>
    <w:uiPriority w:val="0"/>
    <w:rPr>
      <w:rFonts w:hint="eastAsia" w:ascii="宋体" w:hAnsi="宋体" w:eastAsia="宋体" w:cs="宋体"/>
      <w:b/>
      <w:bCs/>
      <w:color w:val="000000"/>
      <w:sz w:val="22"/>
      <w:szCs w:val="22"/>
      <w:u w:val="none"/>
    </w:rPr>
  </w:style>
  <w:style w:type="character" w:customStyle="1" w:styleId="58">
    <w:name w:val="font71"/>
    <w:basedOn w:val="22"/>
    <w:qFormat/>
    <w:uiPriority w:val="0"/>
    <w:rPr>
      <w:rFonts w:hint="eastAsia" w:ascii="宋体" w:hAnsi="宋体" w:eastAsia="宋体" w:cs="宋体"/>
      <w:b/>
      <w:bCs/>
      <w:color w:val="000000"/>
      <w:sz w:val="22"/>
      <w:szCs w:val="22"/>
      <w:u w:val="none"/>
    </w:rPr>
  </w:style>
  <w:style w:type="character" w:customStyle="1" w:styleId="59">
    <w:name w:val="font31"/>
    <w:basedOn w:val="22"/>
    <w:qFormat/>
    <w:uiPriority w:val="0"/>
    <w:rPr>
      <w:rFonts w:hint="eastAsia" w:ascii="宋体" w:hAnsi="宋体" w:eastAsia="宋体" w:cs="宋体"/>
      <w:b/>
      <w:bCs/>
      <w:color w:val="000000"/>
      <w:sz w:val="22"/>
      <w:szCs w:val="22"/>
      <w:u w:val="none"/>
    </w:rPr>
  </w:style>
  <w:style w:type="paragraph" w:customStyle="1" w:styleId="60">
    <w:name w:val="缺省文本"/>
    <w:basedOn w:val="1"/>
    <w:qFormat/>
    <w:uiPriority w:val="0"/>
    <w:pPr>
      <w:autoSpaceDE w:val="0"/>
      <w:autoSpaceDN w:val="0"/>
      <w:adjustRightInd w:val="0"/>
      <w:spacing w:before="20" w:after="20" w:line="400" w:lineRule="exact"/>
      <w:ind w:firstLine="504"/>
      <w:jc w:val="left"/>
    </w:pPr>
    <w:rPr>
      <w:kern w:val="0"/>
      <w:sz w:val="24"/>
    </w:rPr>
  </w:style>
  <w:style w:type="character" w:customStyle="1" w:styleId="61">
    <w:name w:val="error3"/>
    <w:basedOn w:val="22"/>
    <w:qFormat/>
    <w:uiPriority w:val="0"/>
    <w:rPr>
      <w:color w:val="FFFFFF"/>
      <w:shd w:val="clear" w:color="auto" w:fill="FF0000"/>
    </w:rPr>
  </w:style>
  <w:style w:type="character" w:customStyle="1" w:styleId="62">
    <w:name w:val="error4"/>
    <w:basedOn w:val="22"/>
    <w:qFormat/>
    <w:uiPriority w:val="0"/>
  </w:style>
  <w:style w:type="character" w:customStyle="1" w:styleId="63">
    <w:name w:val="button"/>
    <w:basedOn w:val="22"/>
    <w:qFormat/>
    <w:uiPriority w:val="0"/>
  </w:style>
  <w:style w:type="character" w:customStyle="1" w:styleId="64">
    <w:name w:val="font11"/>
    <w:qFormat/>
    <w:uiPriority w:val="0"/>
    <w:rPr>
      <w:rFonts w:hint="default" w:ascii="仿宋_GB2312" w:eastAsia="仿宋_GB2312" w:cs="仿宋_GB2312"/>
      <w:b/>
      <w:color w:val="000000"/>
      <w:sz w:val="20"/>
      <w:szCs w:val="20"/>
      <w:u w:val="none"/>
    </w:rPr>
  </w:style>
  <w:style w:type="character" w:customStyle="1" w:styleId="65">
    <w:name w:val="mini-outputtext1"/>
    <w:basedOn w:val="22"/>
    <w:qFormat/>
    <w:uiPriority w:val="0"/>
  </w:style>
  <w:style w:type="paragraph" w:customStyle="1" w:styleId="66">
    <w:name w:val="Body text|1"/>
    <w:basedOn w:val="1"/>
    <w:qFormat/>
    <w:uiPriority w:val="0"/>
    <w:pPr>
      <w:spacing w:line="432" w:lineRule="auto"/>
      <w:ind w:firstLine="400"/>
    </w:pPr>
    <w:rPr>
      <w:rFonts w:ascii="宋体" w:hAnsi="宋体" w:cs="宋体"/>
      <w:sz w:val="30"/>
      <w:szCs w:val="30"/>
      <w:lang w:val="zh-TW" w:eastAsia="zh-TW" w:bidi="zh-TW"/>
    </w:rPr>
  </w:style>
  <w:style w:type="paragraph" w:customStyle="1" w:styleId="67">
    <w:name w:val="Body text|2"/>
    <w:basedOn w:val="1"/>
    <w:qFormat/>
    <w:uiPriority w:val="0"/>
    <w:rPr>
      <w:rFonts w:ascii="宋体" w:hAnsi="宋体" w:cs="宋体"/>
      <w:sz w:val="26"/>
      <w:szCs w:val="26"/>
      <w:lang w:val="zh-TW" w:eastAsia="zh-TW" w:bidi="zh-TW"/>
    </w:rPr>
  </w:style>
  <w:style w:type="paragraph" w:customStyle="1" w:styleId="68">
    <w:name w:val="Revision"/>
    <w:hidden/>
    <w:unhideWhenUsed/>
    <w:qFormat/>
    <w:uiPriority w:val="99"/>
    <w:rPr>
      <w:rFonts w:ascii="Times New Roman" w:hAnsi="Times New Roman" w:eastAsia="宋体" w:cs="Times New Roman"/>
      <w:kern w:val="2"/>
      <w:sz w:val="21"/>
      <w:lang w:val="en-US" w:eastAsia="zh-CN" w:bidi="ar-SA"/>
    </w:rPr>
  </w:style>
  <w:style w:type="paragraph" w:customStyle="1" w:styleId="69">
    <w:name w:val="Table Text"/>
    <w:basedOn w:val="1"/>
    <w:semiHidden/>
    <w:qFormat/>
    <w:uiPriority w:val="0"/>
    <w:rPr>
      <w:rFonts w:ascii="黑体" w:hAnsi="黑体" w:eastAsia="黑体" w:cs="黑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header" Target="header2.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江西省机电设备招标公司</Company>
  <Pages>51</Pages>
  <Words>4635</Words>
  <Characters>26421</Characters>
  <Lines>220</Lines>
  <Paragraphs>61</Paragraphs>
  <TotalTime>14</TotalTime>
  <ScaleCrop>false</ScaleCrop>
  <LinksUpToDate>false</LinksUpToDate>
  <CharactersWithSpaces>30995</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2023-10-27T05:40:00Z</dcterms:created>
  <dc:creator>hxw</dc:creator>
  <cp:lastModifiedBy>任沛菘</cp:lastModifiedBy>
  <cp:lastPrinted>2015-03-09T09:41:00Z</cp:lastPrinted>
  <dcterms:modified xsi:type="dcterms:W3CDTF">2024-07-29T06:35:47Z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C4D9CC80FB75441DADDAD7BCE1D34F4F</vt:lpwstr>
  </property>
</Properties>
</file>